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A9B" w:rsidRPr="00F21E47" w:rsidRDefault="00D64F31" w:rsidP="00551A9B">
      <w:pPr>
        <w:spacing w:before="120"/>
        <w:jc w:val="center"/>
        <w:rPr>
          <w:rFonts w:ascii="Arial" w:hAnsi="Arial" w:cs="Arial"/>
          <w:i/>
          <w:iCs/>
        </w:rPr>
      </w:pPr>
      <w:r w:rsidRPr="00F21E47">
        <w:rPr>
          <w:rFonts w:ascii="Arial" w:hAnsi="Arial" w:cs="Arial"/>
          <w:i/>
          <w:iCs/>
        </w:rPr>
        <w:t>Planning and Environment Act 1987</w:t>
      </w:r>
    </w:p>
    <w:p w:rsidR="00551A9B" w:rsidRPr="00F21E47" w:rsidRDefault="00D64F31" w:rsidP="00551A9B">
      <w:pPr>
        <w:keepNext/>
        <w:keepLines/>
        <w:spacing w:before="240"/>
        <w:jc w:val="center"/>
        <w:outlineLvl w:val="0"/>
        <w:rPr>
          <w:rFonts w:ascii="Arial" w:hAnsi="Arial" w:cs="Arial"/>
          <w:b/>
          <w:bCs/>
          <w:caps/>
          <w:sz w:val="28"/>
          <w:szCs w:val="28"/>
        </w:rPr>
      </w:pPr>
      <w:r w:rsidRPr="00F21E47">
        <w:rPr>
          <w:rFonts w:ascii="Arial" w:hAnsi="Arial" w:cs="Arial"/>
          <w:b/>
          <w:bCs/>
          <w:caps/>
          <w:color w:val="000000"/>
          <w:sz w:val="28"/>
          <w:szCs w:val="28"/>
        </w:rPr>
        <w:t>GREATER GEELONG</w:t>
      </w:r>
      <w:r w:rsidRPr="00F21E47">
        <w:rPr>
          <w:rFonts w:ascii="Arial" w:hAnsi="Arial" w:cs="Arial"/>
          <w:b/>
          <w:bCs/>
          <w:caps/>
          <w:sz w:val="28"/>
          <w:szCs w:val="28"/>
        </w:rPr>
        <w:t xml:space="preserve"> PLANNING SCHEME</w:t>
      </w:r>
    </w:p>
    <w:p w:rsidR="00551A9B" w:rsidRPr="00F21E47" w:rsidRDefault="00D64F31" w:rsidP="00551A9B">
      <w:pPr>
        <w:keepNext/>
        <w:keepLines/>
        <w:spacing w:before="240"/>
        <w:jc w:val="center"/>
        <w:outlineLvl w:val="0"/>
        <w:rPr>
          <w:rFonts w:ascii="Arial" w:hAnsi="Arial" w:cs="Arial"/>
          <w:b/>
          <w:bCs/>
          <w:caps/>
          <w:sz w:val="28"/>
          <w:szCs w:val="28"/>
        </w:rPr>
      </w:pPr>
      <w:r w:rsidRPr="00F21E47">
        <w:rPr>
          <w:rFonts w:ascii="Arial" w:hAnsi="Arial" w:cs="Arial"/>
          <w:b/>
          <w:bCs/>
          <w:caps/>
          <w:sz w:val="28"/>
          <w:szCs w:val="28"/>
        </w:rPr>
        <w:t>AMENDMENT C</w:t>
      </w:r>
      <w:r>
        <w:rPr>
          <w:rFonts w:ascii="Arial" w:hAnsi="Arial" w:cs="Arial"/>
          <w:b/>
          <w:bCs/>
          <w:caps/>
          <w:sz w:val="28"/>
          <w:szCs w:val="28"/>
        </w:rPr>
        <w:t>302</w:t>
      </w:r>
    </w:p>
    <w:p w:rsidR="00551A9B" w:rsidRPr="00F21E47" w:rsidRDefault="00D64F31" w:rsidP="00551A9B">
      <w:pPr>
        <w:keepNext/>
        <w:keepLines/>
        <w:spacing w:before="240"/>
        <w:jc w:val="center"/>
        <w:outlineLvl w:val="0"/>
        <w:rPr>
          <w:rFonts w:ascii="Arial" w:hAnsi="Arial" w:cs="Arial"/>
          <w:b/>
          <w:bCs/>
          <w:caps/>
          <w:sz w:val="24"/>
          <w:szCs w:val="24"/>
        </w:rPr>
      </w:pPr>
      <w:r w:rsidRPr="00F21E47">
        <w:rPr>
          <w:rFonts w:ascii="Arial" w:hAnsi="Arial" w:cs="Arial"/>
          <w:b/>
          <w:bCs/>
          <w:caps/>
          <w:sz w:val="24"/>
          <w:szCs w:val="24"/>
        </w:rPr>
        <w:t>EXPLANATORY REPORT</w:t>
      </w:r>
    </w:p>
    <w:p w:rsidR="00551A9B" w:rsidRPr="00F21E47" w:rsidRDefault="00D64F31" w:rsidP="00551A9B">
      <w:pPr>
        <w:spacing w:before="360"/>
        <w:jc w:val="both"/>
        <w:outlineLvl w:val="1"/>
        <w:rPr>
          <w:rFonts w:ascii="Arial" w:hAnsi="Arial" w:cs="Arial"/>
          <w:b/>
          <w:bCs/>
          <w:sz w:val="24"/>
        </w:rPr>
      </w:pPr>
      <w:r w:rsidRPr="00F21E47">
        <w:rPr>
          <w:rFonts w:ascii="Arial" w:hAnsi="Arial" w:cs="Arial"/>
          <w:b/>
          <w:bCs/>
          <w:sz w:val="24"/>
        </w:rPr>
        <w:t>Who is the planning authority?</w:t>
      </w:r>
    </w:p>
    <w:p w:rsidR="00551A9B" w:rsidRPr="00F21E47" w:rsidRDefault="00D64F31" w:rsidP="00551A9B">
      <w:pPr>
        <w:spacing w:before="120"/>
        <w:jc w:val="both"/>
        <w:rPr>
          <w:rFonts w:ascii="Arial" w:hAnsi="Arial" w:cs="Arial"/>
          <w:sz w:val="22"/>
          <w:szCs w:val="22"/>
        </w:rPr>
      </w:pPr>
      <w:r w:rsidRPr="00F21E47">
        <w:rPr>
          <w:rFonts w:ascii="Arial" w:hAnsi="Arial" w:cs="Arial"/>
          <w:sz w:val="22"/>
          <w:szCs w:val="22"/>
        </w:rPr>
        <w:t>This amendment has been prepared by the</w:t>
      </w:r>
      <w:r w:rsidRPr="00F21E47">
        <w:rPr>
          <w:rFonts w:ascii="Arial" w:hAnsi="Arial" w:cs="Arial"/>
          <w:color w:val="FF0000"/>
          <w:sz w:val="22"/>
          <w:szCs w:val="22"/>
        </w:rPr>
        <w:t xml:space="preserve"> </w:t>
      </w:r>
      <w:r>
        <w:rPr>
          <w:rFonts w:ascii="Arial" w:hAnsi="Arial" w:cs="Arial"/>
          <w:color w:val="000000"/>
          <w:sz w:val="22"/>
          <w:szCs w:val="22"/>
        </w:rPr>
        <w:t>Greater Geelong City Council</w:t>
      </w:r>
      <w:r w:rsidRPr="00F21E47">
        <w:rPr>
          <w:rFonts w:ascii="Arial" w:hAnsi="Arial" w:cs="Arial"/>
          <w:sz w:val="22"/>
          <w:szCs w:val="22"/>
        </w:rPr>
        <w:t xml:space="preserve"> </w:t>
      </w:r>
      <w:r w:rsidR="00F139AA">
        <w:rPr>
          <w:rFonts w:ascii="Arial" w:hAnsi="Arial" w:cs="Arial"/>
          <w:sz w:val="22"/>
          <w:szCs w:val="22"/>
        </w:rPr>
        <w:t xml:space="preserve">which </w:t>
      </w:r>
      <w:r w:rsidRPr="00F21E47">
        <w:rPr>
          <w:rFonts w:ascii="Arial" w:hAnsi="Arial" w:cs="Arial"/>
          <w:sz w:val="22"/>
          <w:szCs w:val="22"/>
        </w:rPr>
        <w:t>is the planning authority for this amendment.</w:t>
      </w:r>
    </w:p>
    <w:p w:rsidR="00551A9B" w:rsidRPr="00F21E47" w:rsidRDefault="00D64F31" w:rsidP="00551A9B">
      <w:pPr>
        <w:spacing w:before="120"/>
        <w:jc w:val="both"/>
        <w:rPr>
          <w:rFonts w:ascii="Arial" w:hAnsi="Arial" w:cs="Arial"/>
          <w:sz w:val="22"/>
          <w:szCs w:val="22"/>
        </w:rPr>
      </w:pPr>
      <w:r w:rsidRPr="00F21E47">
        <w:rPr>
          <w:rFonts w:ascii="Arial" w:hAnsi="Arial" w:cs="Arial"/>
          <w:sz w:val="22"/>
          <w:szCs w:val="22"/>
        </w:rPr>
        <w:t xml:space="preserve">The amendment has been made at the request </w:t>
      </w:r>
      <w:r w:rsidRPr="00F21E47">
        <w:rPr>
          <w:rFonts w:ascii="Arial" w:hAnsi="Arial" w:cs="Arial"/>
          <w:color w:val="000000"/>
          <w:sz w:val="22"/>
          <w:szCs w:val="22"/>
        </w:rPr>
        <w:t>of Environmental Resources Management Aust. Pty Ltd</w:t>
      </w:r>
      <w:r>
        <w:rPr>
          <w:rFonts w:ascii="Arial" w:hAnsi="Arial" w:cs="Arial"/>
          <w:color w:val="000000"/>
          <w:sz w:val="22"/>
          <w:szCs w:val="22"/>
        </w:rPr>
        <w:t>.</w:t>
      </w:r>
    </w:p>
    <w:p w:rsidR="00551A9B" w:rsidRPr="00F21E47" w:rsidRDefault="00D64F31" w:rsidP="00551A9B">
      <w:pPr>
        <w:spacing w:before="360"/>
        <w:jc w:val="both"/>
        <w:outlineLvl w:val="1"/>
        <w:rPr>
          <w:rFonts w:ascii="Arial" w:hAnsi="Arial" w:cs="Arial"/>
          <w:b/>
          <w:bCs/>
          <w:sz w:val="24"/>
        </w:rPr>
      </w:pPr>
      <w:r w:rsidRPr="00F21E47">
        <w:rPr>
          <w:rFonts w:ascii="Arial" w:hAnsi="Arial" w:cs="Arial"/>
          <w:b/>
          <w:bCs/>
          <w:sz w:val="24"/>
        </w:rPr>
        <w:t>Land affected by the amendment</w:t>
      </w:r>
    </w:p>
    <w:p w:rsidR="00551A9B" w:rsidRPr="00F21E47" w:rsidRDefault="00D64F31" w:rsidP="00DD6328">
      <w:pPr>
        <w:spacing w:before="120"/>
        <w:jc w:val="both"/>
        <w:rPr>
          <w:rFonts w:ascii="Arial" w:hAnsi="Arial" w:cs="Arial"/>
          <w:sz w:val="22"/>
          <w:szCs w:val="22"/>
        </w:rPr>
      </w:pPr>
      <w:r w:rsidRPr="00F21E47">
        <w:rPr>
          <w:rFonts w:ascii="Arial" w:hAnsi="Arial" w:cs="Arial"/>
          <w:sz w:val="22"/>
          <w:szCs w:val="22"/>
        </w:rPr>
        <w:t xml:space="preserve">The amendment applies to </w:t>
      </w:r>
      <w:r w:rsidR="00DD6328">
        <w:rPr>
          <w:rFonts w:ascii="Arial" w:hAnsi="Arial" w:cs="Arial"/>
          <w:sz w:val="22"/>
          <w:szCs w:val="22"/>
        </w:rPr>
        <w:t>302-306 Aberdeen Street, Manifold Heights.</w:t>
      </w:r>
    </w:p>
    <w:p w:rsidR="00551A9B" w:rsidRPr="00F21E47" w:rsidRDefault="00D64F31" w:rsidP="00551A9B">
      <w:pPr>
        <w:spacing w:before="360"/>
        <w:jc w:val="both"/>
        <w:outlineLvl w:val="1"/>
        <w:rPr>
          <w:rFonts w:ascii="Arial" w:hAnsi="Arial" w:cs="Arial"/>
          <w:b/>
          <w:bCs/>
          <w:sz w:val="24"/>
        </w:rPr>
      </w:pPr>
      <w:r w:rsidRPr="00F21E47">
        <w:rPr>
          <w:rFonts w:ascii="Arial" w:hAnsi="Arial" w:cs="Arial"/>
          <w:b/>
          <w:bCs/>
          <w:sz w:val="24"/>
        </w:rPr>
        <w:t>What the amendment does</w:t>
      </w:r>
    </w:p>
    <w:p w:rsidR="00E75A8E" w:rsidRDefault="00D64F31" w:rsidP="00551A9B">
      <w:pPr>
        <w:spacing w:before="120"/>
        <w:jc w:val="both"/>
        <w:rPr>
          <w:rFonts w:ascii="Arial" w:hAnsi="Arial" w:cs="Arial"/>
          <w:sz w:val="22"/>
          <w:szCs w:val="22"/>
        </w:rPr>
      </w:pPr>
      <w:r w:rsidRPr="00F21E47">
        <w:rPr>
          <w:rFonts w:ascii="Arial" w:hAnsi="Arial" w:cs="Arial"/>
          <w:sz w:val="22"/>
          <w:szCs w:val="22"/>
        </w:rPr>
        <w:t xml:space="preserve">The amendment </w:t>
      </w:r>
      <w:r w:rsidR="00E75A8E">
        <w:rPr>
          <w:rFonts w:ascii="Arial" w:hAnsi="Arial" w:cs="Arial"/>
          <w:sz w:val="22"/>
          <w:szCs w:val="22"/>
        </w:rPr>
        <w:t>proposes to:</w:t>
      </w:r>
    </w:p>
    <w:p w:rsidR="00E75A8E" w:rsidRDefault="00D64F31" w:rsidP="00A16DA7">
      <w:pPr>
        <w:numPr>
          <w:ilvl w:val="0"/>
          <w:numId w:val="10"/>
        </w:numPr>
        <w:spacing w:before="120"/>
        <w:jc w:val="both"/>
        <w:rPr>
          <w:rFonts w:ascii="Arial" w:hAnsi="Arial" w:cs="Arial"/>
          <w:sz w:val="22"/>
          <w:szCs w:val="22"/>
        </w:rPr>
      </w:pPr>
      <w:r>
        <w:rPr>
          <w:rFonts w:ascii="Arial" w:hAnsi="Arial" w:cs="Arial"/>
          <w:sz w:val="22"/>
          <w:szCs w:val="22"/>
        </w:rPr>
        <w:t xml:space="preserve">rezone </w:t>
      </w:r>
      <w:r w:rsidR="00E75A8E">
        <w:rPr>
          <w:rFonts w:ascii="Arial" w:hAnsi="Arial" w:cs="Arial"/>
          <w:sz w:val="22"/>
          <w:szCs w:val="22"/>
        </w:rPr>
        <w:t xml:space="preserve">the western </w:t>
      </w:r>
      <w:r w:rsidR="00DD6328">
        <w:rPr>
          <w:rFonts w:ascii="Arial" w:hAnsi="Arial" w:cs="Arial"/>
          <w:sz w:val="22"/>
          <w:szCs w:val="22"/>
        </w:rPr>
        <w:t xml:space="preserve">part of the </w:t>
      </w:r>
      <w:r>
        <w:rPr>
          <w:rFonts w:ascii="Arial" w:hAnsi="Arial" w:cs="Arial"/>
          <w:sz w:val="22"/>
          <w:szCs w:val="22"/>
        </w:rPr>
        <w:t xml:space="preserve">land from Residential 1 </w:t>
      </w:r>
      <w:r w:rsidR="00DD6328">
        <w:rPr>
          <w:rFonts w:ascii="Arial" w:hAnsi="Arial" w:cs="Arial"/>
          <w:sz w:val="22"/>
          <w:szCs w:val="22"/>
        </w:rPr>
        <w:t>Z</w:t>
      </w:r>
      <w:r>
        <w:rPr>
          <w:rFonts w:ascii="Arial" w:hAnsi="Arial" w:cs="Arial"/>
          <w:sz w:val="22"/>
          <w:szCs w:val="22"/>
        </w:rPr>
        <w:t xml:space="preserve">one to Commercial 1 </w:t>
      </w:r>
      <w:r w:rsidR="00DD6328">
        <w:rPr>
          <w:rFonts w:ascii="Arial" w:hAnsi="Arial" w:cs="Arial"/>
          <w:sz w:val="22"/>
          <w:szCs w:val="22"/>
        </w:rPr>
        <w:t>Z</w:t>
      </w:r>
      <w:r>
        <w:rPr>
          <w:rFonts w:ascii="Arial" w:hAnsi="Arial" w:cs="Arial"/>
          <w:sz w:val="22"/>
          <w:szCs w:val="22"/>
        </w:rPr>
        <w:t>one</w:t>
      </w:r>
      <w:r w:rsidR="00E75A8E">
        <w:rPr>
          <w:rFonts w:ascii="Arial" w:hAnsi="Arial" w:cs="Arial"/>
          <w:sz w:val="22"/>
          <w:szCs w:val="22"/>
        </w:rPr>
        <w:t>;</w:t>
      </w:r>
    </w:p>
    <w:p w:rsidR="00E75A8E" w:rsidRDefault="00E75A8E" w:rsidP="00A16DA7">
      <w:pPr>
        <w:numPr>
          <w:ilvl w:val="0"/>
          <w:numId w:val="10"/>
        </w:numPr>
        <w:spacing w:before="120"/>
        <w:jc w:val="both"/>
        <w:rPr>
          <w:rFonts w:ascii="Arial" w:hAnsi="Arial" w:cs="Arial"/>
          <w:sz w:val="22"/>
          <w:szCs w:val="22"/>
        </w:rPr>
      </w:pPr>
      <w:r>
        <w:rPr>
          <w:rFonts w:ascii="Arial" w:hAnsi="Arial" w:cs="Arial"/>
          <w:sz w:val="22"/>
          <w:szCs w:val="22"/>
        </w:rPr>
        <w:t xml:space="preserve">delete </w:t>
      </w:r>
      <w:r w:rsidR="00D64F31">
        <w:rPr>
          <w:rFonts w:ascii="Arial" w:hAnsi="Arial" w:cs="Arial"/>
          <w:sz w:val="22"/>
          <w:szCs w:val="22"/>
        </w:rPr>
        <w:t>the D</w:t>
      </w:r>
      <w:r w:rsidR="00DD6328">
        <w:rPr>
          <w:rFonts w:ascii="Arial" w:hAnsi="Arial" w:cs="Arial"/>
          <w:sz w:val="22"/>
          <w:szCs w:val="22"/>
        </w:rPr>
        <w:t xml:space="preserve">esign and Development Overlay Schedule </w:t>
      </w:r>
      <w:r w:rsidR="00D64F31">
        <w:rPr>
          <w:rFonts w:ascii="Arial" w:hAnsi="Arial" w:cs="Arial"/>
          <w:sz w:val="22"/>
          <w:szCs w:val="22"/>
        </w:rPr>
        <w:t>14</w:t>
      </w:r>
      <w:r w:rsidR="00DD6328">
        <w:rPr>
          <w:rFonts w:ascii="Arial" w:hAnsi="Arial" w:cs="Arial"/>
          <w:sz w:val="22"/>
          <w:szCs w:val="22"/>
        </w:rPr>
        <w:t xml:space="preserve"> from the </w:t>
      </w:r>
      <w:r>
        <w:rPr>
          <w:rFonts w:ascii="Arial" w:hAnsi="Arial" w:cs="Arial"/>
          <w:sz w:val="22"/>
          <w:szCs w:val="22"/>
        </w:rPr>
        <w:t xml:space="preserve">western part of the </w:t>
      </w:r>
      <w:r w:rsidR="00DD6328">
        <w:rPr>
          <w:rFonts w:ascii="Arial" w:hAnsi="Arial" w:cs="Arial"/>
          <w:sz w:val="22"/>
          <w:szCs w:val="22"/>
        </w:rPr>
        <w:t>land</w:t>
      </w:r>
      <w:r>
        <w:rPr>
          <w:rFonts w:ascii="Arial" w:hAnsi="Arial" w:cs="Arial"/>
          <w:sz w:val="22"/>
          <w:szCs w:val="22"/>
        </w:rPr>
        <w:t>; and</w:t>
      </w:r>
    </w:p>
    <w:p w:rsidR="00551A9B" w:rsidRDefault="00E75A8E" w:rsidP="00A16DA7">
      <w:pPr>
        <w:numPr>
          <w:ilvl w:val="0"/>
          <w:numId w:val="10"/>
        </w:numPr>
        <w:spacing w:before="120"/>
        <w:jc w:val="both"/>
        <w:rPr>
          <w:rFonts w:ascii="Arial" w:hAnsi="Arial" w:cs="Arial"/>
          <w:sz w:val="22"/>
          <w:szCs w:val="22"/>
        </w:rPr>
      </w:pPr>
      <w:r>
        <w:rPr>
          <w:rFonts w:ascii="Arial" w:hAnsi="Arial" w:cs="Arial"/>
          <w:sz w:val="22"/>
          <w:szCs w:val="22"/>
        </w:rPr>
        <w:t xml:space="preserve">amend the schedule to clause 52.28-4 to include the whole of the land at 302-306 (even numbers) Aberdeen Street </w:t>
      </w:r>
      <w:r w:rsidR="00A16DA7">
        <w:rPr>
          <w:rFonts w:ascii="Arial" w:hAnsi="Arial" w:cs="Arial"/>
          <w:sz w:val="22"/>
          <w:szCs w:val="22"/>
        </w:rPr>
        <w:t xml:space="preserve">in the </w:t>
      </w:r>
      <w:r>
        <w:rPr>
          <w:rFonts w:ascii="Arial" w:hAnsi="Arial" w:cs="Arial"/>
          <w:sz w:val="22"/>
          <w:szCs w:val="22"/>
        </w:rPr>
        <w:t>strip shopping centre where a gaming machine is prohibited</w:t>
      </w:r>
      <w:r w:rsidR="00A16DA7">
        <w:rPr>
          <w:rFonts w:ascii="Arial" w:hAnsi="Arial" w:cs="Arial"/>
          <w:sz w:val="22"/>
          <w:szCs w:val="22"/>
        </w:rPr>
        <w:t>.</w:t>
      </w:r>
    </w:p>
    <w:p w:rsidR="00551A9B" w:rsidRPr="00F21E47" w:rsidRDefault="00D64F31" w:rsidP="00551A9B">
      <w:pPr>
        <w:spacing w:before="360"/>
        <w:jc w:val="both"/>
        <w:outlineLvl w:val="1"/>
        <w:rPr>
          <w:rFonts w:ascii="Arial" w:hAnsi="Arial" w:cs="Arial"/>
          <w:b/>
          <w:bCs/>
          <w:smallCaps/>
          <w:sz w:val="24"/>
        </w:rPr>
      </w:pPr>
      <w:r w:rsidRPr="00F21E47">
        <w:rPr>
          <w:rFonts w:ascii="Arial" w:hAnsi="Arial" w:cs="Arial"/>
          <w:b/>
          <w:bCs/>
          <w:sz w:val="24"/>
        </w:rPr>
        <w:t xml:space="preserve">Strategic assessment of the amendment </w:t>
      </w:r>
    </w:p>
    <w:p w:rsidR="00551A9B" w:rsidRPr="00F21E47" w:rsidRDefault="00D64F31" w:rsidP="00D64F31">
      <w:pPr>
        <w:pStyle w:val="Heading3"/>
        <w:keepNext w:val="0"/>
        <w:keepLines w:val="0"/>
        <w:numPr>
          <w:ilvl w:val="0"/>
          <w:numId w:val="2"/>
        </w:numPr>
        <w:tabs>
          <w:tab w:val="clear" w:pos="360"/>
          <w:tab w:val="num" w:pos="284"/>
        </w:tabs>
        <w:spacing w:line="240" w:lineRule="auto"/>
        <w:ind w:left="284" w:hanging="284"/>
        <w:jc w:val="both"/>
        <w:rPr>
          <w:rFonts w:ascii="Arial" w:hAnsi="Arial" w:cs="Arial"/>
          <w:b/>
          <w:szCs w:val="24"/>
        </w:rPr>
      </w:pPr>
      <w:r w:rsidRPr="00F21E47">
        <w:rPr>
          <w:rFonts w:ascii="Arial" w:hAnsi="Arial" w:cs="Arial"/>
          <w:b/>
          <w:smallCaps w:val="0"/>
          <w:szCs w:val="24"/>
        </w:rPr>
        <w:t>Why is the amendment required?</w:t>
      </w:r>
    </w:p>
    <w:p w:rsidR="003512FA" w:rsidRPr="003512FA" w:rsidRDefault="003512FA" w:rsidP="003512FA">
      <w:pPr>
        <w:spacing w:before="120"/>
        <w:ind w:left="284"/>
        <w:jc w:val="both"/>
        <w:rPr>
          <w:rFonts w:ascii="Arial" w:hAnsi="Arial" w:cs="Arial"/>
          <w:sz w:val="22"/>
          <w:szCs w:val="22"/>
        </w:rPr>
      </w:pPr>
      <w:r w:rsidRPr="003512FA">
        <w:rPr>
          <w:rFonts w:ascii="Arial" w:hAnsi="Arial" w:cs="Arial"/>
          <w:sz w:val="22"/>
          <w:szCs w:val="22"/>
        </w:rPr>
        <w:t xml:space="preserve">The zoning of the site is an anomaly as over half the title (that fronting Shannon Avenue) is in the Commercial 1 Zone while the rear portion is in the </w:t>
      </w:r>
      <w:r w:rsidR="00F139AA">
        <w:rPr>
          <w:rFonts w:ascii="Arial" w:hAnsi="Arial" w:cs="Arial"/>
          <w:sz w:val="22"/>
          <w:szCs w:val="22"/>
        </w:rPr>
        <w:t>R</w:t>
      </w:r>
      <w:r w:rsidRPr="003512FA">
        <w:rPr>
          <w:rFonts w:ascii="Arial" w:hAnsi="Arial" w:cs="Arial"/>
          <w:sz w:val="22"/>
          <w:szCs w:val="22"/>
        </w:rPr>
        <w:t>esidential 1 Zone.  A review of the history of the site reveals that the current zoning configuration dates back to the Geelong Region Interim Development Order maps of 1975-1981 and has remained unchanged since then.  A planning permit was also issued in June 1979 allowing for the installation of underground petrol storage tanks.  The portion of the land zoned Residential 1 Zone has been used for commercial purposes for a considerable period of time.</w:t>
      </w:r>
    </w:p>
    <w:p w:rsidR="00551A9B" w:rsidRPr="00F21E47" w:rsidRDefault="003512FA" w:rsidP="003512FA">
      <w:pPr>
        <w:spacing w:before="120"/>
        <w:ind w:left="284"/>
        <w:jc w:val="both"/>
        <w:rPr>
          <w:rFonts w:ascii="Arial" w:hAnsi="Arial" w:cs="Arial"/>
          <w:sz w:val="22"/>
          <w:szCs w:val="22"/>
        </w:rPr>
      </w:pPr>
      <w:r w:rsidRPr="003512FA">
        <w:rPr>
          <w:rFonts w:ascii="Arial" w:hAnsi="Arial" w:cs="Arial"/>
          <w:sz w:val="22"/>
          <w:szCs w:val="22"/>
        </w:rPr>
        <w:t>The existing zoning arrangement is considered to be anomalous and the 890 square metres of land proposed to be rezoned will facilitate the orderly planning of the area.  The deletion of the Design and Development Overlay Schedule 14 is appropriate as it only applies to dwellings over 7.5 metres in areas with access to views</w:t>
      </w:r>
      <w:r w:rsidR="00F139AA">
        <w:rPr>
          <w:rFonts w:ascii="Arial" w:hAnsi="Arial" w:cs="Arial"/>
          <w:sz w:val="22"/>
          <w:szCs w:val="22"/>
        </w:rPr>
        <w:t xml:space="preserve"> and in a Residential Zone.</w:t>
      </w:r>
    </w:p>
    <w:p w:rsidR="00551A9B" w:rsidRPr="00F21E47" w:rsidRDefault="00D64F31" w:rsidP="00D64F31">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F21E47">
        <w:rPr>
          <w:rFonts w:ascii="Arial" w:hAnsi="Arial" w:cs="Arial"/>
          <w:b/>
          <w:smallCaps w:val="0"/>
          <w:szCs w:val="24"/>
        </w:rPr>
        <w:t xml:space="preserve">How does the amendment implement the objectives of planning in </w:t>
      </w:r>
      <w:smartTag w:uri="urn:schemas-microsoft-com:office:smarttags" w:element="place">
        <w:smartTag w:uri="urn:schemas-microsoft-com:office:smarttags" w:element="State">
          <w:r w:rsidRPr="00F21E47">
            <w:rPr>
              <w:rFonts w:ascii="Arial" w:hAnsi="Arial" w:cs="Arial"/>
              <w:b/>
              <w:smallCaps w:val="0"/>
              <w:szCs w:val="24"/>
            </w:rPr>
            <w:t>Victoria</w:t>
          </w:r>
        </w:smartTag>
      </w:smartTag>
      <w:r w:rsidRPr="00F21E47">
        <w:rPr>
          <w:rFonts w:ascii="Arial" w:hAnsi="Arial" w:cs="Arial"/>
          <w:b/>
          <w:smallCaps w:val="0"/>
          <w:szCs w:val="24"/>
        </w:rPr>
        <w:t>?</w:t>
      </w:r>
    </w:p>
    <w:p w:rsidR="00551A9B" w:rsidRDefault="00F139AA" w:rsidP="00551A9B">
      <w:pPr>
        <w:spacing w:before="120"/>
        <w:ind w:left="284"/>
        <w:jc w:val="both"/>
        <w:rPr>
          <w:rFonts w:ascii="Arial" w:hAnsi="Arial" w:cs="Arial"/>
          <w:sz w:val="22"/>
          <w:szCs w:val="22"/>
        </w:rPr>
      </w:pPr>
      <w:r>
        <w:rPr>
          <w:rFonts w:ascii="Arial" w:hAnsi="Arial" w:cs="Arial"/>
          <w:sz w:val="22"/>
          <w:szCs w:val="22"/>
        </w:rPr>
        <w:t>The amendment satisfies the following objectives set out in Section 4 of the Planning and Environment Act 1987:</w:t>
      </w:r>
    </w:p>
    <w:p w:rsidR="00F139AA" w:rsidRDefault="00F139AA" w:rsidP="00F139AA">
      <w:pPr>
        <w:numPr>
          <w:ilvl w:val="0"/>
          <w:numId w:val="9"/>
        </w:numPr>
        <w:spacing w:before="120"/>
        <w:jc w:val="both"/>
        <w:rPr>
          <w:rFonts w:ascii="Arial" w:hAnsi="Arial" w:cs="Arial"/>
          <w:sz w:val="22"/>
          <w:szCs w:val="22"/>
        </w:rPr>
      </w:pPr>
      <w:r>
        <w:rPr>
          <w:rFonts w:ascii="Arial" w:hAnsi="Arial" w:cs="Arial"/>
          <w:sz w:val="22"/>
          <w:szCs w:val="22"/>
        </w:rPr>
        <w:t>Provide for the fair, orderly, economic and sustainable use, and development of land;</w:t>
      </w:r>
    </w:p>
    <w:p w:rsidR="00F139AA" w:rsidRDefault="00F139AA" w:rsidP="00F139AA">
      <w:pPr>
        <w:numPr>
          <w:ilvl w:val="0"/>
          <w:numId w:val="9"/>
        </w:numPr>
        <w:spacing w:before="120"/>
        <w:jc w:val="both"/>
        <w:rPr>
          <w:rFonts w:ascii="Arial" w:hAnsi="Arial" w:cs="Arial"/>
          <w:sz w:val="22"/>
          <w:szCs w:val="22"/>
        </w:rPr>
      </w:pPr>
      <w:r>
        <w:rPr>
          <w:rFonts w:ascii="Arial" w:hAnsi="Arial" w:cs="Arial"/>
          <w:sz w:val="22"/>
          <w:szCs w:val="22"/>
        </w:rPr>
        <w:lastRenderedPageBreak/>
        <w:t>To secure a pleasant, efficient and safe working, living and recreational environment for all Victorians and visitors to Victoria.</w:t>
      </w:r>
    </w:p>
    <w:p w:rsidR="00F139AA" w:rsidRPr="00F21E47" w:rsidRDefault="00F139AA" w:rsidP="00551A9B">
      <w:pPr>
        <w:spacing w:before="120"/>
        <w:ind w:left="284"/>
        <w:jc w:val="both"/>
        <w:rPr>
          <w:rFonts w:ascii="Arial" w:hAnsi="Arial" w:cs="Arial"/>
          <w:sz w:val="22"/>
          <w:szCs w:val="22"/>
        </w:rPr>
      </w:pPr>
      <w:r>
        <w:rPr>
          <w:rFonts w:ascii="Arial" w:hAnsi="Arial" w:cs="Arial"/>
          <w:sz w:val="22"/>
          <w:szCs w:val="22"/>
        </w:rPr>
        <w:t>Rezoning the land will provide for the orderly development of the land consistent with its place and location in the Shannon Avenue (Newtown) Shopping Centre.</w:t>
      </w:r>
    </w:p>
    <w:p w:rsidR="00551A9B" w:rsidRPr="00F21E47" w:rsidRDefault="00D64F31" w:rsidP="00D64F31">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F21E47">
        <w:rPr>
          <w:rFonts w:ascii="Arial" w:hAnsi="Arial" w:cs="Arial"/>
          <w:b/>
          <w:smallCaps w:val="0"/>
          <w:szCs w:val="24"/>
        </w:rPr>
        <w:t xml:space="preserve">How does the amendment address the environmental effects and any relevant social and economic effects? </w:t>
      </w:r>
    </w:p>
    <w:p w:rsidR="003512FA" w:rsidRPr="003512FA" w:rsidRDefault="003512FA" w:rsidP="003512FA">
      <w:pPr>
        <w:spacing w:before="120"/>
        <w:ind w:left="284"/>
        <w:jc w:val="both"/>
        <w:rPr>
          <w:rFonts w:ascii="Arial" w:hAnsi="Arial" w:cs="Arial"/>
          <w:sz w:val="22"/>
          <w:szCs w:val="22"/>
        </w:rPr>
      </w:pPr>
      <w:r>
        <w:rPr>
          <w:rFonts w:ascii="Arial" w:hAnsi="Arial" w:cs="Arial"/>
          <w:sz w:val="22"/>
          <w:szCs w:val="22"/>
        </w:rPr>
        <w:t>T</w:t>
      </w:r>
      <w:r w:rsidRPr="003512FA">
        <w:rPr>
          <w:rFonts w:ascii="Arial" w:hAnsi="Arial" w:cs="Arial"/>
          <w:sz w:val="22"/>
          <w:szCs w:val="22"/>
        </w:rPr>
        <w:t xml:space="preserve">he proposed rezoning has no environmental implications.  </w:t>
      </w:r>
      <w:r w:rsidR="00F139AA">
        <w:rPr>
          <w:rFonts w:ascii="Arial" w:hAnsi="Arial" w:cs="Arial"/>
          <w:sz w:val="22"/>
          <w:szCs w:val="22"/>
        </w:rPr>
        <w:t>A</w:t>
      </w:r>
      <w:r w:rsidRPr="003512FA">
        <w:rPr>
          <w:rFonts w:ascii="Arial" w:hAnsi="Arial" w:cs="Arial"/>
          <w:sz w:val="22"/>
          <w:szCs w:val="22"/>
        </w:rPr>
        <w:t xml:space="preserve"> previous combined amendment and permit application included </w:t>
      </w:r>
      <w:r w:rsidR="00F139AA">
        <w:rPr>
          <w:rFonts w:ascii="Arial" w:hAnsi="Arial" w:cs="Arial"/>
          <w:sz w:val="22"/>
          <w:szCs w:val="22"/>
        </w:rPr>
        <w:t>an</w:t>
      </w:r>
      <w:r w:rsidRPr="003512FA">
        <w:rPr>
          <w:rFonts w:ascii="Arial" w:hAnsi="Arial" w:cs="Arial"/>
          <w:sz w:val="22"/>
          <w:szCs w:val="22"/>
        </w:rPr>
        <w:t xml:space="preserve"> on-site environmental assessment conducted by Douglas Partners to provide an indication of the contamination status of the soils and groundwater.  Based on the 32 soil samples taken across the site, no remedial earthworks </w:t>
      </w:r>
      <w:r w:rsidR="00F139AA">
        <w:rPr>
          <w:rFonts w:ascii="Arial" w:hAnsi="Arial" w:cs="Arial"/>
          <w:sz w:val="22"/>
          <w:szCs w:val="22"/>
        </w:rPr>
        <w:t>were</w:t>
      </w:r>
      <w:r w:rsidRPr="003512FA">
        <w:rPr>
          <w:rFonts w:ascii="Arial" w:hAnsi="Arial" w:cs="Arial"/>
          <w:sz w:val="22"/>
          <w:szCs w:val="22"/>
        </w:rPr>
        <w:t xml:space="preserve"> considered necessary and the existing soils </w:t>
      </w:r>
      <w:r w:rsidR="00F139AA">
        <w:rPr>
          <w:rFonts w:ascii="Arial" w:hAnsi="Arial" w:cs="Arial"/>
          <w:sz w:val="22"/>
          <w:szCs w:val="22"/>
        </w:rPr>
        <w:t>were</w:t>
      </w:r>
      <w:r w:rsidRPr="003512FA">
        <w:rPr>
          <w:rFonts w:ascii="Arial" w:hAnsi="Arial" w:cs="Arial"/>
          <w:sz w:val="22"/>
          <w:szCs w:val="22"/>
        </w:rPr>
        <w:t xml:space="preserve"> considered suitable for future commercial/retail use.  A series of groundwater sampling was also conducted, with Douglas Partners confirming that ground water condition of the site is no</w:t>
      </w:r>
      <w:r w:rsidR="00F139AA">
        <w:rPr>
          <w:rFonts w:ascii="Arial" w:hAnsi="Arial" w:cs="Arial"/>
          <w:sz w:val="22"/>
          <w:szCs w:val="22"/>
        </w:rPr>
        <w:t>t</w:t>
      </w:r>
      <w:r w:rsidRPr="003512FA">
        <w:rPr>
          <w:rFonts w:ascii="Arial" w:hAnsi="Arial" w:cs="Arial"/>
          <w:sz w:val="22"/>
          <w:szCs w:val="22"/>
        </w:rPr>
        <w:t xml:space="preserve"> considered to warrant active remediation.</w:t>
      </w:r>
    </w:p>
    <w:p w:rsidR="003512FA" w:rsidRPr="003512FA" w:rsidRDefault="003512FA" w:rsidP="003512FA">
      <w:pPr>
        <w:spacing w:before="120"/>
        <w:ind w:left="284"/>
        <w:jc w:val="both"/>
        <w:rPr>
          <w:rFonts w:ascii="Arial" w:hAnsi="Arial" w:cs="Arial"/>
          <w:sz w:val="22"/>
          <w:szCs w:val="22"/>
        </w:rPr>
      </w:pPr>
      <w:r w:rsidRPr="003512FA">
        <w:rPr>
          <w:rFonts w:ascii="Arial" w:hAnsi="Arial" w:cs="Arial"/>
          <w:sz w:val="22"/>
          <w:szCs w:val="22"/>
        </w:rPr>
        <w:t>The EPA has commented that in light of this environmental site assessment the rezoning will not have any further impact on the beneficial uses of the site.  It recommends that prior to any future development that Council rea</w:t>
      </w:r>
      <w:r w:rsidR="00F139AA">
        <w:rPr>
          <w:rFonts w:ascii="Arial" w:hAnsi="Arial" w:cs="Arial"/>
          <w:sz w:val="22"/>
          <w:szCs w:val="22"/>
        </w:rPr>
        <w:t>ssess the suitability of the sit</w:t>
      </w:r>
      <w:r w:rsidRPr="003512FA">
        <w:rPr>
          <w:rFonts w:ascii="Arial" w:hAnsi="Arial" w:cs="Arial"/>
          <w:sz w:val="22"/>
          <w:szCs w:val="22"/>
        </w:rPr>
        <w:t>e for the given application as a result of the findings of the Douglas Partners Report.</w:t>
      </w:r>
    </w:p>
    <w:p w:rsidR="00551A9B" w:rsidRDefault="00F139AA" w:rsidP="003512FA">
      <w:pPr>
        <w:spacing w:before="120"/>
        <w:ind w:left="284"/>
        <w:jc w:val="both"/>
        <w:rPr>
          <w:rFonts w:ascii="Arial" w:hAnsi="Arial" w:cs="Arial"/>
          <w:sz w:val="22"/>
          <w:szCs w:val="22"/>
        </w:rPr>
      </w:pPr>
      <w:r>
        <w:rPr>
          <w:rFonts w:ascii="Arial" w:hAnsi="Arial" w:cs="Arial"/>
          <w:sz w:val="22"/>
          <w:szCs w:val="22"/>
        </w:rPr>
        <w:t>N</w:t>
      </w:r>
      <w:r w:rsidR="003512FA" w:rsidRPr="003512FA">
        <w:rPr>
          <w:rFonts w:ascii="Arial" w:hAnsi="Arial" w:cs="Arial"/>
          <w:sz w:val="22"/>
          <w:szCs w:val="22"/>
        </w:rPr>
        <w:t>oise from any future use impacting on adjacent residential use and any contaminated land from previous service station use, can be addressed with the planning permits for such use</w:t>
      </w:r>
      <w:r w:rsidR="003512FA">
        <w:rPr>
          <w:rFonts w:ascii="Arial" w:hAnsi="Arial" w:cs="Arial"/>
          <w:sz w:val="22"/>
          <w:szCs w:val="22"/>
        </w:rPr>
        <w:t>.</w:t>
      </w:r>
    </w:p>
    <w:p w:rsidR="003512FA" w:rsidRPr="003512FA" w:rsidRDefault="003512FA" w:rsidP="003512FA">
      <w:pPr>
        <w:spacing w:before="120"/>
        <w:ind w:left="284"/>
        <w:jc w:val="both"/>
        <w:rPr>
          <w:rFonts w:ascii="Arial" w:hAnsi="Arial" w:cs="Arial"/>
          <w:sz w:val="22"/>
          <w:szCs w:val="22"/>
        </w:rPr>
      </w:pPr>
      <w:r w:rsidRPr="003512FA">
        <w:rPr>
          <w:rFonts w:ascii="Arial" w:hAnsi="Arial" w:cs="Arial"/>
          <w:sz w:val="22"/>
          <w:szCs w:val="22"/>
        </w:rPr>
        <w:t>No adverse social impacts are expected to result from this amendment</w:t>
      </w:r>
      <w:r>
        <w:rPr>
          <w:rFonts w:ascii="Arial" w:hAnsi="Arial" w:cs="Arial"/>
          <w:sz w:val="22"/>
          <w:szCs w:val="22"/>
        </w:rPr>
        <w:t>.</w:t>
      </w:r>
    </w:p>
    <w:p w:rsidR="00551A9B" w:rsidRPr="00F21E47" w:rsidRDefault="00D64F31" w:rsidP="00D64F31">
      <w:pPr>
        <w:pStyle w:val="Heading3"/>
        <w:keepNext w:val="0"/>
        <w:keepLines w:val="0"/>
        <w:numPr>
          <w:ilvl w:val="0"/>
          <w:numId w:val="2"/>
        </w:numPr>
        <w:tabs>
          <w:tab w:val="clear" w:pos="360"/>
          <w:tab w:val="num" w:pos="284"/>
        </w:tabs>
        <w:spacing w:line="240" w:lineRule="auto"/>
        <w:ind w:left="284" w:hanging="284"/>
        <w:jc w:val="both"/>
        <w:rPr>
          <w:rFonts w:ascii="Arial" w:hAnsi="Arial" w:cs="Arial"/>
          <w:b/>
          <w:szCs w:val="24"/>
        </w:rPr>
      </w:pPr>
      <w:r w:rsidRPr="00F21E47">
        <w:rPr>
          <w:rFonts w:ascii="Arial" w:hAnsi="Arial" w:cs="Arial"/>
          <w:b/>
          <w:smallCaps w:val="0"/>
          <w:szCs w:val="24"/>
        </w:rPr>
        <w:t>Does the amendment address relevant bushfire risk?</w:t>
      </w:r>
    </w:p>
    <w:p w:rsidR="00B763A9" w:rsidRPr="003512FA" w:rsidRDefault="00B763A9" w:rsidP="003512FA">
      <w:pPr>
        <w:spacing w:before="120"/>
        <w:ind w:left="284"/>
        <w:jc w:val="both"/>
        <w:rPr>
          <w:rFonts w:ascii="Arial" w:hAnsi="Arial" w:cs="Arial"/>
          <w:sz w:val="22"/>
          <w:szCs w:val="22"/>
        </w:rPr>
      </w:pPr>
      <w:r w:rsidRPr="003512FA">
        <w:rPr>
          <w:rFonts w:ascii="Arial" w:hAnsi="Arial" w:cs="Arial"/>
          <w:sz w:val="22"/>
          <w:szCs w:val="22"/>
        </w:rPr>
        <w:t>As the subject land is in the middle of an established urban area within Geelong, it is considered to have no bushfire risk.</w:t>
      </w:r>
    </w:p>
    <w:p w:rsidR="00551A9B" w:rsidRPr="00F21E47" w:rsidRDefault="00D64F31" w:rsidP="00D64F31">
      <w:pPr>
        <w:pStyle w:val="Heading3"/>
        <w:keepNext w:val="0"/>
        <w:keepLines w:val="0"/>
        <w:numPr>
          <w:ilvl w:val="0"/>
          <w:numId w:val="2"/>
        </w:numPr>
        <w:tabs>
          <w:tab w:val="clear" w:pos="360"/>
          <w:tab w:val="num" w:pos="284"/>
        </w:tabs>
        <w:spacing w:line="240" w:lineRule="auto"/>
        <w:ind w:left="284" w:hanging="284"/>
        <w:jc w:val="both"/>
        <w:rPr>
          <w:rFonts w:ascii="Arial" w:hAnsi="Arial" w:cs="Arial"/>
          <w:b/>
          <w:szCs w:val="24"/>
        </w:rPr>
      </w:pPr>
      <w:r w:rsidRPr="00F21E47">
        <w:rPr>
          <w:rFonts w:ascii="Arial" w:hAnsi="Arial" w:cs="Arial"/>
          <w:b/>
          <w:smallCaps w:val="0"/>
          <w:szCs w:val="24"/>
        </w:rPr>
        <w:t>Does the amendment comply with the requirements of any Minister’s Direction applicable to the amendment?</w:t>
      </w:r>
    </w:p>
    <w:p w:rsidR="00A54708" w:rsidRPr="003512FA" w:rsidRDefault="00A54708" w:rsidP="003512FA">
      <w:pPr>
        <w:spacing w:before="120"/>
        <w:ind w:left="284"/>
        <w:jc w:val="both"/>
        <w:rPr>
          <w:rFonts w:ascii="Arial" w:hAnsi="Arial" w:cs="Arial"/>
          <w:sz w:val="22"/>
          <w:szCs w:val="22"/>
        </w:rPr>
      </w:pPr>
      <w:r w:rsidRPr="003512FA">
        <w:rPr>
          <w:rFonts w:ascii="Arial" w:hAnsi="Arial" w:cs="Arial"/>
          <w:sz w:val="22"/>
          <w:szCs w:val="22"/>
        </w:rPr>
        <w:t>The Ministerial Direction on the ‘Form and Content’ of Planning Schemes sets out the requirements for the format of Planning Schemes across Victoria.  The proposed amendment is consistent with this direction and proposes to include an existing VPP Zone and a revised zoning and overlay map within the Greater Geelong Planning Scheme.</w:t>
      </w:r>
    </w:p>
    <w:p w:rsidR="00A54708" w:rsidRPr="003512FA" w:rsidRDefault="00A54708" w:rsidP="003512FA">
      <w:pPr>
        <w:spacing w:before="120"/>
        <w:ind w:left="284"/>
        <w:jc w:val="both"/>
        <w:rPr>
          <w:rFonts w:ascii="Arial" w:hAnsi="Arial" w:cs="Arial"/>
          <w:sz w:val="22"/>
          <w:szCs w:val="22"/>
        </w:rPr>
      </w:pPr>
      <w:r w:rsidRPr="003512FA">
        <w:rPr>
          <w:rFonts w:ascii="Arial" w:hAnsi="Arial" w:cs="Arial"/>
          <w:sz w:val="22"/>
          <w:szCs w:val="22"/>
        </w:rPr>
        <w:t>Ministerial Direction No.1 ‘Potentially Contaminated Land’ requires a planning authority to satisfy itself that the environmental conditions of that land are or will be suitable for that use.  There is no current proposal to develop the land for a ‘sensitive use’ although it is recognised that the site has been previously issued a planning permit for the installation of underground storage tanks.</w:t>
      </w:r>
    </w:p>
    <w:p w:rsidR="00A54708" w:rsidRPr="003512FA" w:rsidRDefault="00A54708" w:rsidP="003512FA">
      <w:pPr>
        <w:spacing w:before="120"/>
        <w:ind w:left="284"/>
        <w:jc w:val="both"/>
        <w:rPr>
          <w:rFonts w:ascii="Arial" w:hAnsi="Arial" w:cs="Arial"/>
          <w:sz w:val="22"/>
          <w:szCs w:val="22"/>
        </w:rPr>
      </w:pPr>
      <w:r w:rsidRPr="003512FA">
        <w:rPr>
          <w:rFonts w:ascii="Arial" w:hAnsi="Arial" w:cs="Arial"/>
          <w:sz w:val="22"/>
          <w:szCs w:val="22"/>
        </w:rPr>
        <w:t xml:space="preserve">It was noted in </w:t>
      </w:r>
      <w:r w:rsidR="00F139AA">
        <w:rPr>
          <w:rFonts w:ascii="Arial" w:hAnsi="Arial" w:cs="Arial"/>
          <w:sz w:val="22"/>
          <w:szCs w:val="22"/>
        </w:rPr>
        <w:t>a</w:t>
      </w:r>
      <w:r w:rsidRPr="003512FA">
        <w:rPr>
          <w:rFonts w:ascii="Arial" w:hAnsi="Arial" w:cs="Arial"/>
          <w:sz w:val="22"/>
          <w:szCs w:val="22"/>
        </w:rPr>
        <w:t xml:space="preserve"> previous rezoning request for this site that an on-site environmental assessment was undertaken by Douglas Partners to provide an indication of the contamination status of the soils and groundwater of the site.</w:t>
      </w:r>
    </w:p>
    <w:p w:rsidR="00A54708" w:rsidRPr="003512FA" w:rsidRDefault="00A54708" w:rsidP="003512FA">
      <w:pPr>
        <w:spacing w:before="120"/>
        <w:ind w:left="284"/>
        <w:jc w:val="both"/>
        <w:rPr>
          <w:rFonts w:ascii="Arial" w:hAnsi="Arial" w:cs="Arial"/>
          <w:sz w:val="22"/>
          <w:szCs w:val="22"/>
        </w:rPr>
      </w:pPr>
      <w:r w:rsidRPr="003512FA">
        <w:rPr>
          <w:rFonts w:ascii="Arial" w:hAnsi="Arial" w:cs="Arial"/>
          <w:sz w:val="22"/>
          <w:szCs w:val="22"/>
        </w:rPr>
        <w:t>The report stated that the underground storage tanks, fuel bowsers and mechanical hoists were removed and based on soil samples taken, no remedial earthworks are considered necessary.  In addition to that, Douglas Partners previously confirmed that the ground water condition at the site is not considered to warrant active remediation.</w:t>
      </w:r>
    </w:p>
    <w:p w:rsidR="00A54708" w:rsidRPr="003512FA" w:rsidRDefault="00A54708" w:rsidP="003512FA">
      <w:pPr>
        <w:spacing w:before="120"/>
        <w:ind w:left="284"/>
        <w:jc w:val="both"/>
        <w:rPr>
          <w:rFonts w:ascii="Arial" w:hAnsi="Arial" w:cs="Arial"/>
          <w:sz w:val="22"/>
          <w:szCs w:val="22"/>
        </w:rPr>
      </w:pPr>
      <w:r w:rsidRPr="003512FA">
        <w:rPr>
          <w:rFonts w:ascii="Arial" w:hAnsi="Arial" w:cs="Arial"/>
          <w:sz w:val="22"/>
          <w:szCs w:val="22"/>
        </w:rPr>
        <w:t xml:space="preserve">Lastly, Ministerial Direction No. 11 ‘Strategic Assessment of Amendments’ applies to the preparation of all planning scheme amendments other than ‘a correction to a planning </w:t>
      </w:r>
      <w:r w:rsidRPr="003512FA">
        <w:rPr>
          <w:rFonts w:ascii="Arial" w:hAnsi="Arial" w:cs="Arial"/>
          <w:sz w:val="22"/>
          <w:szCs w:val="22"/>
        </w:rPr>
        <w:lastRenderedPageBreak/>
        <w:t>scheme’.</w:t>
      </w:r>
      <w:r w:rsidR="00F139AA">
        <w:rPr>
          <w:rFonts w:ascii="Arial" w:hAnsi="Arial" w:cs="Arial"/>
          <w:sz w:val="22"/>
          <w:szCs w:val="22"/>
        </w:rPr>
        <w:t xml:space="preserve">  This Explanatory Report provides the strategic evaluation required by this Direction.</w:t>
      </w:r>
    </w:p>
    <w:p w:rsidR="00551A9B" w:rsidRPr="00F21E47" w:rsidRDefault="00D64F31" w:rsidP="00D64F31">
      <w:pPr>
        <w:pStyle w:val="Heading3"/>
        <w:keepNext w:val="0"/>
        <w:keepLines w:val="0"/>
        <w:numPr>
          <w:ilvl w:val="0"/>
          <w:numId w:val="2"/>
        </w:numPr>
        <w:tabs>
          <w:tab w:val="clear" w:pos="360"/>
          <w:tab w:val="num" w:pos="284"/>
        </w:tabs>
        <w:spacing w:line="240" w:lineRule="auto"/>
        <w:ind w:left="284" w:hanging="284"/>
        <w:jc w:val="both"/>
        <w:rPr>
          <w:rFonts w:ascii="Arial" w:hAnsi="Arial" w:cs="Arial"/>
          <w:b/>
          <w:szCs w:val="24"/>
        </w:rPr>
      </w:pPr>
      <w:r w:rsidRPr="00F21E47">
        <w:rPr>
          <w:rFonts w:ascii="Arial" w:hAnsi="Arial" w:cs="Arial"/>
          <w:b/>
          <w:smallCaps w:val="0"/>
          <w:szCs w:val="24"/>
        </w:rPr>
        <w:t>How does the amendment support or implement the State Planning Policy Framework and any adopted State policy?</w:t>
      </w:r>
    </w:p>
    <w:p w:rsidR="003512FA" w:rsidRPr="003512FA" w:rsidRDefault="003512FA" w:rsidP="003512FA">
      <w:pPr>
        <w:spacing w:before="120"/>
        <w:ind w:left="284"/>
        <w:jc w:val="both"/>
        <w:rPr>
          <w:rFonts w:ascii="Arial" w:hAnsi="Arial" w:cs="Arial"/>
          <w:sz w:val="22"/>
          <w:szCs w:val="22"/>
        </w:rPr>
      </w:pPr>
      <w:r w:rsidRPr="003512FA">
        <w:rPr>
          <w:rFonts w:ascii="Arial" w:hAnsi="Arial" w:cs="Arial"/>
          <w:sz w:val="22"/>
          <w:szCs w:val="22"/>
        </w:rPr>
        <w:t xml:space="preserve">The State Planning Policy Framework generally encourages the development of a range of land uses which are complementary to surrounding areas.  The proposed amendment seeks to rectify an anomaly in the zoning of this property to reflect the anticipated (previous and ongoing) future land use.  This transparency of land use is consistent with the goals of the SPPF at clause 10.02 which seeks </w:t>
      </w:r>
      <w:r w:rsidRPr="00F139AA">
        <w:rPr>
          <w:rFonts w:ascii="Arial" w:hAnsi="Arial" w:cs="Arial"/>
          <w:i/>
          <w:sz w:val="22"/>
          <w:szCs w:val="22"/>
        </w:rPr>
        <w:t>‘to provide for the fair, orderly, economic and sustainable use and development of land</w:t>
      </w:r>
      <w:r w:rsidRPr="003512FA">
        <w:rPr>
          <w:rFonts w:ascii="Arial" w:hAnsi="Arial" w:cs="Arial"/>
          <w:sz w:val="22"/>
          <w:szCs w:val="22"/>
        </w:rPr>
        <w:t>’.</w:t>
      </w:r>
    </w:p>
    <w:p w:rsidR="003512FA" w:rsidRPr="003512FA" w:rsidRDefault="003512FA" w:rsidP="003512FA">
      <w:pPr>
        <w:spacing w:before="120"/>
        <w:ind w:left="284"/>
        <w:jc w:val="both"/>
        <w:rPr>
          <w:rFonts w:ascii="Arial" w:hAnsi="Arial" w:cs="Arial"/>
          <w:sz w:val="22"/>
          <w:szCs w:val="22"/>
        </w:rPr>
      </w:pPr>
      <w:r w:rsidRPr="003512FA">
        <w:rPr>
          <w:rFonts w:ascii="Arial" w:hAnsi="Arial" w:cs="Arial"/>
          <w:sz w:val="22"/>
          <w:szCs w:val="22"/>
        </w:rPr>
        <w:t>The proposal to rezone this portion of the site is also consistent with the ‘Activity Centre’ objectives of Clause 11.01 and 11.04-2 by clarifying the intent of this land parcel which will enable ‘appropriately located’ commercial land uses to utilise the site within an existing activity centre.  In turn, this will provide certainty to the community and the local economy thereby meeting the requirements of Clause 17.01.</w:t>
      </w:r>
    </w:p>
    <w:p w:rsidR="00551A9B" w:rsidRPr="00F21E47" w:rsidRDefault="00D64F31" w:rsidP="00D64F31">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F21E47">
        <w:rPr>
          <w:rFonts w:ascii="Arial" w:hAnsi="Arial" w:cs="Arial"/>
          <w:b/>
          <w:smallCaps w:val="0"/>
          <w:szCs w:val="24"/>
        </w:rPr>
        <w:t>How does the amendment support or implement the Local Planning Policy Framework, and specifically the Municipal Strategic Statement?</w:t>
      </w:r>
    </w:p>
    <w:p w:rsidR="003512FA" w:rsidRPr="003512FA" w:rsidRDefault="003512FA" w:rsidP="003512FA">
      <w:pPr>
        <w:spacing w:before="120"/>
        <w:ind w:left="284"/>
        <w:jc w:val="both"/>
        <w:rPr>
          <w:rFonts w:ascii="Arial" w:hAnsi="Arial" w:cs="Arial"/>
          <w:sz w:val="22"/>
          <w:szCs w:val="22"/>
        </w:rPr>
      </w:pPr>
      <w:r w:rsidRPr="003512FA">
        <w:rPr>
          <w:rFonts w:ascii="Arial" w:hAnsi="Arial" w:cs="Arial"/>
          <w:sz w:val="22"/>
          <w:szCs w:val="22"/>
        </w:rPr>
        <w:t>The rezoning will reflect and further support the status of land as a part of the Shannon Avenue (Newtown) Neighbourhood Centre by enabling the western portion of the site to be used for commercial land use purposes (an intention clearly contemplated in the past use of the site as a petrol station and its current designation under Clause 21.07.</w:t>
      </w:r>
    </w:p>
    <w:p w:rsidR="003512FA" w:rsidRPr="003512FA" w:rsidRDefault="003512FA" w:rsidP="003512FA">
      <w:pPr>
        <w:spacing w:before="120"/>
        <w:ind w:left="284"/>
        <w:jc w:val="both"/>
        <w:rPr>
          <w:rFonts w:ascii="Arial" w:hAnsi="Arial" w:cs="Arial"/>
          <w:sz w:val="22"/>
          <w:szCs w:val="22"/>
        </w:rPr>
      </w:pPr>
      <w:r w:rsidRPr="003512FA">
        <w:rPr>
          <w:rFonts w:ascii="Arial" w:hAnsi="Arial" w:cs="Arial"/>
          <w:sz w:val="22"/>
          <w:szCs w:val="22"/>
        </w:rPr>
        <w:t>The clarification of land use will further promote and enhance the development potential of the site for a commercial purpose, consistent with the objectives of a Neighbourhood Centre (Clause 21.07)</w:t>
      </w:r>
      <w:r w:rsidR="00F139AA">
        <w:rPr>
          <w:rFonts w:ascii="Arial" w:hAnsi="Arial" w:cs="Arial"/>
          <w:sz w:val="22"/>
          <w:szCs w:val="22"/>
        </w:rPr>
        <w:t>.</w:t>
      </w:r>
    </w:p>
    <w:p w:rsidR="003512FA" w:rsidRDefault="003512FA" w:rsidP="003512FA">
      <w:pPr>
        <w:spacing w:before="120"/>
        <w:ind w:left="284"/>
        <w:jc w:val="both"/>
        <w:rPr>
          <w:rFonts w:ascii="Arial" w:hAnsi="Arial" w:cs="Arial"/>
          <w:sz w:val="22"/>
          <w:szCs w:val="22"/>
        </w:rPr>
      </w:pPr>
      <w:r w:rsidRPr="003512FA">
        <w:rPr>
          <w:rFonts w:ascii="Arial" w:hAnsi="Arial" w:cs="Arial"/>
          <w:sz w:val="22"/>
          <w:szCs w:val="22"/>
        </w:rPr>
        <w:t>The increase in commercial land are</w:t>
      </w:r>
      <w:r>
        <w:rPr>
          <w:rFonts w:ascii="Arial" w:hAnsi="Arial" w:cs="Arial"/>
          <w:sz w:val="22"/>
          <w:szCs w:val="22"/>
        </w:rPr>
        <w:t>a</w:t>
      </w:r>
      <w:r w:rsidRPr="003512FA">
        <w:rPr>
          <w:rFonts w:ascii="Arial" w:hAnsi="Arial" w:cs="Arial"/>
          <w:sz w:val="22"/>
          <w:szCs w:val="22"/>
        </w:rPr>
        <w:t xml:space="preserve"> (approximately 890m2) will be negligible on the broader context of the neighbourhood centre which currently contains approximately 4,100 square metres of retail floor space.  The rezoning will not significantly alter how the land has previously been used (i.e. commercial)</w:t>
      </w:r>
      <w:r>
        <w:rPr>
          <w:rFonts w:ascii="Arial" w:hAnsi="Arial" w:cs="Arial"/>
          <w:sz w:val="22"/>
          <w:szCs w:val="22"/>
        </w:rPr>
        <w:t>.</w:t>
      </w:r>
    </w:p>
    <w:p w:rsidR="003512FA" w:rsidRPr="003512FA" w:rsidRDefault="003512FA" w:rsidP="003512FA">
      <w:pPr>
        <w:spacing w:before="120"/>
        <w:ind w:left="284"/>
        <w:jc w:val="both"/>
        <w:rPr>
          <w:rFonts w:ascii="Arial" w:hAnsi="Arial" w:cs="Arial"/>
          <w:sz w:val="22"/>
          <w:szCs w:val="22"/>
        </w:rPr>
      </w:pPr>
      <w:r w:rsidRPr="003512FA">
        <w:rPr>
          <w:rFonts w:ascii="Arial" w:hAnsi="Arial" w:cs="Arial"/>
          <w:sz w:val="22"/>
          <w:szCs w:val="22"/>
        </w:rPr>
        <w:t>The Greater Geelong Retail Strategy (June 2006) is a reference document in the Planning Scheme and provides a hierarchy of preferences for the location of new retail development.  Preference is given to sites located within existing identified activity centres.  If no sites are available within existing activity centres, the next preference is for ‘edge-of-centre’ sites.  Given the subject site is in two zones, the proposed rezoning can be classified as both ‘in-centre’ and ‘out-of-centre’ development, and will extend the Commercial 1 zoned land west</w:t>
      </w:r>
      <w:r w:rsidR="00F139AA">
        <w:rPr>
          <w:rFonts w:ascii="Arial" w:hAnsi="Arial" w:cs="Arial"/>
          <w:sz w:val="22"/>
          <w:szCs w:val="22"/>
        </w:rPr>
        <w:t>ward</w:t>
      </w:r>
      <w:r w:rsidRPr="003512FA">
        <w:rPr>
          <w:rFonts w:ascii="Arial" w:hAnsi="Arial" w:cs="Arial"/>
          <w:sz w:val="22"/>
          <w:szCs w:val="22"/>
        </w:rPr>
        <w:t xml:space="preserve"> to the title boundary.</w:t>
      </w:r>
    </w:p>
    <w:p w:rsidR="003512FA" w:rsidRPr="00507BEC" w:rsidRDefault="003512FA" w:rsidP="003512FA">
      <w:pPr>
        <w:spacing w:before="120"/>
        <w:ind w:left="284"/>
        <w:jc w:val="both"/>
        <w:rPr>
          <w:rFonts w:ascii="Arial" w:hAnsi="Arial" w:cs="Arial"/>
          <w:sz w:val="22"/>
          <w:szCs w:val="22"/>
        </w:rPr>
      </w:pPr>
      <w:r w:rsidRPr="00507BEC">
        <w:rPr>
          <w:rFonts w:ascii="Arial" w:hAnsi="Arial" w:cs="Arial"/>
          <w:sz w:val="22"/>
          <w:szCs w:val="22"/>
        </w:rPr>
        <w:t>The rezoning is considered to be consistent with the principles and actions identified in the Retail Strategy, including supporting the retail hierarchy, to consolidate activities in Centres, to consolidate the network of local convenience centres and to ensure continuity of retail frontage where possible.</w:t>
      </w:r>
    </w:p>
    <w:p w:rsidR="003512FA" w:rsidRPr="003512FA" w:rsidRDefault="003512FA" w:rsidP="003512FA">
      <w:pPr>
        <w:spacing w:before="120"/>
        <w:ind w:left="284"/>
        <w:jc w:val="both"/>
        <w:rPr>
          <w:rFonts w:ascii="Arial" w:hAnsi="Arial" w:cs="Arial"/>
          <w:sz w:val="22"/>
          <w:szCs w:val="22"/>
        </w:rPr>
      </w:pPr>
      <w:r w:rsidRPr="00507BEC">
        <w:rPr>
          <w:rFonts w:ascii="Arial" w:hAnsi="Arial" w:cs="Arial"/>
          <w:sz w:val="22"/>
          <w:szCs w:val="22"/>
        </w:rPr>
        <w:t>The Strategy acknowledges that the retail sector plays an important role in generating jobs and incomes, and that significant population growth is forecast for the Geelong region.  Policies to promote higher density living close to activity centres and the identification of the Fyansford area for infill urban growth (located 2km to the west of the site) further support the need for new retail floor space as well as to enable the redevelopment and improvement of existing retail floor space</w:t>
      </w:r>
      <w:r w:rsidR="00507BEC">
        <w:rPr>
          <w:rFonts w:ascii="Arial" w:hAnsi="Arial" w:cs="Arial"/>
          <w:sz w:val="22"/>
          <w:szCs w:val="22"/>
        </w:rPr>
        <w:t>.</w:t>
      </w:r>
    </w:p>
    <w:p w:rsidR="00551A9B" w:rsidRPr="00F21E47" w:rsidRDefault="00D64F31" w:rsidP="00D64F31">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F21E47">
        <w:rPr>
          <w:rFonts w:ascii="Arial" w:hAnsi="Arial" w:cs="Arial"/>
          <w:b/>
          <w:smallCaps w:val="0"/>
          <w:szCs w:val="24"/>
        </w:rPr>
        <w:t>Does the amendment make proper use of the Victoria Planning Provisions?</w:t>
      </w:r>
    </w:p>
    <w:p w:rsidR="00A54708" w:rsidRDefault="00A54708" w:rsidP="006712DF">
      <w:pPr>
        <w:spacing w:before="120"/>
        <w:ind w:left="284"/>
        <w:jc w:val="both"/>
        <w:rPr>
          <w:rFonts w:ascii="Arial" w:hAnsi="Arial" w:cs="Arial"/>
          <w:sz w:val="22"/>
          <w:szCs w:val="22"/>
        </w:rPr>
      </w:pPr>
      <w:r>
        <w:rPr>
          <w:rFonts w:ascii="Arial" w:hAnsi="Arial" w:cs="Arial"/>
          <w:sz w:val="22"/>
          <w:szCs w:val="22"/>
        </w:rPr>
        <w:t>The title known as 302-306 Aberdeen Street</w:t>
      </w:r>
      <w:r w:rsidR="00F139AA">
        <w:rPr>
          <w:rFonts w:ascii="Arial" w:hAnsi="Arial" w:cs="Arial"/>
          <w:sz w:val="22"/>
          <w:szCs w:val="22"/>
        </w:rPr>
        <w:t>, Manifold Heights</w:t>
      </w:r>
      <w:r>
        <w:rPr>
          <w:rFonts w:ascii="Arial" w:hAnsi="Arial" w:cs="Arial"/>
          <w:sz w:val="22"/>
          <w:szCs w:val="22"/>
        </w:rPr>
        <w:t xml:space="preserve"> is currently in two zones.  It is appropriate and proper for all land within a title to be included in the same land use </w:t>
      </w:r>
      <w:r>
        <w:rPr>
          <w:rFonts w:ascii="Arial" w:hAnsi="Arial" w:cs="Arial"/>
          <w:sz w:val="22"/>
          <w:szCs w:val="22"/>
        </w:rPr>
        <w:lastRenderedPageBreak/>
        <w:t>zoning.  As over 50% of the land is included in the Commercial 1 Zone, it has been considered appropriate to rezone the residential 1 zoned portion of the land to Commercial 1 Zone.  This is the correct zone to apply for land in Activity Centres.</w:t>
      </w:r>
    </w:p>
    <w:p w:rsidR="00A54708" w:rsidRDefault="00A54708" w:rsidP="006712DF">
      <w:pPr>
        <w:spacing w:before="120"/>
        <w:ind w:left="284"/>
        <w:jc w:val="both"/>
        <w:rPr>
          <w:rFonts w:ascii="Arial" w:hAnsi="Arial" w:cs="Arial"/>
          <w:sz w:val="22"/>
          <w:szCs w:val="22"/>
        </w:rPr>
      </w:pPr>
      <w:r>
        <w:rPr>
          <w:rFonts w:ascii="Arial" w:hAnsi="Arial" w:cs="Arial"/>
          <w:sz w:val="22"/>
          <w:szCs w:val="22"/>
        </w:rPr>
        <w:t>In conjunction with this, it is proposed to remove the Design and Development Overlay (Schedule 14) which applies to the residential portion of the land.  The deletion of DDO14 is appropriate in this instance as it applies to ‘</w:t>
      </w:r>
      <w:r w:rsidRPr="006712DF">
        <w:rPr>
          <w:rFonts w:ascii="Arial" w:hAnsi="Arial" w:cs="Arial"/>
          <w:sz w:val="22"/>
          <w:szCs w:val="22"/>
        </w:rPr>
        <w:t>dwellings over 7.5 metres in areas with access to views’</w:t>
      </w:r>
      <w:r w:rsidR="00F139AA">
        <w:rPr>
          <w:rFonts w:ascii="Arial" w:hAnsi="Arial" w:cs="Arial"/>
          <w:sz w:val="22"/>
          <w:szCs w:val="22"/>
        </w:rPr>
        <w:t xml:space="preserve"> and has run concurrent with Residential Zones.  It is no longer necessary with a Commercial Zone.</w:t>
      </w:r>
    </w:p>
    <w:p w:rsidR="00A16DA7" w:rsidRDefault="00A16DA7" w:rsidP="006712DF">
      <w:pPr>
        <w:spacing w:before="120"/>
        <w:ind w:left="284"/>
        <w:jc w:val="both"/>
        <w:rPr>
          <w:rFonts w:ascii="Arial" w:hAnsi="Arial" w:cs="Arial"/>
          <w:sz w:val="22"/>
          <w:szCs w:val="22"/>
        </w:rPr>
      </w:pPr>
      <w:r>
        <w:rPr>
          <w:rFonts w:ascii="Arial" w:hAnsi="Arial" w:cs="Arial"/>
          <w:sz w:val="22"/>
          <w:szCs w:val="22"/>
        </w:rPr>
        <w:t>With the whole of the land at 302-306 Aberdeen Street proposed to be included in the Commercial 1 Zone, the western part of the land becomes incorporated within the Aberdeen Street Shopping Centre Newtown and part of the activity centre.  It is therefore appropriate to amend the description of the Shopping Centre in the Schedule to Clause 52.28-4 of the Scheme to ensure that all of the land within the Centre is one where a gaming machine is prohibited.</w:t>
      </w:r>
    </w:p>
    <w:p w:rsidR="00551A9B" w:rsidRPr="00F21E47" w:rsidRDefault="00D64F31" w:rsidP="00D64F31">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F21E47">
        <w:rPr>
          <w:rFonts w:ascii="Arial" w:hAnsi="Arial" w:cs="Arial"/>
          <w:b/>
          <w:smallCaps w:val="0"/>
          <w:szCs w:val="24"/>
        </w:rPr>
        <w:t>How does the amendment address the views of any relevant agency?</w:t>
      </w:r>
    </w:p>
    <w:p w:rsidR="00551A9B" w:rsidRDefault="00A54708" w:rsidP="00551A9B">
      <w:pPr>
        <w:spacing w:before="120"/>
        <w:ind w:left="284"/>
        <w:jc w:val="both"/>
        <w:rPr>
          <w:rFonts w:ascii="Arial" w:hAnsi="Arial" w:cs="Arial"/>
          <w:sz w:val="22"/>
          <w:szCs w:val="22"/>
        </w:rPr>
      </w:pPr>
      <w:proofErr w:type="spellStart"/>
      <w:r>
        <w:rPr>
          <w:rFonts w:ascii="Arial" w:hAnsi="Arial" w:cs="Arial"/>
          <w:sz w:val="22"/>
          <w:szCs w:val="22"/>
        </w:rPr>
        <w:t>VicRoads</w:t>
      </w:r>
      <w:proofErr w:type="spellEnd"/>
      <w:r>
        <w:rPr>
          <w:rFonts w:ascii="Arial" w:hAnsi="Arial" w:cs="Arial"/>
          <w:sz w:val="22"/>
          <w:szCs w:val="22"/>
        </w:rPr>
        <w:t xml:space="preserve"> has outlined to Council the requirements for any future planning permit application for use and development of the site, in particular for access to and egress from th</w:t>
      </w:r>
      <w:r w:rsidR="00F139AA">
        <w:rPr>
          <w:rFonts w:ascii="Arial" w:hAnsi="Arial" w:cs="Arial"/>
          <w:sz w:val="22"/>
          <w:szCs w:val="22"/>
        </w:rPr>
        <w:t>e site off the two major roads,</w:t>
      </w:r>
      <w:r>
        <w:rPr>
          <w:rFonts w:ascii="Arial" w:hAnsi="Arial" w:cs="Arial"/>
          <w:sz w:val="22"/>
          <w:szCs w:val="22"/>
        </w:rPr>
        <w:t xml:space="preserve"> Aberdeen Street and Shannon Avenue.</w:t>
      </w:r>
    </w:p>
    <w:p w:rsidR="00A54708" w:rsidRPr="00F21E47" w:rsidRDefault="00A54708" w:rsidP="00551A9B">
      <w:pPr>
        <w:spacing w:before="120"/>
        <w:ind w:left="284"/>
        <w:jc w:val="both"/>
        <w:rPr>
          <w:rFonts w:ascii="Arial" w:hAnsi="Arial" w:cs="Arial"/>
          <w:sz w:val="22"/>
          <w:szCs w:val="22"/>
        </w:rPr>
      </w:pPr>
      <w:r>
        <w:rPr>
          <w:rFonts w:ascii="Arial" w:hAnsi="Arial" w:cs="Arial"/>
          <w:sz w:val="22"/>
          <w:szCs w:val="22"/>
        </w:rPr>
        <w:t>The EPA has recommended that prior to any future development on the site that Council reassess the suitability of the site in light of the findings of the Douglas Partners Report.</w:t>
      </w:r>
    </w:p>
    <w:p w:rsidR="00551A9B" w:rsidRPr="00F21E47" w:rsidRDefault="00D64F31" w:rsidP="00D64F31">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F21E47">
        <w:rPr>
          <w:rFonts w:ascii="Arial" w:hAnsi="Arial" w:cs="Arial"/>
          <w:b/>
          <w:smallCaps w:val="0"/>
          <w:szCs w:val="24"/>
        </w:rPr>
        <w:t>Does the amendment address relevant requirements of the Transport Integration Act 2010?</w:t>
      </w:r>
    </w:p>
    <w:p w:rsidR="00551A9B" w:rsidRPr="00F21E47" w:rsidRDefault="00A54708" w:rsidP="00551A9B">
      <w:pPr>
        <w:spacing w:before="120"/>
        <w:ind w:left="284"/>
        <w:jc w:val="both"/>
        <w:rPr>
          <w:rFonts w:ascii="Arial" w:hAnsi="Arial" w:cs="Arial"/>
          <w:sz w:val="22"/>
          <w:szCs w:val="22"/>
        </w:rPr>
      </w:pPr>
      <w:r>
        <w:rPr>
          <w:rFonts w:ascii="Arial" w:hAnsi="Arial" w:cs="Arial"/>
          <w:sz w:val="22"/>
          <w:szCs w:val="22"/>
        </w:rPr>
        <w:t>The amendment is unaffected by the requirements of the Transport Integration Act 2010.</w:t>
      </w:r>
    </w:p>
    <w:p w:rsidR="00551A9B" w:rsidRPr="00F21E47" w:rsidRDefault="00D64F31" w:rsidP="00551A9B">
      <w:pPr>
        <w:spacing w:before="360"/>
        <w:jc w:val="both"/>
        <w:outlineLvl w:val="1"/>
        <w:rPr>
          <w:rFonts w:ascii="Arial" w:hAnsi="Arial" w:cs="Arial"/>
          <w:b/>
          <w:bCs/>
          <w:sz w:val="24"/>
        </w:rPr>
      </w:pPr>
      <w:r w:rsidRPr="00F21E47">
        <w:rPr>
          <w:rFonts w:ascii="Arial" w:hAnsi="Arial" w:cs="Arial"/>
          <w:b/>
          <w:bCs/>
          <w:sz w:val="24"/>
        </w:rPr>
        <w:t>Resource and administrative costs</w:t>
      </w:r>
    </w:p>
    <w:p w:rsidR="00551A9B" w:rsidRPr="00510A59" w:rsidRDefault="00D64F31" w:rsidP="00D64F31">
      <w:pPr>
        <w:pStyle w:val="Heading3"/>
        <w:keepNext w:val="0"/>
        <w:keepLines w:val="0"/>
        <w:numPr>
          <w:ilvl w:val="0"/>
          <w:numId w:val="2"/>
        </w:numPr>
        <w:tabs>
          <w:tab w:val="clear" w:pos="360"/>
          <w:tab w:val="num" w:pos="284"/>
        </w:tabs>
        <w:spacing w:line="240" w:lineRule="auto"/>
        <w:ind w:left="284" w:hanging="284"/>
        <w:jc w:val="both"/>
        <w:rPr>
          <w:rFonts w:ascii="Arial" w:hAnsi="Arial" w:cs="Arial"/>
          <w:b/>
          <w:smallCaps w:val="0"/>
          <w:szCs w:val="24"/>
        </w:rPr>
      </w:pPr>
      <w:r w:rsidRPr="00510A59">
        <w:rPr>
          <w:rFonts w:ascii="Arial" w:hAnsi="Arial" w:cs="Arial"/>
          <w:b/>
          <w:smallCaps w:val="0"/>
          <w:szCs w:val="24"/>
        </w:rPr>
        <w:t>What impact will the new planning provisions have on the resource and administrative costs of the responsible authority?</w:t>
      </w:r>
    </w:p>
    <w:p w:rsidR="00551A9B" w:rsidRPr="00F21E47" w:rsidRDefault="00A54708" w:rsidP="00551A9B">
      <w:pPr>
        <w:spacing w:before="120"/>
        <w:jc w:val="both"/>
        <w:rPr>
          <w:rFonts w:ascii="Arial" w:hAnsi="Arial" w:cs="Arial"/>
          <w:sz w:val="22"/>
          <w:szCs w:val="22"/>
        </w:rPr>
      </w:pPr>
      <w:r>
        <w:rPr>
          <w:rFonts w:ascii="Arial" w:hAnsi="Arial" w:cs="Arial"/>
          <w:sz w:val="22"/>
          <w:szCs w:val="22"/>
        </w:rPr>
        <w:t>The new planning provisions will have a negligible impact on the resource and administrative costs of Council.</w:t>
      </w:r>
    </w:p>
    <w:p w:rsidR="00551A9B" w:rsidRPr="00F21E47" w:rsidRDefault="00D64F31" w:rsidP="00551A9B">
      <w:pPr>
        <w:spacing w:before="360"/>
        <w:jc w:val="both"/>
        <w:outlineLvl w:val="1"/>
        <w:rPr>
          <w:rFonts w:ascii="Arial" w:hAnsi="Arial" w:cs="Arial"/>
          <w:b/>
          <w:bCs/>
          <w:sz w:val="24"/>
        </w:rPr>
      </w:pPr>
      <w:r w:rsidRPr="00F21E47">
        <w:rPr>
          <w:rFonts w:ascii="Arial" w:hAnsi="Arial" w:cs="Arial"/>
          <w:b/>
          <w:bCs/>
          <w:sz w:val="24"/>
        </w:rPr>
        <w:t>Panel hearing dates</w:t>
      </w:r>
    </w:p>
    <w:p w:rsidR="00551A9B" w:rsidRPr="00F21E47" w:rsidRDefault="00D64F31" w:rsidP="00551A9B">
      <w:pPr>
        <w:spacing w:before="120"/>
        <w:jc w:val="both"/>
        <w:rPr>
          <w:rFonts w:ascii="Arial" w:hAnsi="Arial" w:cs="Arial"/>
          <w:sz w:val="22"/>
          <w:szCs w:val="22"/>
        </w:rPr>
      </w:pPr>
      <w:r w:rsidRPr="00F21E47">
        <w:rPr>
          <w:rFonts w:ascii="Arial" w:hAnsi="Arial" w:cs="Arial"/>
          <w:sz w:val="22"/>
          <w:szCs w:val="22"/>
        </w:rPr>
        <w:t>In accordance with clause 4(2) of Ministerial Direction No.15 the following panel hearing dates have been set for this amendment:</w:t>
      </w:r>
    </w:p>
    <w:p w:rsidR="00551A9B" w:rsidRPr="00F21E47" w:rsidRDefault="00D64F31" w:rsidP="00D64F31">
      <w:pPr>
        <w:numPr>
          <w:ilvl w:val="0"/>
          <w:numId w:val="5"/>
        </w:numPr>
        <w:spacing w:before="120" w:after="120"/>
        <w:ind w:left="357" w:hanging="357"/>
        <w:jc w:val="both"/>
        <w:rPr>
          <w:rFonts w:ascii="New York" w:hAnsi="New York"/>
          <w:sz w:val="22"/>
          <w:szCs w:val="22"/>
        </w:rPr>
      </w:pPr>
      <w:r w:rsidRPr="00F21E47">
        <w:rPr>
          <w:rFonts w:ascii="Arial" w:hAnsi="Arial" w:cs="Arial"/>
          <w:sz w:val="22"/>
          <w:szCs w:val="22"/>
        </w:rPr>
        <w:t xml:space="preserve">directions hearing:  </w:t>
      </w:r>
      <w:r w:rsidR="00552172">
        <w:rPr>
          <w:rFonts w:ascii="Arial" w:hAnsi="Arial" w:cs="Arial"/>
          <w:sz w:val="22"/>
          <w:szCs w:val="22"/>
        </w:rPr>
        <w:t>in the week of 23 June, 2014</w:t>
      </w:r>
    </w:p>
    <w:p w:rsidR="00551A9B" w:rsidRPr="00F21E47" w:rsidRDefault="00D64F31" w:rsidP="00D64F31">
      <w:pPr>
        <w:numPr>
          <w:ilvl w:val="0"/>
          <w:numId w:val="5"/>
        </w:numPr>
        <w:spacing w:before="120" w:after="120"/>
        <w:ind w:left="357" w:hanging="357"/>
        <w:jc w:val="both"/>
        <w:rPr>
          <w:sz w:val="22"/>
          <w:szCs w:val="22"/>
        </w:rPr>
      </w:pPr>
      <w:r w:rsidRPr="00F21E47">
        <w:rPr>
          <w:rFonts w:ascii="Arial" w:hAnsi="Arial" w:cs="Arial"/>
          <w:sz w:val="22"/>
          <w:szCs w:val="22"/>
        </w:rPr>
        <w:t xml:space="preserve">panel hearing:  </w:t>
      </w:r>
      <w:r w:rsidR="00552172">
        <w:rPr>
          <w:rFonts w:ascii="Arial" w:hAnsi="Arial" w:cs="Arial"/>
          <w:sz w:val="22"/>
          <w:szCs w:val="22"/>
        </w:rPr>
        <w:t>to commence in the week of 28 July, 2014</w:t>
      </w:r>
    </w:p>
    <w:p w:rsidR="00551A9B" w:rsidRPr="00F21E47" w:rsidRDefault="00D64F31" w:rsidP="00551A9B">
      <w:pPr>
        <w:spacing w:before="360"/>
        <w:jc w:val="both"/>
        <w:outlineLvl w:val="1"/>
        <w:rPr>
          <w:rFonts w:ascii="Arial" w:hAnsi="Arial" w:cs="Arial"/>
          <w:b/>
          <w:bCs/>
          <w:sz w:val="24"/>
        </w:rPr>
      </w:pPr>
      <w:r w:rsidRPr="00F21E47">
        <w:rPr>
          <w:rFonts w:ascii="Arial" w:hAnsi="Arial" w:cs="Arial"/>
          <w:b/>
          <w:bCs/>
          <w:sz w:val="24"/>
        </w:rPr>
        <w:t>Where you may inspect this Amendment</w:t>
      </w:r>
    </w:p>
    <w:p w:rsidR="00551A9B" w:rsidRPr="00F21E47" w:rsidRDefault="00D64F31" w:rsidP="00551A9B">
      <w:pPr>
        <w:spacing w:before="120" w:after="120"/>
        <w:jc w:val="both"/>
        <w:rPr>
          <w:rFonts w:ascii="Arial" w:hAnsi="Arial" w:cs="Arial"/>
          <w:sz w:val="22"/>
          <w:szCs w:val="22"/>
        </w:rPr>
      </w:pPr>
      <w:r w:rsidRPr="00F21E47">
        <w:rPr>
          <w:rFonts w:ascii="Arial" w:hAnsi="Arial" w:cs="Arial"/>
          <w:sz w:val="22"/>
          <w:szCs w:val="22"/>
        </w:rPr>
        <w:t>The amendment is available for public inspection, free of charge, during office hours at the following places:</w:t>
      </w:r>
    </w:p>
    <w:tbl>
      <w:tblPr>
        <w:tblW w:w="907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tblPr>
      <w:tblGrid>
        <w:gridCol w:w="9072"/>
      </w:tblGrid>
      <w:tr w:rsidR="00077846" w:rsidTr="00551A9B">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Pr>
          <w:p w:rsidR="00551A9B" w:rsidRPr="00C60089" w:rsidRDefault="00D64F31" w:rsidP="00551A9B">
            <w:pPr>
              <w:tabs>
                <w:tab w:val="left" w:pos="742"/>
              </w:tabs>
              <w:spacing w:before="120" w:after="120"/>
              <w:rPr>
                <w:rFonts w:ascii="Arial" w:hAnsi="Arial" w:cs="Arial"/>
                <w:sz w:val="22"/>
                <w:szCs w:val="22"/>
              </w:rPr>
            </w:pPr>
            <w:r w:rsidRPr="00C60089">
              <w:rPr>
                <w:rFonts w:ascii="Arial" w:hAnsi="Arial" w:cs="Arial"/>
                <w:b/>
                <w:sz w:val="22"/>
                <w:szCs w:val="22"/>
              </w:rPr>
              <w:t>Greater Geelong City Council</w:t>
            </w:r>
            <w:r w:rsidRPr="00C60089">
              <w:rPr>
                <w:rFonts w:ascii="Arial" w:hAnsi="Arial" w:cs="Arial"/>
                <w:sz w:val="22"/>
                <w:szCs w:val="22"/>
              </w:rPr>
              <w:t xml:space="preserve">, Customer Service Centre, Ground Floor, </w:t>
            </w:r>
            <w:r>
              <w:rPr>
                <w:rFonts w:ascii="Arial" w:hAnsi="Arial" w:cs="Arial"/>
                <w:sz w:val="22"/>
                <w:szCs w:val="22"/>
              </w:rPr>
              <w:t xml:space="preserve">100 Brougham </w:t>
            </w:r>
            <w:r w:rsidRPr="00C60089">
              <w:rPr>
                <w:rFonts w:ascii="Arial" w:hAnsi="Arial" w:cs="Arial"/>
                <w:sz w:val="22"/>
                <w:szCs w:val="22"/>
              </w:rPr>
              <w:t>Street. GEELONG</w:t>
            </w:r>
            <w:r w:rsidRPr="00C60089">
              <w:rPr>
                <w:rFonts w:ascii="Arial" w:hAnsi="Arial" w:cs="Arial"/>
                <w:b/>
                <w:sz w:val="22"/>
                <w:szCs w:val="22"/>
              </w:rPr>
              <w:t>– 8.00am to 5.00pm weekdays</w:t>
            </w:r>
            <w:r w:rsidRPr="00C60089">
              <w:rPr>
                <w:rFonts w:ascii="Arial" w:hAnsi="Arial" w:cs="Arial"/>
                <w:sz w:val="22"/>
                <w:szCs w:val="22"/>
              </w:rPr>
              <w:t xml:space="preserve"> </w:t>
            </w:r>
          </w:p>
        </w:tc>
      </w:tr>
      <w:tr w:rsidR="00077846" w:rsidTr="00551A9B">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Pr>
          <w:p w:rsidR="00551A9B" w:rsidRPr="00C60089" w:rsidRDefault="00D64F31" w:rsidP="00551A9B">
            <w:pPr>
              <w:tabs>
                <w:tab w:val="left" w:pos="742"/>
              </w:tabs>
              <w:spacing w:before="120" w:after="120"/>
              <w:rPr>
                <w:rFonts w:ascii="Arial" w:hAnsi="Arial" w:cs="Arial"/>
                <w:sz w:val="22"/>
                <w:szCs w:val="22"/>
              </w:rPr>
            </w:pPr>
            <w:r w:rsidRPr="00C60089">
              <w:rPr>
                <w:rFonts w:ascii="Arial" w:hAnsi="Arial" w:cs="Arial"/>
                <w:b/>
                <w:sz w:val="22"/>
                <w:szCs w:val="22"/>
              </w:rPr>
              <w:t>‘Have a Say’ section of the City’s website</w:t>
            </w:r>
            <w:r w:rsidRPr="00C60089">
              <w:rPr>
                <w:rFonts w:ascii="Arial" w:hAnsi="Arial" w:cs="Arial"/>
                <w:sz w:val="22"/>
                <w:szCs w:val="22"/>
              </w:rPr>
              <w:t xml:space="preserve"> </w:t>
            </w:r>
            <w:r w:rsidRPr="00820F5C">
              <w:rPr>
                <w:rFonts w:ascii="Arial" w:hAnsi="Arial" w:cs="Arial"/>
                <w:sz w:val="22"/>
                <w:szCs w:val="22"/>
              </w:rPr>
              <w:t>www.geelongaustralia.com.au/council/yoursay</w:t>
            </w:r>
            <w:r w:rsidRPr="00C60089">
              <w:rPr>
                <w:rFonts w:ascii="Arial" w:hAnsi="Arial" w:cs="Arial"/>
                <w:sz w:val="22"/>
                <w:szCs w:val="22"/>
              </w:rPr>
              <w:t xml:space="preserve"> </w:t>
            </w:r>
          </w:p>
        </w:tc>
      </w:tr>
      <w:tr w:rsidR="00077846" w:rsidTr="00551A9B">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Pr>
          <w:p w:rsidR="00551A9B" w:rsidRPr="00C60089" w:rsidRDefault="00D64F31" w:rsidP="00551A9B">
            <w:pPr>
              <w:spacing w:before="120"/>
              <w:rPr>
                <w:rFonts w:ascii="Arial" w:hAnsi="Arial" w:cs="Arial"/>
                <w:sz w:val="22"/>
                <w:szCs w:val="22"/>
              </w:rPr>
            </w:pPr>
            <w:r w:rsidRPr="00F21E47">
              <w:rPr>
                <w:rFonts w:ascii="Arial" w:hAnsi="Arial" w:cs="Arial"/>
                <w:sz w:val="22"/>
                <w:szCs w:val="22"/>
              </w:rPr>
              <w:lastRenderedPageBreak/>
              <w:t xml:space="preserve">Department of </w:t>
            </w:r>
            <w:r w:rsidR="00551A9B">
              <w:rPr>
                <w:rFonts w:ascii="Arial" w:hAnsi="Arial" w:cs="Arial"/>
                <w:sz w:val="22"/>
                <w:szCs w:val="22"/>
              </w:rPr>
              <w:t>State Development, Business and Innovation</w:t>
            </w:r>
            <w:r w:rsidRPr="00F21E47">
              <w:rPr>
                <w:rFonts w:ascii="Arial" w:hAnsi="Arial" w:cs="Arial"/>
                <w:sz w:val="22"/>
                <w:szCs w:val="22"/>
              </w:rPr>
              <w:t xml:space="preserve"> website at </w:t>
            </w:r>
            <w:hyperlink r:id="rId7" w:history="1">
              <w:r w:rsidRPr="00F21E47">
                <w:rPr>
                  <w:rFonts w:ascii="Arial" w:hAnsi="Arial" w:cs="Arial"/>
                  <w:color w:val="0000FF"/>
                  <w:sz w:val="22"/>
                  <w:u w:val="single"/>
                </w:rPr>
                <w:t>http://www.dpcd.vic.gov.au/planning/publicinspection</w:t>
              </w:r>
            </w:hyperlink>
          </w:p>
        </w:tc>
      </w:tr>
    </w:tbl>
    <w:p w:rsidR="00B763A9" w:rsidRDefault="00B763A9" w:rsidP="00B763A9">
      <w:pPr>
        <w:spacing w:before="360" w:after="120"/>
        <w:rPr>
          <w:rFonts w:ascii="Arial" w:hAnsi="Arial" w:cs="Arial"/>
          <w:b/>
          <w:sz w:val="24"/>
          <w:szCs w:val="24"/>
        </w:rPr>
      </w:pPr>
      <w:r>
        <w:rPr>
          <w:rFonts w:ascii="Arial" w:hAnsi="Arial" w:cs="Arial"/>
          <w:b/>
          <w:sz w:val="24"/>
          <w:szCs w:val="24"/>
        </w:rPr>
        <w:t>Further information</w:t>
      </w:r>
    </w:p>
    <w:p w:rsidR="00B763A9" w:rsidRDefault="00B763A9" w:rsidP="00B763A9">
      <w:pPr>
        <w:pStyle w:val="Bodytext1"/>
        <w:tabs>
          <w:tab w:val="left" w:pos="742"/>
        </w:tabs>
        <w:spacing w:after="120"/>
        <w:ind w:left="0"/>
        <w:jc w:val="left"/>
        <w:rPr>
          <w:rFonts w:ascii="Arial" w:hAnsi="Arial" w:cs="Arial"/>
          <w:szCs w:val="22"/>
        </w:rPr>
      </w:pPr>
      <w:r>
        <w:rPr>
          <w:rFonts w:ascii="Arial" w:hAnsi="Arial" w:cs="Arial"/>
          <w:szCs w:val="22"/>
        </w:rPr>
        <w:t>For further information about Amendment C302, please contact the Strategic Implementation Unit at the City of Greater Geelong on (03) 5272 48</w:t>
      </w:r>
      <w:r w:rsidR="00552172">
        <w:rPr>
          <w:rFonts w:ascii="Arial" w:hAnsi="Arial" w:cs="Arial"/>
          <w:szCs w:val="22"/>
        </w:rPr>
        <w:t>45</w:t>
      </w:r>
      <w:r>
        <w:rPr>
          <w:rFonts w:ascii="Arial" w:hAnsi="Arial" w:cs="Arial"/>
          <w:szCs w:val="22"/>
        </w:rPr>
        <w:t xml:space="preserve"> or via email </w:t>
      </w:r>
      <w:hyperlink r:id="rId8" w:history="1">
        <w:r>
          <w:rPr>
            <w:rStyle w:val="Hyperlink"/>
            <w:rFonts w:ascii="Arial" w:hAnsi="Arial" w:cs="Arial"/>
            <w:szCs w:val="22"/>
          </w:rPr>
          <w:t>strategicplanning@geelongcity.vic.gov.au</w:t>
        </w:r>
      </w:hyperlink>
    </w:p>
    <w:p w:rsidR="00B763A9" w:rsidRDefault="00B763A9" w:rsidP="00B763A9">
      <w:pPr>
        <w:spacing w:before="240" w:after="120"/>
        <w:rPr>
          <w:rFonts w:ascii="Arial" w:hAnsi="Arial" w:cs="Arial"/>
          <w:b/>
          <w:sz w:val="24"/>
          <w:szCs w:val="24"/>
        </w:rPr>
      </w:pPr>
      <w:r>
        <w:rPr>
          <w:rFonts w:ascii="Arial" w:hAnsi="Arial" w:cs="Arial"/>
          <w:b/>
          <w:sz w:val="24"/>
          <w:szCs w:val="24"/>
        </w:rPr>
        <w:t>Written submissions</w:t>
      </w:r>
    </w:p>
    <w:p w:rsidR="00B763A9" w:rsidRDefault="00B763A9" w:rsidP="00B763A9">
      <w:pPr>
        <w:pStyle w:val="Bodytext1"/>
        <w:tabs>
          <w:tab w:val="left" w:pos="742"/>
        </w:tabs>
        <w:spacing w:after="0"/>
        <w:ind w:left="0"/>
        <w:rPr>
          <w:rFonts w:ascii="Arial" w:hAnsi="Arial" w:cs="Arial"/>
          <w:szCs w:val="22"/>
        </w:rPr>
      </w:pPr>
      <w:r>
        <w:rPr>
          <w:rFonts w:ascii="Arial" w:hAnsi="Arial" w:cs="Arial"/>
          <w:szCs w:val="22"/>
        </w:rPr>
        <w:t xml:space="preserve">Submissions about Amendment C302 should be received by </w:t>
      </w:r>
      <w:r w:rsidR="00A16DA7" w:rsidRPr="00A16DA7">
        <w:rPr>
          <w:rFonts w:ascii="Arial" w:hAnsi="Arial" w:cs="Arial"/>
          <w:b/>
          <w:szCs w:val="22"/>
        </w:rPr>
        <w:t>3</w:t>
      </w:r>
      <w:r w:rsidR="00644C4A">
        <w:rPr>
          <w:rFonts w:ascii="Arial" w:hAnsi="Arial" w:cs="Arial"/>
          <w:b/>
          <w:szCs w:val="22"/>
        </w:rPr>
        <w:t>1</w:t>
      </w:r>
      <w:r w:rsidR="00A16DA7" w:rsidRPr="00A16DA7">
        <w:rPr>
          <w:rFonts w:ascii="Arial" w:hAnsi="Arial" w:cs="Arial"/>
          <w:b/>
          <w:szCs w:val="22"/>
        </w:rPr>
        <w:t>/03/2014</w:t>
      </w:r>
      <w:r>
        <w:rPr>
          <w:rFonts w:ascii="Arial" w:hAnsi="Arial" w:cs="Arial"/>
          <w:szCs w:val="22"/>
        </w:rPr>
        <w:t xml:space="preserve"> and addressed to:</w:t>
      </w:r>
    </w:p>
    <w:p w:rsidR="00B763A9" w:rsidRDefault="00B763A9" w:rsidP="00B763A9">
      <w:pPr>
        <w:pStyle w:val="Bodytext1"/>
        <w:tabs>
          <w:tab w:val="left" w:pos="742"/>
        </w:tabs>
        <w:spacing w:after="0"/>
        <w:ind w:left="0"/>
        <w:rPr>
          <w:rFonts w:ascii="Arial" w:hAnsi="Arial" w:cs="Arial"/>
          <w:szCs w:val="22"/>
        </w:rPr>
      </w:pPr>
    </w:p>
    <w:p w:rsidR="00B763A9" w:rsidRDefault="00B763A9" w:rsidP="00B763A9">
      <w:pPr>
        <w:pStyle w:val="Bodytext1"/>
        <w:tabs>
          <w:tab w:val="left" w:pos="742"/>
        </w:tabs>
        <w:spacing w:after="0"/>
        <w:ind w:left="0"/>
        <w:rPr>
          <w:rFonts w:ascii="Arial" w:hAnsi="Arial" w:cs="Arial"/>
          <w:szCs w:val="22"/>
        </w:rPr>
      </w:pPr>
      <w:r>
        <w:rPr>
          <w:rFonts w:ascii="Arial" w:hAnsi="Arial" w:cs="Arial"/>
          <w:szCs w:val="22"/>
        </w:rPr>
        <w:t>The Coordinator</w:t>
      </w:r>
    </w:p>
    <w:p w:rsidR="00B763A9" w:rsidRDefault="00B763A9" w:rsidP="00B763A9">
      <w:pPr>
        <w:pStyle w:val="Bodytext1"/>
        <w:tabs>
          <w:tab w:val="left" w:pos="742"/>
        </w:tabs>
        <w:spacing w:after="0"/>
        <w:ind w:left="0"/>
        <w:rPr>
          <w:rFonts w:ascii="Arial" w:hAnsi="Arial" w:cs="Arial"/>
          <w:szCs w:val="22"/>
        </w:rPr>
      </w:pPr>
      <w:r>
        <w:rPr>
          <w:rFonts w:ascii="Arial" w:hAnsi="Arial" w:cs="Arial"/>
          <w:szCs w:val="22"/>
        </w:rPr>
        <w:t>Strategic Implementation</w:t>
      </w:r>
    </w:p>
    <w:p w:rsidR="00B763A9" w:rsidRDefault="00B763A9" w:rsidP="00B763A9">
      <w:pPr>
        <w:pStyle w:val="Bodytext1"/>
        <w:tabs>
          <w:tab w:val="left" w:pos="742"/>
        </w:tabs>
        <w:spacing w:after="0"/>
        <w:ind w:left="0"/>
        <w:rPr>
          <w:rFonts w:ascii="Arial" w:hAnsi="Arial" w:cs="Arial"/>
          <w:szCs w:val="22"/>
        </w:rPr>
      </w:pPr>
      <w:r>
        <w:rPr>
          <w:rFonts w:ascii="Arial" w:hAnsi="Arial" w:cs="Arial"/>
          <w:szCs w:val="22"/>
        </w:rPr>
        <w:t xml:space="preserve">City of Greater </w:t>
      </w:r>
      <w:smartTag w:uri="urn:schemas-microsoft-com:office:smarttags" w:element="place">
        <w:smartTag w:uri="urn:schemas-microsoft-com:office:smarttags" w:element="City">
          <w:r>
            <w:rPr>
              <w:rFonts w:ascii="Arial" w:hAnsi="Arial" w:cs="Arial"/>
              <w:szCs w:val="22"/>
            </w:rPr>
            <w:t>Geelong</w:t>
          </w:r>
        </w:smartTag>
      </w:smartTag>
    </w:p>
    <w:p w:rsidR="00B763A9" w:rsidRDefault="00B763A9" w:rsidP="00B763A9">
      <w:pPr>
        <w:pStyle w:val="Bodytext1"/>
        <w:tabs>
          <w:tab w:val="left" w:pos="742"/>
        </w:tabs>
        <w:spacing w:after="0"/>
        <w:ind w:left="0"/>
        <w:rPr>
          <w:rFonts w:ascii="Arial" w:hAnsi="Arial" w:cs="Arial"/>
          <w:szCs w:val="22"/>
        </w:rPr>
      </w:pPr>
    </w:p>
    <w:p w:rsidR="00B763A9" w:rsidRDefault="00B763A9" w:rsidP="00B763A9">
      <w:pPr>
        <w:pStyle w:val="Bodytext1"/>
        <w:tabs>
          <w:tab w:val="left" w:pos="742"/>
        </w:tabs>
        <w:spacing w:after="0"/>
        <w:ind w:left="0"/>
        <w:rPr>
          <w:rFonts w:ascii="Arial" w:hAnsi="Arial" w:cs="Arial"/>
          <w:szCs w:val="22"/>
        </w:rPr>
      </w:pPr>
      <w:r>
        <w:rPr>
          <w:rFonts w:ascii="Arial" w:hAnsi="Arial" w:cs="Arial"/>
          <w:szCs w:val="22"/>
        </w:rPr>
        <w:t>either by mail to:</w:t>
      </w:r>
    </w:p>
    <w:p w:rsidR="00B763A9" w:rsidRDefault="00B763A9" w:rsidP="00D64F31">
      <w:pPr>
        <w:pStyle w:val="Bodytext1"/>
        <w:numPr>
          <w:ilvl w:val="0"/>
          <w:numId w:val="7"/>
        </w:numPr>
        <w:tabs>
          <w:tab w:val="left" w:pos="742"/>
        </w:tabs>
        <w:spacing w:after="0"/>
        <w:ind w:left="0" w:firstLine="0"/>
        <w:textAlignment w:val="baseline"/>
        <w:rPr>
          <w:rFonts w:ascii="Arial" w:hAnsi="Arial" w:cs="Arial"/>
          <w:szCs w:val="22"/>
        </w:rPr>
      </w:pPr>
      <w:smartTag w:uri="urn:schemas-microsoft-com:office:smarttags" w:element="address">
        <w:smartTag w:uri="urn:schemas-microsoft-com:office:smarttags" w:element="Street">
          <w:r>
            <w:rPr>
              <w:rFonts w:ascii="Arial" w:hAnsi="Arial" w:cs="Arial"/>
              <w:szCs w:val="22"/>
            </w:rPr>
            <w:t>PO Box 104</w:t>
          </w:r>
        </w:smartTag>
        <w:r>
          <w:rPr>
            <w:rFonts w:ascii="Arial" w:hAnsi="Arial" w:cs="Arial"/>
            <w:szCs w:val="22"/>
          </w:rPr>
          <w:t xml:space="preserve">, </w:t>
        </w:r>
        <w:smartTag w:uri="urn:schemas-microsoft-com:office:smarttags" w:element="City">
          <w:r>
            <w:rPr>
              <w:rFonts w:ascii="Arial" w:hAnsi="Arial" w:cs="Arial"/>
              <w:szCs w:val="22"/>
            </w:rPr>
            <w:t>GEELONG</w:t>
          </w:r>
        </w:smartTag>
      </w:smartTag>
      <w:r>
        <w:rPr>
          <w:rFonts w:ascii="Arial" w:hAnsi="Arial" w:cs="Arial"/>
          <w:szCs w:val="22"/>
        </w:rPr>
        <w:t xml:space="preserve"> VIC 3220</w:t>
      </w:r>
    </w:p>
    <w:p w:rsidR="00B763A9" w:rsidRDefault="00B763A9" w:rsidP="00B763A9">
      <w:pPr>
        <w:pStyle w:val="Bodytext1"/>
        <w:tabs>
          <w:tab w:val="left" w:pos="742"/>
        </w:tabs>
        <w:spacing w:after="0"/>
        <w:ind w:left="0"/>
        <w:rPr>
          <w:rFonts w:ascii="Arial" w:hAnsi="Arial" w:cs="Arial"/>
          <w:szCs w:val="22"/>
        </w:rPr>
      </w:pPr>
      <w:r>
        <w:rPr>
          <w:rFonts w:ascii="Arial" w:hAnsi="Arial" w:cs="Arial"/>
          <w:szCs w:val="22"/>
        </w:rPr>
        <w:t>or by email to:</w:t>
      </w:r>
    </w:p>
    <w:p w:rsidR="00B763A9" w:rsidRDefault="00097046" w:rsidP="00D64F31">
      <w:pPr>
        <w:numPr>
          <w:ilvl w:val="0"/>
          <w:numId w:val="7"/>
        </w:numPr>
        <w:tabs>
          <w:tab w:val="left" w:pos="742"/>
        </w:tabs>
        <w:ind w:left="0" w:firstLine="0"/>
        <w:rPr>
          <w:rFonts w:ascii="Arial" w:hAnsi="Arial" w:cs="Arial"/>
          <w:sz w:val="22"/>
          <w:szCs w:val="22"/>
        </w:rPr>
      </w:pPr>
      <w:hyperlink r:id="rId9" w:history="1">
        <w:r w:rsidR="00B763A9">
          <w:rPr>
            <w:rStyle w:val="Hyperlink"/>
            <w:rFonts w:ascii="Arial" w:hAnsi="Arial" w:cs="Arial"/>
            <w:sz w:val="22"/>
            <w:szCs w:val="22"/>
          </w:rPr>
          <w:t>strategicplanning@geelongcity.vic.gov.au</w:t>
        </w:r>
      </w:hyperlink>
    </w:p>
    <w:p w:rsidR="00B763A9" w:rsidRDefault="00B763A9" w:rsidP="00B763A9">
      <w:pPr>
        <w:spacing w:before="120"/>
        <w:jc w:val="center"/>
        <w:rPr>
          <w:rFonts w:ascii="Arial" w:hAnsi="Arial"/>
          <w:vanish/>
          <w:sz w:val="24"/>
        </w:rPr>
      </w:pPr>
    </w:p>
    <w:sectPr w:rsidR="00B763A9" w:rsidSect="00551A9B">
      <w:footerReference w:type="default" r:id="rId10"/>
      <w:pgSz w:w="11906" w:h="16838"/>
      <w:pgMar w:top="1440" w:right="1440" w:bottom="127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A9B" w:rsidRDefault="00551A9B" w:rsidP="00077846">
      <w:r>
        <w:separator/>
      </w:r>
    </w:p>
  </w:endnote>
  <w:endnote w:type="continuationSeparator" w:id="0">
    <w:p w:rsidR="00551A9B" w:rsidRDefault="00551A9B" w:rsidP="000778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A9B" w:rsidRPr="00DD1CB8" w:rsidRDefault="00551A9B" w:rsidP="00551A9B">
    <w:pPr>
      <w:pStyle w:val="Footer"/>
      <w:tabs>
        <w:tab w:val="clear" w:pos="8306"/>
        <w:tab w:val="right" w:pos="8789"/>
      </w:tabs>
      <w:rPr>
        <w:sz w:val="16"/>
        <w:szCs w:val="16"/>
      </w:rPr>
    </w:pPr>
    <w:r>
      <w:rPr>
        <w:sz w:val="16"/>
        <w:szCs w:val="16"/>
      </w:rPr>
      <w:t>C03</w:t>
    </w:r>
    <w:r>
      <w:rPr>
        <w:sz w:val="16"/>
        <w:szCs w:val="16"/>
      </w:rPr>
      <w:tab/>
    </w:r>
    <w:r>
      <w:rPr>
        <w:sz w:val="16"/>
        <w:szCs w:val="16"/>
      </w:rPr>
      <w:tab/>
    </w:r>
    <w:r w:rsidRPr="001C5ED4">
      <w:rPr>
        <w:snapToGrid w:val="0"/>
        <w:sz w:val="16"/>
        <w:szCs w:val="16"/>
      </w:rPr>
      <w:t xml:space="preserve">Page </w:t>
    </w:r>
    <w:r w:rsidRPr="001C5ED4">
      <w:rPr>
        <w:snapToGrid w:val="0"/>
        <w:sz w:val="16"/>
        <w:szCs w:val="16"/>
      </w:rPr>
      <w:fldChar w:fldCharType="begin"/>
    </w:r>
    <w:r w:rsidRPr="001C5ED4">
      <w:rPr>
        <w:snapToGrid w:val="0"/>
        <w:sz w:val="16"/>
        <w:szCs w:val="16"/>
      </w:rPr>
      <w:instrText xml:space="preserve"> PAGE </w:instrText>
    </w:r>
    <w:r w:rsidRPr="001C5ED4">
      <w:rPr>
        <w:snapToGrid w:val="0"/>
        <w:sz w:val="16"/>
        <w:szCs w:val="16"/>
      </w:rPr>
      <w:fldChar w:fldCharType="separate"/>
    </w:r>
    <w:r w:rsidR="003D2A0B">
      <w:rPr>
        <w:noProof/>
        <w:snapToGrid w:val="0"/>
        <w:sz w:val="16"/>
        <w:szCs w:val="16"/>
      </w:rPr>
      <w:t>1</w:t>
    </w:r>
    <w:r w:rsidRPr="001C5ED4">
      <w:rPr>
        <w:snapToGrid w:val="0"/>
        <w:sz w:val="16"/>
        <w:szCs w:val="16"/>
      </w:rPr>
      <w:fldChar w:fldCharType="end"/>
    </w:r>
    <w:r w:rsidRPr="001C5ED4">
      <w:rPr>
        <w:snapToGrid w:val="0"/>
        <w:sz w:val="16"/>
        <w:szCs w:val="16"/>
      </w:rPr>
      <w:t xml:space="preserve"> of </w:t>
    </w:r>
    <w:r w:rsidRPr="001C5ED4">
      <w:rPr>
        <w:snapToGrid w:val="0"/>
        <w:sz w:val="16"/>
        <w:szCs w:val="16"/>
      </w:rPr>
      <w:fldChar w:fldCharType="begin"/>
    </w:r>
    <w:r w:rsidRPr="001C5ED4">
      <w:rPr>
        <w:snapToGrid w:val="0"/>
        <w:sz w:val="16"/>
        <w:szCs w:val="16"/>
      </w:rPr>
      <w:instrText xml:space="preserve"> NUMPAGES </w:instrText>
    </w:r>
    <w:r w:rsidRPr="001C5ED4">
      <w:rPr>
        <w:snapToGrid w:val="0"/>
        <w:sz w:val="16"/>
        <w:szCs w:val="16"/>
      </w:rPr>
      <w:fldChar w:fldCharType="separate"/>
    </w:r>
    <w:r w:rsidR="003D2A0B">
      <w:rPr>
        <w:noProof/>
        <w:snapToGrid w:val="0"/>
        <w:sz w:val="16"/>
        <w:szCs w:val="16"/>
      </w:rPr>
      <w:t>5</w:t>
    </w:r>
    <w:r w:rsidRPr="001C5ED4">
      <w:rPr>
        <w:snapToGrid w:val="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A9B" w:rsidRDefault="00551A9B" w:rsidP="00077846">
      <w:r>
        <w:separator/>
      </w:r>
    </w:p>
  </w:footnote>
  <w:footnote w:type="continuationSeparator" w:id="0">
    <w:p w:rsidR="00551A9B" w:rsidRDefault="00551A9B" w:rsidP="000778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7E76"/>
    <w:multiLevelType w:val="hybridMultilevel"/>
    <w:tmpl w:val="A19C73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BB809EC"/>
    <w:multiLevelType w:val="hybridMultilevel"/>
    <w:tmpl w:val="BDE4476A"/>
    <w:lvl w:ilvl="0" w:tplc="91341D04">
      <w:start w:val="1"/>
      <w:numFmt w:val="bullet"/>
      <w:lvlText w:val=""/>
      <w:lvlJc w:val="left"/>
      <w:pPr>
        <w:ind w:left="360" w:hanging="360"/>
      </w:pPr>
      <w:rPr>
        <w:rFonts w:ascii="Symbol" w:hAnsi="Symbol" w:hint="default"/>
      </w:rPr>
    </w:lvl>
    <w:lvl w:ilvl="1" w:tplc="91E20A5E" w:tentative="1">
      <w:start w:val="1"/>
      <w:numFmt w:val="bullet"/>
      <w:lvlText w:val="o"/>
      <w:lvlJc w:val="left"/>
      <w:pPr>
        <w:ind w:left="1080" w:hanging="360"/>
      </w:pPr>
      <w:rPr>
        <w:rFonts w:ascii="Courier New" w:hAnsi="Courier New" w:cs="Courier New" w:hint="default"/>
      </w:rPr>
    </w:lvl>
    <w:lvl w:ilvl="2" w:tplc="3A121E04" w:tentative="1">
      <w:start w:val="1"/>
      <w:numFmt w:val="bullet"/>
      <w:lvlText w:val=""/>
      <w:lvlJc w:val="left"/>
      <w:pPr>
        <w:ind w:left="1800" w:hanging="360"/>
      </w:pPr>
      <w:rPr>
        <w:rFonts w:ascii="Wingdings" w:hAnsi="Wingdings" w:hint="default"/>
      </w:rPr>
    </w:lvl>
    <w:lvl w:ilvl="3" w:tplc="C1A2FC78" w:tentative="1">
      <w:start w:val="1"/>
      <w:numFmt w:val="bullet"/>
      <w:lvlText w:val=""/>
      <w:lvlJc w:val="left"/>
      <w:pPr>
        <w:ind w:left="2520" w:hanging="360"/>
      </w:pPr>
      <w:rPr>
        <w:rFonts w:ascii="Symbol" w:hAnsi="Symbol" w:hint="default"/>
      </w:rPr>
    </w:lvl>
    <w:lvl w:ilvl="4" w:tplc="4E241C56" w:tentative="1">
      <w:start w:val="1"/>
      <w:numFmt w:val="bullet"/>
      <w:lvlText w:val="o"/>
      <w:lvlJc w:val="left"/>
      <w:pPr>
        <w:ind w:left="3240" w:hanging="360"/>
      </w:pPr>
      <w:rPr>
        <w:rFonts w:ascii="Courier New" w:hAnsi="Courier New" w:cs="Courier New" w:hint="default"/>
      </w:rPr>
    </w:lvl>
    <w:lvl w:ilvl="5" w:tplc="5F70D84C" w:tentative="1">
      <w:start w:val="1"/>
      <w:numFmt w:val="bullet"/>
      <w:lvlText w:val=""/>
      <w:lvlJc w:val="left"/>
      <w:pPr>
        <w:ind w:left="3960" w:hanging="360"/>
      </w:pPr>
      <w:rPr>
        <w:rFonts w:ascii="Wingdings" w:hAnsi="Wingdings" w:hint="default"/>
      </w:rPr>
    </w:lvl>
    <w:lvl w:ilvl="6" w:tplc="5BEC0286" w:tentative="1">
      <w:start w:val="1"/>
      <w:numFmt w:val="bullet"/>
      <w:lvlText w:val=""/>
      <w:lvlJc w:val="left"/>
      <w:pPr>
        <w:ind w:left="4680" w:hanging="360"/>
      </w:pPr>
      <w:rPr>
        <w:rFonts w:ascii="Symbol" w:hAnsi="Symbol" w:hint="default"/>
      </w:rPr>
    </w:lvl>
    <w:lvl w:ilvl="7" w:tplc="0CE62B62" w:tentative="1">
      <w:start w:val="1"/>
      <w:numFmt w:val="bullet"/>
      <w:lvlText w:val="o"/>
      <w:lvlJc w:val="left"/>
      <w:pPr>
        <w:ind w:left="5400" w:hanging="360"/>
      </w:pPr>
      <w:rPr>
        <w:rFonts w:ascii="Courier New" w:hAnsi="Courier New" w:cs="Courier New" w:hint="default"/>
      </w:rPr>
    </w:lvl>
    <w:lvl w:ilvl="8" w:tplc="91BEA846" w:tentative="1">
      <w:start w:val="1"/>
      <w:numFmt w:val="bullet"/>
      <w:lvlText w:val=""/>
      <w:lvlJc w:val="left"/>
      <w:pPr>
        <w:ind w:left="6120" w:hanging="360"/>
      </w:pPr>
      <w:rPr>
        <w:rFonts w:ascii="Wingdings" w:hAnsi="Wingdings" w:hint="default"/>
      </w:rPr>
    </w:lvl>
  </w:abstractNum>
  <w:abstractNum w:abstractNumId="2">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3">
    <w:nsid w:val="4146569A"/>
    <w:multiLevelType w:val="singleLevel"/>
    <w:tmpl w:val="DFE841B6"/>
    <w:lvl w:ilvl="0">
      <w:start w:val="1"/>
      <w:numFmt w:val="decimal"/>
      <w:pStyle w:val="NumIndent"/>
      <w:lvlText w:val="%1)"/>
      <w:lvlJc w:val="left"/>
      <w:pPr>
        <w:tabs>
          <w:tab w:val="num" w:pos="360"/>
        </w:tabs>
        <w:ind w:left="360" w:hanging="360"/>
      </w:pPr>
    </w:lvl>
  </w:abstractNum>
  <w:abstractNum w:abstractNumId="4">
    <w:nsid w:val="525415CE"/>
    <w:multiLevelType w:val="hybridMultilevel"/>
    <w:tmpl w:val="6310EF9E"/>
    <w:lvl w:ilvl="0" w:tplc="CE2CE344">
      <w:start w:val="1"/>
      <w:numFmt w:val="bullet"/>
      <w:pStyle w:val="Bodytext"/>
      <w:lvlText w:val=""/>
      <w:lvlJc w:val="left"/>
      <w:pPr>
        <w:tabs>
          <w:tab w:val="num" w:pos="284"/>
        </w:tabs>
        <w:ind w:left="284" w:hanging="284"/>
      </w:pPr>
      <w:rPr>
        <w:rFonts w:ascii="Wingdings" w:hAnsi="Wingdings" w:hint="default"/>
        <w:sz w:val="20"/>
      </w:rPr>
    </w:lvl>
    <w:lvl w:ilvl="1" w:tplc="4512364C" w:tentative="1">
      <w:start w:val="1"/>
      <w:numFmt w:val="bullet"/>
      <w:lvlText w:val="o"/>
      <w:lvlJc w:val="left"/>
      <w:pPr>
        <w:tabs>
          <w:tab w:val="num" w:pos="306"/>
        </w:tabs>
        <w:ind w:left="306" w:hanging="360"/>
      </w:pPr>
      <w:rPr>
        <w:rFonts w:ascii="Courier New" w:hAnsi="Courier New" w:cs="Courier New" w:hint="default"/>
      </w:rPr>
    </w:lvl>
    <w:lvl w:ilvl="2" w:tplc="748217E2" w:tentative="1">
      <w:start w:val="1"/>
      <w:numFmt w:val="bullet"/>
      <w:lvlText w:val=""/>
      <w:lvlJc w:val="left"/>
      <w:pPr>
        <w:tabs>
          <w:tab w:val="num" w:pos="1026"/>
        </w:tabs>
        <w:ind w:left="1026" w:hanging="360"/>
      </w:pPr>
      <w:rPr>
        <w:rFonts w:ascii="Wingdings" w:hAnsi="Wingdings" w:hint="default"/>
      </w:rPr>
    </w:lvl>
    <w:lvl w:ilvl="3" w:tplc="85D60060" w:tentative="1">
      <w:start w:val="1"/>
      <w:numFmt w:val="bullet"/>
      <w:lvlText w:val=""/>
      <w:lvlJc w:val="left"/>
      <w:pPr>
        <w:tabs>
          <w:tab w:val="num" w:pos="1746"/>
        </w:tabs>
        <w:ind w:left="1746" w:hanging="360"/>
      </w:pPr>
      <w:rPr>
        <w:rFonts w:ascii="Symbol" w:hAnsi="Symbol" w:hint="default"/>
      </w:rPr>
    </w:lvl>
    <w:lvl w:ilvl="4" w:tplc="CEB4667A" w:tentative="1">
      <w:start w:val="1"/>
      <w:numFmt w:val="bullet"/>
      <w:lvlText w:val="o"/>
      <w:lvlJc w:val="left"/>
      <w:pPr>
        <w:tabs>
          <w:tab w:val="num" w:pos="2466"/>
        </w:tabs>
        <w:ind w:left="2466" w:hanging="360"/>
      </w:pPr>
      <w:rPr>
        <w:rFonts w:ascii="Courier New" w:hAnsi="Courier New" w:cs="Courier New" w:hint="default"/>
      </w:rPr>
    </w:lvl>
    <w:lvl w:ilvl="5" w:tplc="E396AA30" w:tentative="1">
      <w:start w:val="1"/>
      <w:numFmt w:val="bullet"/>
      <w:lvlText w:val=""/>
      <w:lvlJc w:val="left"/>
      <w:pPr>
        <w:tabs>
          <w:tab w:val="num" w:pos="3186"/>
        </w:tabs>
        <w:ind w:left="3186" w:hanging="360"/>
      </w:pPr>
      <w:rPr>
        <w:rFonts w:ascii="Wingdings" w:hAnsi="Wingdings" w:hint="default"/>
      </w:rPr>
    </w:lvl>
    <w:lvl w:ilvl="6" w:tplc="6C4E5244" w:tentative="1">
      <w:start w:val="1"/>
      <w:numFmt w:val="bullet"/>
      <w:lvlText w:val=""/>
      <w:lvlJc w:val="left"/>
      <w:pPr>
        <w:tabs>
          <w:tab w:val="num" w:pos="3906"/>
        </w:tabs>
        <w:ind w:left="3906" w:hanging="360"/>
      </w:pPr>
      <w:rPr>
        <w:rFonts w:ascii="Symbol" w:hAnsi="Symbol" w:hint="default"/>
      </w:rPr>
    </w:lvl>
    <w:lvl w:ilvl="7" w:tplc="783872BA" w:tentative="1">
      <w:start w:val="1"/>
      <w:numFmt w:val="bullet"/>
      <w:lvlText w:val="o"/>
      <w:lvlJc w:val="left"/>
      <w:pPr>
        <w:tabs>
          <w:tab w:val="num" w:pos="4626"/>
        </w:tabs>
        <w:ind w:left="4626" w:hanging="360"/>
      </w:pPr>
      <w:rPr>
        <w:rFonts w:ascii="Courier New" w:hAnsi="Courier New" w:cs="Courier New" w:hint="default"/>
      </w:rPr>
    </w:lvl>
    <w:lvl w:ilvl="8" w:tplc="E6BE8472" w:tentative="1">
      <w:start w:val="1"/>
      <w:numFmt w:val="bullet"/>
      <w:lvlText w:val=""/>
      <w:lvlJc w:val="left"/>
      <w:pPr>
        <w:tabs>
          <w:tab w:val="num" w:pos="5346"/>
        </w:tabs>
        <w:ind w:left="5346" w:hanging="360"/>
      </w:pPr>
      <w:rPr>
        <w:rFonts w:ascii="Wingdings" w:hAnsi="Wingdings" w:hint="default"/>
      </w:rPr>
    </w:lvl>
  </w:abstractNum>
  <w:abstractNum w:abstractNumId="5">
    <w:nsid w:val="60A14C00"/>
    <w:multiLevelType w:val="hybridMultilevel"/>
    <w:tmpl w:val="1C069290"/>
    <w:lvl w:ilvl="0" w:tplc="7A3601A6">
      <w:start w:val="1"/>
      <w:numFmt w:val="bullet"/>
      <w:pStyle w:val="Heading3"/>
      <w:lvlText w:val=""/>
      <w:lvlJc w:val="left"/>
      <w:pPr>
        <w:tabs>
          <w:tab w:val="num" w:pos="284"/>
        </w:tabs>
        <w:ind w:left="284" w:hanging="284"/>
      </w:pPr>
      <w:rPr>
        <w:rFonts w:ascii="Symbol" w:hAnsi="Symbol" w:hint="default"/>
        <w:sz w:val="20"/>
      </w:rPr>
    </w:lvl>
    <w:lvl w:ilvl="1" w:tplc="9A9E0F60">
      <w:start w:val="1"/>
      <w:numFmt w:val="bullet"/>
      <w:pStyle w:val="List2"/>
      <w:lvlText w:val=""/>
      <w:lvlJc w:val="left"/>
      <w:pPr>
        <w:tabs>
          <w:tab w:val="num" w:pos="1440"/>
        </w:tabs>
        <w:ind w:left="1440" w:hanging="360"/>
      </w:pPr>
      <w:rPr>
        <w:rFonts w:ascii="Wingdings" w:hAnsi="Wingdings" w:hint="default"/>
        <w:sz w:val="20"/>
      </w:rPr>
    </w:lvl>
    <w:lvl w:ilvl="2" w:tplc="5BCAC8EA" w:tentative="1">
      <w:start w:val="1"/>
      <w:numFmt w:val="bullet"/>
      <w:lvlText w:val=""/>
      <w:lvlJc w:val="left"/>
      <w:pPr>
        <w:tabs>
          <w:tab w:val="num" w:pos="2160"/>
        </w:tabs>
        <w:ind w:left="2160" w:hanging="360"/>
      </w:pPr>
      <w:rPr>
        <w:rFonts w:ascii="Wingdings" w:hAnsi="Wingdings" w:hint="default"/>
      </w:rPr>
    </w:lvl>
    <w:lvl w:ilvl="3" w:tplc="67300AC6" w:tentative="1">
      <w:start w:val="1"/>
      <w:numFmt w:val="bullet"/>
      <w:lvlText w:val=""/>
      <w:lvlJc w:val="left"/>
      <w:pPr>
        <w:tabs>
          <w:tab w:val="num" w:pos="2880"/>
        </w:tabs>
        <w:ind w:left="2880" w:hanging="360"/>
      </w:pPr>
      <w:rPr>
        <w:rFonts w:ascii="Symbol" w:hAnsi="Symbol" w:hint="default"/>
      </w:rPr>
    </w:lvl>
    <w:lvl w:ilvl="4" w:tplc="B7CC7B86" w:tentative="1">
      <w:start w:val="1"/>
      <w:numFmt w:val="bullet"/>
      <w:lvlText w:val="o"/>
      <w:lvlJc w:val="left"/>
      <w:pPr>
        <w:tabs>
          <w:tab w:val="num" w:pos="3600"/>
        </w:tabs>
        <w:ind w:left="3600" w:hanging="360"/>
      </w:pPr>
      <w:rPr>
        <w:rFonts w:ascii="Courier New" w:hAnsi="Courier New" w:cs="Courier New" w:hint="default"/>
      </w:rPr>
    </w:lvl>
    <w:lvl w:ilvl="5" w:tplc="22241A0E" w:tentative="1">
      <w:start w:val="1"/>
      <w:numFmt w:val="bullet"/>
      <w:lvlText w:val=""/>
      <w:lvlJc w:val="left"/>
      <w:pPr>
        <w:tabs>
          <w:tab w:val="num" w:pos="4320"/>
        </w:tabs>
        <w:ind w:left="4320" w:hanging="360"/>
      </w:pPr>
      <w:rPr>
        <w:rFonts w:ascii="Wingdings" w:hAnsi="Wingdings" w:hint="default"/>
      </w:rPr>
    </w:lvl>
    <w:lvl w:ilvl="6" w:tplc="F4503832" w:tentative="1">
      <w:start w:val="1"/>
      <w:numFmt w:val="bullet"/>
      <w:lvlText w:val=""/>
      <w:lvlJc w:val="left"/>
      <w:pPr>
        <w:tabs>
          <w:tab w:val="num" w:pos="5040"/>
        </w:tabs>
        <w:ind w:left="5040" w:hanging="360"/>
      </w:pPr>
      <w:rPr>
        <w:rFonts w:ascii="Symbol" w:hAnsi="Symbol" w:hint="default"/>
      </w:rPr>
    </w:lvl>
    <w:lvl w:ilvl="7" w:tplc="3D7E8572" w:tentative="1">
      <w:start w:val="1"/>
      <w:numFmt w:val="bullet"/>
      <w:lvlText w:val="o"/>
      <w:lvlJc w:val="left"/>
      <w:pPr>
        <w:tabs>
          <w:tab w:val="num" w:pos="5760"/>
        </w:tabs>
        <w:ind w:left="5760" w:hanging="360"/>
      </w:pPr>
      <w:rPr>
        <w:rFonts w:ascii="Courier New" w:hAnsi="Courier New" w:cs="Courier New" w:hint="default"/>
      </w:rPr>
    </w:lvl>
    <w:lvl w:ilvl="8" w:tplc="0212D3EA" w:tentative="1">
      <w:start w:val="1"/>
      <w:numFmt w:val="bullet"/>
      <w:lvlText w:val=""/>
      <w:lvlJc w:val="left"/>
      <w:pPr>
        <w:tabs>
          <w:tab w:val="num" w:pos="6480"/>
        </w:tabs>
        <w:ind w:left="6480" w:hanging="360"/>
      </w:pPr>
      <w:rPr>
        <w:rFonts w:ascii="Wingdings" w:hAnsi="Wingdings" w:hint="default"/>
      </w:rPr>
    </w:lvl>
  </w:abstractNum>
  <w:abstractNum w:abstractNumId="6">
    <w:nsid w:val="74483B2F"/>
    <w:multiLevelType w:val="hybridMultilevel"/>
    <w:tmpl w:val="EAF66BF2"/>
    <w:lvl w:ilvl="0" w:tplc="639826FC">
      <w:start w:val="1"/>
      <w:numFmt w:val="bullet"/>
      <w:lvlText w:val=""/>
      <w:lvlJc w:val="left"/>
      <w:pPr>
        <w:tabs>
          <w:tab w:val="num" w:pos="360"/>
        </w:tabs>
        <w:ind w:left="360" w:hanging="360"/>
      </w:pPr>
      <w:rPr>
        <w:rFonts w:ascii="Symbol" w:hAnsi="Symbol" w:hint="default"/>
      </w:rPr>
    </w:lvl>
    <w:lvl w:ilvl="1" w:tplc="E594238C">
      <w:start w:val="1"/>
      <w:numFmt w:val="decimal"/>
      <w:lvlText w:val="%2."/>
      <w:lvlJc w:val="left"/>
      <w:pPr>
        <w:tabs>
          <w:tab w:val="num" w:pos="1440"/>
        </w:tabs>
        <w:ind w:left="1440" w:hanging="360"/>
      </w:pPr>
    </w:lvl>
    <w:lvl w:ilvl="2" w:tplc="20BE6106">
      <w:start w:val="1"/>
      <w:numFmt w:val="decimal"/>
      <w:lvlText w:val="%3."/>
      <w:lvlJc w:val="left"/>
      <w:pPr>
        <w:tabs>
          <w:tab w:val="num" w:pos="2160"/>
        </w:tabs>
        <w:ind w:left="2160" w:hanging="360"/>
      </w:pPr>
    </w:lvl>
    <w:lvl w:ilvl="3" w:tplc="A05669FE">
      <w:start w:val="1"/>
      <w:numFmt w:val="decimal"/>
      <w:lvlText w:val="%4."/>
      <w:lvlJc w:val="left"/>
      <w:pPr>
        <w:tabs>
          <w:tab w:val="num" w:pos="2880"/>
        </w:tabs>
        <w:ind w:left="2880" w:hanging="360"/>
      </w:pPr>
    </w:lvl>
    <w:lvl w:ilvl="4" w:tplc="98B62314">
      <w:start w:val="1"/>
      <w:numFmt w:val="decimal"/>
      <w:lvlText w:val="%5."/>
      <w:lvlJc w:val="left"/>
      <w:pPr>
        <w:tabs>
          <w:tab w:val="num" w:pos="3600"/>
        </w:tabs>
        <w:ind w:left="3600" w:hanging="360"/>
      </w:pPr>
    </w:lvl>
    <w:lvl w:ilvl="5" w:tplc="32CE6794">
      <w:start w:val="1"/>
      <w:numFmt w:val="decimal"/>
      <w:lvlText w:val="%6."/>
      <w:lvlJc w:val="left"/>
      <w:pPr>
        <w:tabs>
          <w:tab w:val="num" w:pos="4320"/>
        </w:tabs>
        <w:ind w:left="4320" w:hanging="360"/>
      </w:pPr>
    </w:lvl>
    <w:lvl w:ilvl="6" w:tplc="FECC5D60">
      <w:start w:val="1"/>
      <w:numFmt w:val="decimal"/>
      <w:lvlText w:val="%7."/>
      <w:lvlJc w:val="left"/>
      <w:pPr>
        <w:tabs>
          <w:tab w:val="num" w:pos="5040"/>
        </w:tabs>
        <w:ind w:left="5040" w:hanging="360"/>
      </w:pPr>
    </w:lvl>
    <w:lvl w:ilvl="7" w:tplc="B66A894A">
      <w:start w:val="1"/>
      <w:numFmt w:val="decimal"/>
      <w:lvlText w:val="%8."/>
      <w:lvlJc w:val="left"/>
      <w:pPr>
        <w:tabs>
          <w:tab w:val="num" w:pos="5760"/>
        </w:tabs>
        <w:ind w:left="5760" w:hanging="360"/>
      </w:pPr>
    </w:lvl>
    <w:lvl w:ilvl="8" w:tplc="6DB2C5E4">
      <w:start w:val="1"/>
      <w:numFmt w:val="decimal"/>
      <w:lvlText w:val="%9."/>
      <w:lvlJc w:val="left"/>
      <w:pPr>
        <w:tabs>
          <w:tab w:val="num" w:pos="6480"/>
        </w:tabs>
        <w:ind w:left="6480" w:hanging="360"/>
      </w:pPr>
    </w:lvl>
  </w:abstractNum>
  <w:abstractNum w:abstractNumId="7">
    <w:nsid w:val="76B00085"/>
    <w:multiLevelType w:val="singleLevel"/>
    <w:tmpl w:val="789C8126"/>
    <w:lvl w:ilvl="0">
      <w:start w:val="1"/>
      <w:numFmt w:val="decimal"/>
      <w:pStyle w:val="NumberedText"/>
      <w:lvlText w:val="%1."/>
      <w:lvlJc w:val="left"/>
      <w:pPr>
        <w:tabs>
          <w:tab w:val="num" w:pos="360"/>
        </w:tabs>
        <w:ind w:left="360" w:hanging="360"/>
      </w:pPr>
    </w:lvl>
  </w:abstractNum>
  <w:abstractNum w:abstractNumId="8">
    <w:nsid w:val="7F0374EF"/>
    <w:multiLevelType w:val="hybridMultilevel"/>
    <w:tmpl w:val="6CF6B73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6"/>
  </w:num>
  <w:num w:numId="2">
    <w:abstractNumId w:val="2"/>
  </w:num>
  <w:num w:numId="3">
    <w:abstractNumId w:val="4"/>
  </w:num>
  <w:num w:numId="4">
    <w:abstractNumId w:val="7"/>
    <w:lvlOverride w:ilvl="0">
      <w:startOverride w:val="1"/>
    </w:lvlOverride>
  </w:num>
  <w:num w:numId="5">
    <w:abstractNumId w:val="1"/>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0432"/>
  </w:docVars>
  <w:rsids>
    <w:rsidRoot w:val="00077846"/>
    <w:rsid w:val="00077846"/>
    <w:rsid w:val="00097046"/>
    <w:rsid w:val="00261F96"/>
    <w:rsid w:val="00336B8B"/>
    <w:rsid w:val="003512FA"/>
    <w:rsid w:val="003D2A0B"/>
    <w:rsid w:val="0047742F"/>
    <w:rsid w:val="004C3AE6"/>
    <w:rsid w:val="00507BEC"/>
    <w:rsid w:val="00551A9B"/>
    <w:rsid w:val="00552172"/>
    <w:rsid w:val="005A622C"/>
    <w:rsid w:val="00633FBB"/>
    <w:rsid w:val="00644C4A"/>
    <w:rsid w:val="006712DF"/>
    <w:rsid w:val="009049C8"/>
    <w:rsid w:val="00A16DA7"/>
    <w:rsid w:val="00A54708"/>
    <w:rsid w:val="00AB7ECA"/>
    <w:rsid w:val="00B763A9"/>
    <w:rsid w:val="00BB0BEF"/>
    <w:rsid w:val="00BE58C2"/>
    <w:rsid w:val="00C054C0"/>
    <w:rsid w:val="00C32865"/>
    <w:rsid w:val="00C729F3"/>
    <w:rsid w:val="00C948A2"/>
    <w:rsid w:val="00D64F31"/>
    <w:rsid w:val="00DB5094"/>
    <w:rsid w:val="00DD6328"/>
    <w:rsid w:val="00E75A8E"/>
    <w:rsid w:val="00F139AA"/>
    <w:rsid w:val="00F4251A"/>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69"/>
    <w:rPr>
      <w:rFonts w:ascii="Times" w:hAnsi="Times"/>
    </w:rPr>
  </w:style>
  <w:style w:type="paragraph" w:styleId="Heading1">
    <w:name w:val="heading 1"/>
    <w:basedOn w:val="Normal"/>
    <w:link w:val="Heading1Char"/>
    <w:qFormat/>
    <w:rsid w:val="00AD20BF"/>
    <w:pPr>
      <w:keepNext/>
      <w:keepLines/>
      <w:spacing w:before="240"/>
      <w:jc w:val="center"/>
      <w:outlineLvl w:val="0"/>
    </w:pPr>
    <w:rPr>
      <w:rFonts w:ascii="Arial" w:hAnsi="Arial"/>
      <w:b/>
      <w:bCs/>
      <w:caps/>
      <w:sz w:val="24"/>
    </w:rPr>
  </w:style>
  <w:style w:type="paragraph" w:styleId="Heading2">
    <w:name w:val="heading 2"/>
    <w:basedOn w:val="Normal"/>
    <w:next w:val="Normal"/>
    <w:qFormat/>
    <w:rsid w:val="00525977"/>
    <w:pPr>
      <w:keepNext/>
      <w:spacing w:before="240" w:after="60"/>
      <w:outlineLvl w:val="1"/>
    </w:pPr>
    <w:rPr>
      <w:rFonts w:ascii="Arial" w:hAnsi="Arial" w:cs="Arial"/>
      <w:b/>
      <w:bCs/>
      <w:i/>
      <w:iCs/>
      <w:sz w:val="28"/>
      <w:szCs w:val="28"/>
    </w:rPr>
  </w:style>
  <w:style w:type="paragraph" w:styleId="Heading3">
    <w:name w:val="heading 3"/>
    <w:basedOn w:val="Heading2"/>
    <w:next w:val="ST"/>
    <w:qFormat/>
    <w:rsid w:val="00525977"/>
    <w:pPr>
      <w:keepLines/>
      <w:numPr>
        <w:numId w:val="6"/>
      </w:numPr>
      <w:spacing w:after="0" w:line="240" w:lineRule="atLeast"/>
      <w:outlineLvl w:val="2"/>
    </w:pPr>
    <w:rPr>
      <w:rFonts w:ascii="Times" w:hAnsi="Times" w:cs="Times New Roman"/>
      <w:b w:val="0"/>
      <w:bCs w:val="0"/>
      <w:i w:val="0"/>
      <w:iCs w:val="0"/>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5977"/>
    <w:rPr>
      <w:color w:val="0000FF"/>
      <w:u w:val="single"/>
    </w:rPr>
  </w:style>
  <w:style w:type="paragraph" w:customStyle="1" w:styleId="ST">
    <w:name w:val="ST"/>
    <w:basedOn w:val="Normal"/>
    <w:rsid w:val="00525977"/>
    <w:pPr>
      <w:spacing w:before="240" w:line="240" w:lineRule="atLeast"/>
    </w:pPr>
    <w:rPr>
      <w:sz w:val="24"/>
    </w:rPr>
  </w:style>
  <w:style w:type="paragraph" w:styleId="BodyText0">
    <w:name w:val="Body Text"/>
    <w:basedOn w:val="Normal"/>
    <w:rsid w:val="00525977"/>
    <w:rPr>
      <w:i/>
      <w:sz w:val="24"/>
    </w:rPr>
  </w:style>
  <w:style w:type="paragraph" w:styleId="BodyText2">
    <w:name w:val="Body Text 2"/>
    <w:basedOn w:val="Normal"/>
    <w:rsid w:val="00525977"/>
    <w:rPr>
      <w:rFonts w:ascii="Times New Roman" w:hAnsi="Times New Roman"/>
      <w:color w:val="0000FF"/>
      <w:sz w:val="24"/>
    </w:rPr>
  </w:style>
  <w:style w:type="paragraph" w:customStyle="1" w:styleId="Bodytext1">
    <w:name w:val="Body text"/>
    <w:basedOn w:val="Normal"/>
    <w:rsid w:val="00525977"/>
    <w:pPr>
      <w:overflowPunct w:val="0"/>
      <w:autoSpaceDE w:val="0"/>
      <w:autoSpaceDN w:val="0"/>
      <w:adjustRightInd w:val="0"/>
      <w:spacing w:after="119"/>
      <w:ind w:left="1134"/>
      <w:jc w:val="both"/>
    </w:pPr>
    <w:rPr>
      <w:sz w:val="22"/>
    </w:rPr>
  </w:style>
  <w:style w:type="paragraph" w:styleId="Header">
    <w:name w:val="header"/>
    <w:basedOn w:val="Normal"/>
    <w:rsid w:val="00DD1CB8"/>
    <w:pPr>
      <w:tabs>
        <w:tab w:val="center" w:pos="4153"/>
        <w:tab w:val="right" w:pos="8306"/>
      </w:tabs>
    </w:pPr>
  </w:style>
  <w:style w:type="paragraph" w:styleId="Footer">
    <w:name w:val="footer"/>
    <w:basedOn w:val="Normal"/>
    <w:rsid w:val="00DD1CB8"/>
    <w:pPr>
      <w:tabs>
        <w:tab w:val="center" w:pos="4153"/>
        <w:tab w:val="right" w:pos="8306"/>
      </w:tabs>
    </w:pPr>
  </w:style>
  <w:style w:type="paragraph" w:customStyle="1" w:styleId="Body">
    <w:name w:val="Body"/>
    <w:aliases w:val="b"/>
    <w:rsid w:val="00754DC4"/>
    <w:pPr>
      <w:spacing w:before="60" w:after="120" w:line="280" w:lineRule="atLeast"/>
    </w:pPr>
    <w:rPr>
      <w:rFonts w:ascii="Arial" w:hAnsi="Arial"/>
      <w:sz w:val="19"/>
      <w:lang w:eastAsia="en-US"/>
    </w:rPr>
  </w:style>
  <w:style w:type="paragraph" w:customStyle="1" w:styleId="Bullet">
    <w:name w:val="Bullet"/>
    <w:aliases w:val="b1"/>
    <w:basedOn w:val="Body"/>
    <w:rsid w:val="00754DC4"/>
    <w:pPr>
      <w:tabs>
        <w:tab w:val="left" w:pos="284"/>
      </w:tabs>
      <w:spacing w:before="0" w:after="100"/>
    </w:pPr>
  </w:style>
  <w:style w:type="paragraph" w:styleId="Title">
    <w:name w:val="Title"/>
    <w:basedOn w:val="Normal"/>
    <w:qFormat/>
    <w:rsid w:val="00754DC4"/>
    <w:pPr>
      <w:jc w:val="center"/>
    </w:pPr>
    <w:rPr>
      <w:rFonts w:ascii="Times New Roman" w:hAnsi="Times New Roman"/>
      <w:sz w:val="24"/>
    </w:rPr>
  </w:style>
  <w:style w:type="paragraph" w:styleId="BalloonText">
    <w:name w:val="Balloon Text"/>
    <w:basedOn w:val="Normal"/>
    <w:semiHidden/>
    <w:rsid w:val="00375651"/>
    <w:rPr>
      <w:rFonts w:ascii="Tahoma" w:hAnsi="Tahoma" w:cs="Tahoma"/>
      <w:sz w:val="16"/>
      <w:szCs w:val="16"/>
    </w:rPr>
  </w:style>
  <w:style w:type="paragraph" w:customStyle="1" w:styleId="ScheduleTitle">
    <w:name w:val="Schedule Title"/>
    <w:basedOn w:val="Normal"/>
    <w:next w:val="Normal"/>
    <w:rsid w:val="00C317CE"/>
    <w:pPr>
      <w:spacing w:before="240" w:after="120"/>
      <w:jc w:val="center"/>
    </w:pPr>
    <w:rPr>
      <w:b/>
      <w:sz w:val="22"/>
    </w:rPr>
  </w:style>
  <w:style w:type="paragraph" w:styleId="Subtitle">
    <w:name w:val="Subtitle"/>
    <w:basedOn w:val="Normal"/>
    <w:qFormat/>
    <w:rsid w:val="00B27E26"/>
    <w:pPr>
      <w:jc w:val="center"/>
    </w:pPr>
    <w:rPr>
      <w:rFonts w:ascii="Times New Roman" w:hAnsi="Times New Roman"/>
      <w:b/>
      <w:sz w:val="28"/>
    </w:rPr>
  </w:style>
  <w:style w:type="paragraph" w:styleId="ListNumber">
    <w:name w:val="List Number"/>
    <w:basedOn w:val="BodyText0"/>
    <w:rsid w:val="00B27E26"/>
    <w:pPr>
      <w:spacing w:after="120"/>
      <w:ind w:left="737" w:hanging="737"/>
    </w:pPr>
    <w:rPr>
      <w:rFonts w:ascii="Times New Roman" w:hAnsi="Times New Roman"/>
      <w:i w:val="0"/>
    </w:rPr>
  </w:style>
  <w:style w:type="table" w:styleId="TableGrid">
    <w:name w:val="Table Grid"/>
    <w:basedOn w:val="TableNormal"/>
    <w:rsid w:val="00B2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 text •"/>
    <w:basedOn w:val="Normal"/>
    <w:rsid w:val="00B27E26"/>
    <w:pPr>
      <w:numPr>
        <w:numId w:val="3"/>
      </w:numPr>
    </w:pPr>
    <w:rPr>
      <w:rFonts w:ascii="Times New Roman" w:hAnsi="Times New Roman"/>
      <w:sz w:val="24"/>
    </w:rPr>
  </w:style>
  <w:style w:type="paragraph" w:customStyle="1" w:styleId="NumberedText">
    <w:name w:val="Numbered Text"/>
    <w:basedOn w:val="Normal"/>
    <w:rsid w:val="0003761B"/>
    <w:pPr>
      <w:numPr>
        <w:numId w:val="4"/>
      </w:numPr>
      <w:spacing w:after="120"/>
      <w:jc w:val="both"/>
    </w:pPr>
    <w:rPr>
      <w:rFonts w:ascii="Times New Roman" w:hAnsi="Times New Roman"/>
      <w:sz w:val="24"/>
    </w:rPr>
  </w:style>
  <w:style w:type="character" w:customStyle="1" w:styleId="Heading1Char">
    <w:name w:val="Heading 1 Char"/>
    <w:basedOn w:val="DefaultParagraphFont"/>
    <w:link w:val="Heading1"/>
    <w:rsid w:val="00AD20BF"/>
    <w:rPr>
      <w:rFonts w:ascii="Arial" w:hAnsi="Arial"/>
      <w:b/>
      <w:bCs/>
      <w:caps/>
      <w:sz w:val="24"/>
    </w:rPr>
  </w:style>
  <w:style w:type="paragraph" w:customStyle="1" w:styleId="ActTitle">
    <w:name w:val="Act Title"/>
    <w:basedOn w:val="Normal"/>
    <w:rsid w:val="00AD20BF"/>
    <w:pPr>
      <w:spacing w:before="120"/>
      <w:jc w:val="center"/>
    </w:pPr>
    <w:rPr>
      <w:rFonts w:ascii="Arial" w:hAnsi="Arial"/>
      <w:i/>
      <w:iCs/>
      <w:sz w:val="24"/>
    </w:rPr>
  </w:style>
  <w:style w:type="paragraph" w:customStyle="1" w:styleId="Instructions">
    <w:name w:val="Instructions"/>
    <w:basedOn w:val="Normal"/>
    <w:link w:val="InstructionsChar"/>
    <w:rsid w:val="00AD20BF"/>
    <w:pPr>
      <w:spacing w:before="120"/>
      <w:jc w:val="both"/>
    </w:pPr>
    <w:rPr>
      <w:rFonts w:ascii="Arial" w:hAnsi="Arial" w:cs="Arial"/>
      <w:i/>
      <w:color w:val="0000FF"/>
    </w:rPr>
  </w:style>
  <w:style w:type="character" w:customStyle="1" w:styleId="InstructionsChar">
    <w:name w:val="Instructions Char"/>
    <w:basedOn w:val="DefaultParagraphFont"/>
    <w:link w:val="Instructions"/>
    <w:rsid w:val="00AD20BF"/>
    <w:rPr>
      <w:rFonts w:ascii="Arial" w:hAnsi="Arial" w:cs="Arial"/>
      <w:i/>
      <w:color w:val="0000FF"/>
    </w:rPr>
  </w:style>
  <w:style w:type="paragraph" w:customStyle="1" w:styleId="StrategicAssessmentText">
    <w:name w:val="Strategic Assessment Text"/>
    <w:basedOn w:val="Normal"/>
    <w:rsid w:val="00AD20BF"/>
    <w:pPr>
      <w:spacing w:before="120"/>
      <w:ind w:left="284"/>
      <w:jc w:val="both"/>
    </w:pPr>
    <w:rPr>
      <w:sz w:val="24"/>
    </w:rPr>
  </w:style>
  <w:style w:type="paragraph" w:styleId="List2">
    <w:name w:val="List 2"/>
    <w:basedOn w:val="Normal"/>
    <w:rsid w:val="00AD20BF"/>
    <w:pPr>
      <w:numPr>
        <w:ilvl w:val="1"/>
        <w:numId w:val="6"/>
      </w:numPr>
      <w:spacing w:before="120"/>
      <w:jc w:val="both"/>
    </w:pPr>
    <w:rPr>
      <w:sz w:val="24"/>
    </w:rPr>
  </w:style>
  <w:style w:type="paragraph" w:customStyle="1" w:styleId="NormInd">
    <w:name w:val="Norm_Ind"/>
    <w:basedOn w:val="Normal"/>
    <w:link w:val="NormIndChar"/>
    <w:rsid w:val="003512FA"/>
    <w:pPr>
      <w:spacing w:after="160"/>
      <w:ind w:left="567"/>
      <w:jc w:val="both"/>
    </w:pPr>
    <w:rPr>
      <w:rFonts w:ascii="Arial" w:hAnsi="Arial"/>
      <w:color w:val="000000"/>
      <w:sz w:val="22"/>
      <w:lang w:val="en-GB"/>
    </w:rPr>
  </w:style>
  <w:style w:type="character" w:customStyle="1" w:styleId="NormIndChar">
    <w:name w:val="Norm_Ind Char"/>
    <w:basedOn w:val="DefaultParagraphFont"/>
    <w:link w:val="NormInd"/>
    <w:rsid w:val="003512FA"/>
    <w:rPr>
      <w:rFonts w:ascii="Arial" w:hAnsi="Arial"/>
      <w:color w:val="000000"/>
      <w:sz w:val="22"/>
      <w:lang w:val="en-GB"/>
    </w:rPr>
  </w:style>
  <w:style w:type="paragraph" w:customStyle="1" w:styleId="NumIndent">
    <w:name w:val="Num_Indent"/>
    <w:basedOn w:val="Normal"/>
    <w:rsid w:val="003512FA"/>
    <w:pPr>
      <w:numPr>
        <w:numId w:val="8"/>
      </w:numPr>
      <w:spacing w:after="160"/>
      <w:jc w:val="both"/>
    </w:pPr>
    <w:rPr>
      <w:rFonts w:ascii="Arial" w:hAnsi="Arial"/>
      <w:color w:val="000000"/>
      <w:sz w:val="22"/>
      <w:lang w:val="en-GB"/>
    </w:rPr>
  </w:style>
  <w:style w:type="paragraph" w:customStyle="1" w:styleId="MainHeading">
    <w:name w:val="Main_Heading"/>
    <w:basedOn w:val="Normal"/>
    <w:next w:val="Normal"/>
    <w:rsid w:val="003512FA"/>
    <w:pPr>
      <w:spacing w:after="240"/>
      <w:ind w:left="567" w:hanging="567"/>
    </w:pPr>
    <w:rPr>
      <w:rFonts w:ascii="Arial" w:hAnsi="Arial"/>
      <w:b/>
      <w:caps/>
      <w:color w:val="000000"/>
      <w:sz w:val="24"/>
      <w:lang w:val="en-GB"/>
    </w:rPr>
  </w:style>
</w:styles>
</file>

<file path=word/webSettings.xml><?xml version="1.0" encoding="utf-8"?>
<w:webSettings xmlns:r="http://schemas.openxmlformats.org/officeDocument/2006/relationships" xmlns:w="http://schemas.openxmlformats.org/wordprocessingml/2006/main">
  <w:divs>
    <w:div w:id="992104488">
      <w:bodyDiv w:val="1"/>
      <w:marLeft w:val="0"/>
      <w:marRight w:val="0"/>
      <w:marTop w:val="0"/>
      <w:marBottom w:val="0"/>
      <w:divBdr>
        <w:top w:val="none" w:sz="0" w:space="0" w:color="auto"/>
        <w:left w:val="none" w:sz="0" w:space="0" w:color="auto"/>
        <w:bottom w:val="none" w:sz="0" w:space="0" w:color="auto"/>
        <w:right w:val="none" w:sz="0" w:space="0" w:color="auto"/>
      </w:divBdr>
    </w:div>
    <w:div w:id="1220480685">
      <w:bodyDiv w:val="1"/>
      <w:marLeft w:val="0"/>
      <w:marRight w:val="0"/>
      <w:marTop w:val="0"/>
      <w:marBottom w:val="0"/>
      <w:divBdr>
        <w:top w:val="none" w:sz="0" w:space="0" w:color="auto"/>
        <w:left w:val="none" w:sz="0" w:space="0" w:color="auto"/>
        <w:bottom w:val="none" w:sz="0" w:space="0" w:color="auto"/>
        <w:right w:val="none" w:sz="0" w:space="0" w:color="auto"/>
      </w:divBdr>
    </w:div>
    <w:div w:id="1476993308">
      <w:bodyDiv w:val="1"/>
      <w:marLeft w:val="0"/>
      <w:marRight w:val="0"/>
      <w:marTop w:val="0"/>
      <w:marBottom w:val="0"/>
      <w:divBdr>
        <w:top w:val="none" w:sz="0" w:space="0" w:color="auto"/>
        <w:left w:val="none" w:sz="0" w:space="0" w:color="auto"/>
        <w:bottom w:val="none" w:sz="0" w:space="0" w:color="auto"/>
        <w:right w:val="none" w:sz="0" w:space="0" w:color="auto"/>
      </w:divBdr>
    </w:div>
    <w:div w:id="2011104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ategicplanning@geelongcity.vic.gov.au" TargetMode="External"/><Relationship Id="rId3" Type="http://schemas.openxmlformats.org/officeDocument/2006/relationships/settings" Target="settings.xml"/><Relationship Id="rId7" Type="http://schemas.openxmlformats.org/officeDocument/2006/relationships/hyperlink" Target="http://www.dpcd.vic.gov.au/planning/publicinspe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5</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Greater Geelong City Council</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Susan Williamson</dc:creator>
  <cp:lastModifiedBy>lc0738</cp:lastModifiedBy>
  <cp:revision>12</cp:revision>
  <cp:lastPrinted>2014-02-16T23:06:00Z</cp:lastPrinted>
  <dcterms:created xsi:type="dcterms:W3CDTF">2013-12-16T05:21:00Z</dcterms:created>
  <dcterms:modified xsi:type="dcterms:W3CDTF">2014-02-17T03:35:00Z</dcterms:modified>
</cp:coreProperties>
</file>