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A75" w:rsidRPr="00F21E47" w:rsidRDefault="00760A75" w:rsidP="00760A75">
      <w:pPr>
        <w:jc w:val="center"/>
        <w:rPr>
          <w:rFonts w:ascii="Arial" w:hAnsi="Arial" w:cs="Arial"/>
          <w:i/>
          <w:iCs/>
        </w:rPr>
      </w:pPr>
      <w:r w:rsidRPr="00F21E47">
        <w:rPr>
          <w:rFonts w:ascii="Arial" w:hAnsi="Arial" w:cs="Arial"/>
          <w:i/>
          <w:iCs/>
        </w:rPr>
        <w:t>Planning and Environment Act 1987</w:t>
      </w:r>
    </w:p>
    <w:p w:rsidR="00760A75" w:rsidRPr="00F21E47" w:rsidRDefault="00760A75" w:rsidP="00760A75">
      <w:pPr>
        <w:keepNext/>
        <w:keepLines/>
        <w:spacing w:before="240"/>
        <w:jc w:val="center"/>
        <w:outlineLvl w:val="0"/>
        <w:rPr>
          <w:rFonts w:ascii="Arial" w:hAnsi="Arial" w:cs="Arial"/>
          <w:b/>
          <w:bCs/>
          <w:caps/>
          <w:sz w:val="28"/>
          <w:szCs w:val="28"/>
        </w:rPr>
      </w:pPr>
      <w:r w:rsidRPr="00F21E47">
        <w:rPr>
          <w:rFonts w:ascii="Arial" w:hAnsi="Arial" w:cs="Arial"/>
          <w:b/>
          <w:bCs/>
          <w:caps/>
          <w:color w:val="000000"/>
          <w:sz w:val="28"/>
          <w:szCs w:val="28"/>
        </w:rPr>
        <w:t>GREATER GEELONG</w:t>
      </w:r>
      <w:r w:rsidRPr="00F21E47">
        <w:rPr>
          <w:rFonts w:ascii="Arial" w:hAnsi="Arial" w:cs="Arial"/>
          <w:b/>
          <w:bCs/>
          <w:caps/>
          <w:sz w:val="28"/>
          <w:szCs w:val="28"/>
        </w:rPr>
        <w:t xml:space="preserve"> PLANNING SCHEME</w:t>
      </w:r>
    </w:p>
    <w:p w:rsidR="00760A75" w:rsidRPr="00F21E47" w:rsidRDefault="00760A75" w:rsidP="00760A75">
      <w:pPr>
        <w:keepNext/>
        <w:keepLines/>
        <w:spacing w:before="240"/>
        <w:jc w:val="center"/>
        <w:outlineLvl w:val="0"/>
        <w:rPr>
          <w:rFonts w:ascii="Arial" w:hAnsi="Arial" w:cs="Arial"/>
          <w:b/>
          <w:bCs/>
          <w:caps/>
          <w:sz w:val="28"/>
          <w:szCs w:val="28"/>
        </w:rPr>
      </w:pPr>
      <w:r w:rsidRPr="00F21E47">
        <w:rPr>
          <w:rFonts w:ascii="Arial" w:hAnsi="Arial" w:cs="Arial"/>
          <w:b/>
          <w:bCs/>
          <w:caps/>
          <w:sz w:val="28"/>
          <w:szCs w:val="28"/>
        </w:rPr>
        <w:t>AMENDMENT C</w:t>
      </w:r>
      <w:r>
        <w:rPr>
          <w:rFonts w:ascii="Arial" w:hAnsi="Arial" w:cs="Arial"/>
          <w:b/>
          <w:bCs/>
          <w:caps/>
          <w:sz w:val="28"/>
          <w:szCs w:val="28"/>
        </w:rPr>
        <w:t>266</w:t>
      </w:r>
    </w:p>
    <w:p w:rsidR="00760A75" w:rsidRPr="00F21E47" w:rsidRDefault="00760A75" w:rsidP="00760A75">
      <w:pPr>
        <w:keepNext/>
        <w:keepLines/>
        <w:spacing w:before="240"/>
        <w:jc w:val="center"/>
        <w:outlineLvl w:val="0"/>
        <w:rPr>
          <w:rFonts w:ascii="Arial" w:hAnsi="Arial" w:cs="Arial"/>
          <w:b/>
          <w:bCs/>
          <w:caps/>
          <w:szCs w:val="24"/>
        </w:rPr>
      </w:pPr>
      <w:r w:rsidRPr="00F21E47">
        <w:rPr>
          <w:rFonts w:ascii="Arial" w:hAnsi="Arial" w:cs="Arial"/>
          <w:b/>
          <w:bCs/>
          <w:caps/>
          <w:szCs w:val="24"/>
        </w:rPr>
        <w:t>EXPLANATORY REPORT</w:t>
      </w:r>
    </w:p>
    <w:p w:rsidR="00760A75" w:rsidRPr="00F21E47" w:rsidRDefault="00760A75" w:rsidP="00760A75">
      <w:pPr>
        <w:spacing w:before="360"/>
        <w:outlineLvl w:val="1"/>
        <w:rPr>
          <w:rFonts w:ascii="Arial" w:hAnsi="Arial" w:cs="Arial"/>
          <w:b/>
          <w:bCs/>
        </w:rPr>
      </w:pPr>
      <w:r w:rsidRPr="00F21E47">
        <w:rPr>
          <w:rFonts w:ascii="Arial" w:hAnsi="Arial" w:cs="Arial"/>
          <w:b/>
          <w:bCs/>
        </w:rPr>
        <w:t>Who is the planning authority?</w:t>
      </w:r>
    </w:p>
    <w:p w:rsidR="00760A75" w:rsidRPr="00300041" w:rsidRDefault="00760A75" w:rsidP="00760A75">
      <w:pPr>
        <w:rPr>
          <w:rFonts w:ascii="Arial" w:hAnsi="Arial" w:cs="Arial"/>
          <w:sz w:val="22"/>
          <w:szCs w:val="22"/>
        </w:rPr>
      </w:pPr>
      <w:r w:rsidRPr="00300041">
        <w:rPr>
          <w:rFonts w:ascii="Arial" w:hAnsi="Arial" w:cs="Arial"/>
          <w:sz w:val="22"/>
          <w:szCs w:val="22"/>
        </w:rPr>
        <w:t>This amendment has been prepared by the City of Greater Geelong, who is the planning authority for this Amendment.</w:t>
      </w:r>
    </w:p>
    <w:p w:rsidR="00760A75" w:rsidRPr="00300041" w:rsidRDefault="00760A75" w:rsidP="00760A75">
      <w:pPr>
        <w:rPr>
          <w:rFonts w:ascii="Arial" w:hAnsi="Arial" w:cs="Arial"/>
          <w:sz w:val="22"/>
          <w:szCs w:val="22"/>
        </w:rPr>
      </w:pPr>
      <w:r w:rsidRPr="00300041">
        <w:rPr>
          <w:rFonts w:ascii="Arial" w:hAnsi="Arial" w:cs="Arial"/>
          <w:sz w:val="22"/>
          <w:szCs w:val="22"/>
        </w:rPr>
        <w:t>The amendment has been made at the request of TGM Group Pty Ltd on behalf of Point Cook Pty Ltd.</w:t>
      </w:r>
    </w:p>
    <w:p w:rsidR="00760A75" w:rsidRPr="00F21E47" w:rsidRDefault="00760A75" w:rsidP="00760A75">
      <w:pPr>
        <w:spacing w:before="360"/>
        <w:outlineLvl w:val="1"/>
        <w:rPr>
          <w:rFonts w:ascii="Arial" w:hAnsi="Arial" w:cs="Arial"/>
          <w:b/>
          <w:bCs/>
        </w:rPr>
      </w:pPr>
      <w:r w:rsidRPr="00F21E47">
        <w:rPr>
          <w:rFonts w:ascii="Arial" w:hAnsi="Arial" w:cs="Arial"/>
          <w:b/>
          <w:bCs/>
        </w:rPr>
        <w:t>Land affected by the amendment</w:t>
      </w:r>
    </w:p>
    <w:p w:rsidR="00760A75" w:rsidRPr="00300041" w:rsidRDefault="00760A75" w:rsidP="00760A75">
      <w:pPr>
        <w:rPr>
          <w:rFonts w:ascii="Arial" w:hAnsi="Arial" w:cs="Arial"/>
          <w:sz w:val="22"/>
          <w:szCs w:val="22"/>
        </w:rPr>
      </w:pPr>
      <w:r w:rsidRPr="00300041">
        <w:rPr>
          <w:rFonts w:ascii="Arial" w:hAnsi="Arial" w:cs="Arial"/>
          <w:sz w:val="22"/>
          <w:szCs w:val="22"/>
        </w:rPr>
        <w:t xml:space="preserve">The amendment applies to land at 26 – 48 Canterbury Road West and 50 – 68 Canterbury Road West, Lara.  The combined overall area of these land parcels is approximately 10.3 hectares.  </w:t>
      </w:r>
    </w:p>
    <w:p w:rsidR="00760A75" w:rsidRPr="00F21E47" w:rsidRDefault="00760A75" w:rsidP="00760A75">
      <w:pPr>
        <w:spacing w:before="360"/>
        <w:outlineLvl w:val="1"/>
        <w:rPr>
          <w:rFonts w:ascii="Arial" w:hAnsi="Arial" w:cs="Arial"/>
          <w:b/>
          <w:bCs/>
        </w:rPr>
      </w:pPr>
      <w:r w:rsidRPr="00F21E47">
        <w:rPr>
          <w:rFonts w:ascii="Arial" w:hAnsi="Arial" w:cs="Arial"/>
          <w:b/>
          <w:bCs/>
        </w:rPr>
        <w:t>What the amendment does</w:t>
      </w:r>
    </w:p>
    <w:p w:rsidR="00760A75" w:rsidRPr="00300041" w:rsidRDefault="00760A75" w:rsidP="00760A75">
      <w:pPr>
        <w:rPr>
          <w:rFonts w:ascii="Arial" w:hAnsi="Arial" w:cs="Arial"/>
          <w:sz w:val="22"/>
          <w:szCs w:val="22"/>
        </w:rPr>
      </w:pPr>
      <w:r w:rsidRPr="00300041">
        <w:rPr>
          <w:rFonts w:ascii="Arial" w:hAnsi="Arial" w:cs="Arial"/>
          <w:sz w:val="22"/>
          <w:szCs w:val="22"/>
        </w:rPr>
        <w:t xml:space="preserve">The amendment proposes to rezone land at 50-68 Canterbury Road West from Farming Zone to </w:t>
      </w:r>
      <w:r>
        <w:rPr>
          <w:rFonts w:ascii="Arial" w:hAnsi="Arial" w:cs="Arial"/>
          <w:sz w:val="22"/>
          <w:szCs w:val="22"/>
        </w:rPr>
        <w:t>General Residential zone</w:t>
      </w:r>
      <w:r w:rsidRPr="00300041">
        <w:rPr>
          <w:rFonts w:ascii="Arial" w:hAnsi="Arial" w:cs="Arial"/>
          <w:sz w:val="22"/>
          <w:szCs w:val="22"/>
        </w:rPr>
        <w:t xml:space="preserve"> and apply the Special Building Overlay – Schedule 2 over the land.  Concurrent with the preparation of the planning scheme amendment, a planning permit application is also made pursuant to Section 96A (</w:t>
      </w:r>
      <w:proofErr w:type="spellStart"/>
      <w:r w:rsidRPr="00300041">
        <w:rPr>
          <w:rFonts w:ascii="Arial" w:hAnsi="Arial" w:cs="Arial"/>
          <w:sz w:val="22"/>
          <w:szCs w:val="22"/>
        </w:rPr>
        <w:t>i</w:t>
      </w:r>
      <w:proofErr w:type="spellEnd"/>
      <w:r w:rsidRPr="00300041">
        <w:rPr>
          <w:rFonts w:ascii="Arial" w:hAnsi="Arial" w:cs="Arial"/>
          <w:sz w:val="22"/>
          <w:szCs w:val="22"/>
        </w:rPr>
        <w:t xml:space="preserve">) of the Planning &amp; Environment Act 1987 which proposes a Staged Multi-Lot </w:t>
      </w:r>
      <w:r>
        <w:rPr>
          <w:rFonts w:ascii="Arial" w:hAnsi="Arial" w:cs="Arial"/>
          <w:sz w:val="22"/>
          <w:szCs w:val="22"/>
        </w:rPr>
        <w:t>General Residential z</w:t>
      </w:r>
      <w:r w:rsidRPr="00300041">
        <w:rPr>
          <w:rFonts w:ascii="Arial" w:hAnsi="Arial" w:cs="Arial"/>
          <w:sz w:val="22"/>
          <w:szCs w:val="22"/>
        </w:rPr>
        <w:t>one subdivision of approximately 128 conventional size lots.</w:t>
      </w:r>
    </w:p>
    <w:p w:rsidR="00760A75" w:rsidRPr="00300041" w:rsidRDefault="00760A75" w:rsidP="00760A75">
      <w:pPr>
        <w:rPr>
          <w:rFonts w:ascii="Arial" w:hAnsi="Arial" w:cs="Arial"/>
          <w:sz w:val="22"/>
          <w:szCs w:val="22"/>
        </w:rPr>
      </w:pPr>
      <w:r w:rsidRPr="00300041">
        <w:rPr>
          <w:rFonts w:ascii="Arial" w:hAnsi="Arial" w:cs="Arial"/>
          <w:sz w:val="22"/>
          <w:szCs w:val="22"/>
        </w:rPr>
        <w:t xml:space="preserve">The amendment also proposes to apply the Special Building Overlay – Schedule 2 over the adjoining </w:t>
      </w:r>
      <w:r>
        <w:rPr>
          <w:rFonts w:ascii="Arial" w:hAnsi="Arial" w:cs="Arial"/>
          <w:sz w:val="22"/>
          <w:szCs w:val="22"/>
        </w:rPr>
        <w:t>General Residential z</w:t>
      </w:r>
      <w:r w:rsidRPr="00300041">
        <w:rPr>
          <w:rFonts w:ascii="Arial" w:hAnsi="Arial" w:cs="Arial"/>
          <w:sz w:val="22"/>
          <w:szCs w:val="22"/>
        </w:rPr>
        <w:t>one land at 26-48 Canterbury Road, Lara.</w:t>
      </w:r>
    </w:p>
    <w:p w:rsidR="00760A75" w:rsidRPr="00F21E47" w:rsidRDefault="00760A75" w:rsidP="00760A75">
      <w:pPr>
        <w:rPr>
          <w:rFonts w:ascii="Arial" w:hAnsi="Arial" w:cs="Arial"/>
          <w:sz w:val="22"/>
          <w:szCs w:val="22"/>
        </w:rPr>
      </w:pPr>
      <w:r w:rsidRPr="00F21E47">
        <w:rPr>
          <w:rFonts w:ascii="Arial" w:hAnsi="Arial" w:cs="Arial"/>
          <w:sz w:val="22"/>
          <w:szCs w:val="22"/>
        </w:rPr>
        <w:t xml:space="preserve">The amendment </w:t>
      </w:r>
      <w:r>
        <w:rPr>
          <w:rFonts w:ascii="Arial" w:hAnsi="Arial" w:cs="Arial"/>
          <w:sz w:val="22"/>
          <w:szCs w:val="22"/>
        </w:rPr>
        <w:t>a</w:t>
      </w:r>
      <w:r w:rsidRPr="00C21863">
        <w:rPr>
          <w:rFonts w:ascii="Arial" w:hAnsi="Arial" w:cs="Arial"/>
          <w:sz w:val="22"/>
          <w:szCs w:val="22"/>
        </w:rPr>
        <w:t>mend</w:t>
      </w:r>
      <w:r>
        <w:rPr>
          <w:rFonts w:ascii="Arial" w:hAnsi="Arial" w:cs="Arial"/>
          <w:sz w:val="22"/>
          <w:szCs w:val="22"/>
        </w:rPr>
        <w:t>s</w:t>
      </w:r>
      <w:r w:rsidRPr="00C21863">
        <w:rPr>
          <w:rFonts w:ascii="Arial" w:hAnsi="Arial" w:cs="Arial"/>
          <w:sz w:val="22"/>
          <w:szCs w:val="22"/>
        </w:rPr>
        <w:t xml:space="preserve"> the Schedule to </w:t>
      </w:r>
      <w:r>
        <w:rPr>
          <w:rFonts w:ascii="Arial" w:hAnsi="Arial" w:cs="Arial"/>
          <w:sz w:val="22"/>
          <w:szCs w:val="22"/>
        </w:rPr>
        <w:t>Clause 45.05</w:t>
      </w:r>
      <w:r w:rsidRPr="00C21863">
        <w:rPr>
          <w:rFonts w:ascii="Arial" w:hAnsi="Arial" w:cs="Arial"/>
          <w:sz w:val="22"/>
          <w:szCs w:val="22"/>
        </w:rPr>
        <w:t xml:space="preserve"> </w:t>
      </w:r>
      <w:r>
        <w:rPr>
          <w:rFonts w:ascii="Arial" w:hAnsi="Arial" w:cs="Arial"/>
          <w:sz w:val="22"/>
          <w:szCs w:val="22"/>
        </w:rPr>
        <w:t>Special Building</w:t>
      </w:r>
      <w:r w:rsidRPr="00C21863">
        <w:rPr>
          <w:rFonts w:ascii="Arial" w:hAnsi="Arial" w:cs="Arial"/>
          <w:sz w:val="22"/>
          <w:szCs w:val="22"/>
        </w:rPr>
        <w:t xml:space="preserve"> Overlay to </w:t>
      </w:r>
      <w:r>
        <w:rPr>
          <w:rFonts w:ascii="Arial" w:hAnsi="Arial" w:cs="Arial"/>
          <w:sz w:val="22"/>
          <w:szCs w:val="22"/>
        </w:rPr>
        <w:t>include reference to SBO2</w:t>
      </w:r>
      <w:r w:rsidRPr="00C21863">
        <w:rPr>
          <w:rFonts w:ascii="Arial" w:hAnsi="Arial" w:cs="Arial"/>
          <w:sz w:val="22"/>
          <w:szCs w:val="22"/>
        </w:rPr>
        <w:t>.</w:t>
      </w:r>
    </w:p>
    <w:p w:rsidR="00760A75" w:rsidRPr="00F21E47" w:rsidRDefault="00760A75" w:rsidP="00760A75">
      <w:pPr>
        <w:spacing w:before="360"/>
        <w:outlineLvl w:val="1"/>
        <w:rPr>
          <w:rFonts w:ascii="Arial" w:hAnsi="Arial" w:cs="Arial"/>
          <w:b/>
          <w:bCs/>
          <w:smallCaps/>
        </w:rPr>
      </w:pPr>
      <w:r w:rsidRPr="00F21E47">
        <w:rPr>
          <w:rFonts w:ascii="Arial" w:hAnsi="Arial" w:cs="Arial"/>
          <w:b/>
          <w:bCs/>
        </w:rPr>
        <w:t xml:space="preserve">Strategic assessment of the amendment </w:t>
      </w:r>
    </w:p>
    <w:p w:rsidR="00760A75" w:rsidRPr="00420A5B" w:rsidRDefault="00760A75" w:rsidP="00913138">
      <w:pPr>
        <w:pStyle w:val="Heading3"/>
        <w:numPr>
          <w:ilvl w:val="0"/>
          <w:numId w:val="10"/>
        </w:numPr>
        <w:tabs>
          <w:tab w:val="left" w:pos="284"/>
        </w:tabs>
        <w:ind w:left="284" w:hanging="284"/>
        <w:rPr>
          <w:rFonts w:ascii="Arial" w:hAnsi="Arial" w:cs="Arial"/>
          <w:szCs w:val="24"/>
        </w:rPr>
      </w:pPr>
      <w:r w:rsidRPr="00420A5B">
        <w:rPr>
          <w:rFonts w:ascii="Arial" w:hAnsi="Arial" w:cs="Arial"/>
          <w:szCs w:val="24"/>
        </w:rPr>
        <w:t>Why is the amendment required?</w:t>
      </w:r>
    </w:p>
    <w:p w:rsidR="00760A75" w:rsidRPr="00300041" w:rsidRDefault="00760A75" w:rsidP="00913138">
      <w:pPr>
        <w:ind w:left="284"/>
        <w:rPr>
          <w:rFonts w:ascii="Arial" w:hAnsi="Arial" w:cs="Arial"/>
          <w:sz w:val="22"/>
          <w:szCs w:val="22"/>
        </w:rPr>
      </w:pPr>
      <w:r w:rsidRPr="00300041">
        <w:rPr>
          <w:rFonts w:ascii="Arial" w:hAnsi="Arial" w:cs="Arial"/>
          <w:sz w:val="22"/>
          <w:szCs w:val="22"/>
        </w:rPr>
        <w:t>The amendment is required in order to facilitate residential growth in accordance with Clause 21.06-2 Urban Growth, Clause 21.13-2 Strategies and Clause 21.13-4 Lara Structure Plan Map.</w:t>
      </w:r>
    </w:p>
    <w:p w:rsidR="00760A75" w:rsidRPr="00300041" w:rsidRDefault="00760A75" w:rsidP="00913138">
      <w:pPr>
        <w:ind w:left="284"/>
        <w:rPr>
          <w:rFonts w:ascii="Arial" w:hAnsi="Arial" w:cs="Arial"/>
          <w:sz w:val="22"/>
          <w:szCs w:val="22"/>
        </w:rPr>
      </w:pPr>
      <w:r w:rsidRPr="00300041">
        <w:rPr>
          <w:rFonts w:ascii="Arial" w:hAnsi="Arial" w:cs="Arial"/>
          <w:sz w:val="22"/>
          <w:szCs w:val="22"/>
        </w:rPr>
        <w:t xml:space="preserve">The approved 2011 Lara Structure Plan nominates the area known as 50 Canterbury Road West to be rezoned from Farming </w:t>
      </w:r>
      <w:r>
        <w:rPr>
          <w:rFonts w:ascii="Arial" w:hAnsi="Arial" w:cs="Arial"/>
          <w:sz w:val="22"/>
          <w:szCs w:val="22"/>
        </w:rPr>
        <w:t>z</w:t>
      </w:r>
      <w:r w:rsidRPr="00300041">
        <w:rPr>
          <w:rFonts w:ascii="Arial" w:hAnsi="Arial" w:cs="Arial"/>
          <w:sz w:val="22"/>
          <w:szCs w:val="22"/>
        </w:rPr>
        <w:t xml:space="preserve">one to </w:t>
      </w:r>
      <w:r>
        <w:rPr>
          <w:rFonts w:ascii="Arial" w:hAnsi="Arial" w:cs="Arial"/>
          <w:sz w:val="22"/>
          <w:szCs w:val="22"/>
        </w:rPr>
        <w:t>General Residential zone</w:t>
      </w:r>
      <w:r w:rsidRPr="00300041">
        <w:rPr>
          <w:rFonts w:ascii="Arial" w:hAnsi="Arial" w:cs="Arial"/>
          <w:sz w:val="22"/>
          <w:szCs w:val="22"/>
        </w:rPr>
        <w:t>.  The Structure Plan also directs the development of this land for conventional residential use.</w:t>
      </w:r>
    </w:p>
    <w:p w:rsidR="00760A75" w:rsidRPr="00300041" w:rsidRDefault="00760A75" w:rsidP="00913138">
      <w:pPr>
        <w:ind w:left="284"/>
        <w:rPr>
          <w:rFonts w:ascii="Arial" w:hAnsi="Arial" w:cs="Arial"/>
          <w:snapToGrid w:val="0"/>
        </w:rPr>
      </w:pPr>
      <w:r w:rsidRPr="00300041">
        <w:rPr>
          <w:rFonts w:ascii="Arial" w:hAnsi="Arial" w:cs="Arial"/>
          <w:sz w:val="22"/>
          <w:szCs w:val="22"/>
        </w:rPr>
        <w:t xml:space="preserve">The amendment is also required to facilitate an integrated stormwater management approach with adjoining land in accordance with </w:t>
      </w:r>
      <w:r w:rsidRPr="00300041">
        <w:rPr>
          <w:rFonts w:ascii="Arial" w:hAnsi="Arial" w:cs="Arial"/>
          <w:snapToGrid w:val="0"/>
          <w:sz w:val="22"/>
          <w:szCs w:val="22"/>
        </w:rPr>
        <w:t>Clause 19.03-3 Stormwater.</w:t>
      </w:r>
    </w:p>
    <w:p w:rsidR="00760A75" w:rsidRPr="00420A5B" w:rsidRDefault="00760A75" w:rsidP="00913138">
      <w:pPr>
        <w:pStyle w:val="Heading3"/>
        <w:numPr>
          <w:ilvl w:val="0"/>
          <w:numId w:val="10"/>
        </w:numPr>
        <w:tabs>
          <w:tab w:val="left" w:pos="284"/>
        </w:tabs>
        <w:ind w:left="284" w:hanging="284"/>
        <w:rPr>
          <w:rFonts w:ascii="Arial" w:hAnsi="Arial" w:cs="Arial"/>
          <w:szCs w:val="24"/>
        </w:rPr>
      </w:pPr>
      <w:r w:rsidRPr="00420A5B">
        <w:rPr>
          <w:rFonts w:ascii="Arial" w:hAnsi="Arial" w:cs="Arial"/>
          <w:szCs w:val="24"/>
        </w:rPr>
        <w:t>How does the amendment implement the objectives of planning in Victoria?</w:t>
      </w:r>
    </w:p>
    <w:p w:rsidR="00760A75" w:rsidRPr="00300041" w:rsidRDefault="00760A75" w:rsidP="00913138">
      <w:pPr>
        <w:ind w:left="284"/>
        <w:rPr>
          <w:rFonts w:ascii="Arial" w:hAnsi="Arial" w:cs="Arial"/>
          <w:sz w:val="22"/>
          <w:szCs w:val="22"/>
        </w:rPr>
      </w:pPr>
      <w:r w:rsidRPr="00300041">
        <w:rPr>
          <w:rFonts w:ascii="Arial" w:hAnsi="Arial" w:cs="Arial"/>
          <w:sz w:val="22"/>
          <w:szCs w:val="22"/>
        </w:rPr>
        <w:t>The amendment is consistent with the objectives of planning in Victoria.</w:t>
      </w:r>
    </w:p>
    <w:p w:rsidR="00760A75" w:rsidRPr="00300041" w:rsidRDefault="00760A75" w:rsidP="00913138">
      <w:pPr>
        <w:ind w:left="284"/>
        <w:rPr>
          <w:rFonts w:ascii="Arial" w:hAnsi="Arial" w:cs="Arial"/>
          <w:sz w:val="22"/>
          <w:szCs w:val="22"/>
        </w:rPr>
      </w:pPr>
      <w:r w:rsidRPr="00300041">
        <w:rPr>
          <w:rFonts w:ascii="Arial" w:hAnsi="Arial" w:cs="Arial"/>
          <w:sz w:val="22"/>
          <w:szCs w:val="22"/>
        </w:rPr>
        <w:t>The land is recognised for rezoning and conventional residential development in the approved Lara Structure Plan 2011 and Clause 21.13 Lara of the Greater Geelong Planning Scheme.</w:t>
      </w:r>
    </w:p>
    <w:p w:rsidR="00760A75" w:rsidRPr="00300041" w:rsidRDefault="00760A75" w:rsidP="00913138">
      <w:pPr>
        <w:ind w:left="284"/>
        <w:rPr>
          <w:rFonts w:ascii="Arial" w:hAnsi="Arial" w:cs="Arial"/>
          <w:sz w:val="22"/>
          <w:szCs w:val="22"/>
        </w:rPr>
      </w:pPr>
      <w:r w:rsidRPr="00300041">
        <w:rPr>
          <w:rFonts w:ascii="Arial" w:hAnsi="Arial" w:cs="Arial"/>
          <w:sz w:val="22"/>
          <w:szCs w:val="22"/>
        </w:rPr>
        <w:lastRenderedPageBreak/>
        <w:t>The amendment also seeks to facilitate future residential development in an orderly and fair manner in accordance with approved planning processes and the relevant planning provisions of the Greater Geelong Planning Scheme.</w:t>
      </w:r>
    </w:p>
    <w:p w:rsidR="00760A75" w:rsidRPr="00913138" w:rsidRDefault="00760A75" w:rsidP="00913138">
      <w:pPr>
        <w:pStyle w:val="Heading3"/>
        <w:numPr>
          <w:ilvl w:val="0"/>
          <w:numId w:val="10"/>
        </w:numPr>
        <w:tabs>
          <w:tab w:val="left" w:pos="284"/>
        </w:tabs>
        <w:ind w:left="284" w:hanging="284"/>
        <w:rPr>
          <w:rFonts w:ascii="Arial" w:hAnsi="Arial" w:cs="Arial"/>
          <w:szCs w:val="24"/>
        </w:rPr>
      </w:pPr>
      <w:r w:rsidRPr="00760A75">
        <w:rPr>
          <w:rFonts w:ascii="Arial" w:hAnsi="Arial" w:cs="Arial"/>
          <w:szCs w:val="24"/>
        </w:rPr>
        <w:t>How does the amendment address any environmental, social and economic effects?</w:t>
      </w:r>
    </w:p>
    <w:p w:rsidR="00760A75" w:rsidRPr="00300041" w:rsidRDefault="00760A75" w:rsidP="00913138">
      <w:pPr>
        <w:ind w:left="284"/>
        <w:rPr>
          <w:rFonts w:ascii="Arial" w:hAnsi="Arial" w:cs="Arial"/>
          <w:snapToGrid w:val="0"/>
          <w:sz w:val="22"/>
          <w:szCs w:val="22"/>
          <w:u w:val="single"/>
          <w:lang w:eastAsia="en-US"/>
        </w:rPr>
      </w:pPr>
      <w:r w:rsidRPr="00300041">
        <w:rPr>
          <w:rFonts w:ascii="Arial" w:hAnsi="Arial" w:cs="Arial"/>
          <w:snapToGrid w:val="0"/>
          <w:sz w:val="22"/>
          <w:szCs w:val="22"/>
          <w:u w:val="single"/>
          <w:lang w:eastAsia="en-US"/>
        </w:rPr>
        <w:t>Environmental Effects</w:t>
      </w:r>
    </w:p>
    <w:p w:rsidR="00760A75" w:rsidRPr="00913138" w:rsidRDefault="00760A75" w:rsidP="00913138">
      <w:pPr>
        <w:ind w:left="284"/>
        <w:rPr>
          <w:rFonts w:ascii="Arial" w:hAnsi="Arial" w:cs="Arial"/>
          <w:sz w:val="22"/>
          <w:szCs w:val="22"/>
        </w:rPr>
      </w:pPr>
      <w:r w:rsidRPr="00913138">
        <w:rPr>
          <w:rFonts w:ascii="Arial" w:hAnsi="Arial" w:cs="Arial"/>
          <w:sz w:val="22"/>
          <w:szCs w:val="22"/>
        </w:rPr>
        <w:t>The proposed amendment is supported by a Vegetation and Net Gain Assessment that has revealed that there are no impediments to residential development at this site.  The proposed amendment is also supported by a Hydraulic Modelling and Impact Report that indicates that the proposed drainage scheme will have no negative impacts on local flood levels. The proposed application of a Schedule to the Special Building Overlay seeks to ensure a consistent approach to managing flood and stormwater drainage levels across both land parcels.</w:t>
      </w:r>
    </w:p>
    <w:p w:rsidR="00760A75" w:rsidRPr="00300041" w:rsidRDefault="00760A75" w:rsidP="00913138">
      <w:pPr>
        <w:ind w:left="284"/>
        <w:rPr>
          <w:rFonts w:ascii="Arial" w:hAnsi="Arial" w:cs="Arial"/>
          <w:snapToGrid w:val="0"/>
          <w:sz w:val="22"/>
          <w:szCs w:val="22"/>
          <w:u w:val="single"/>
          <w:lang w:eastAsia="en-US"/>
        </w:rPr>
      </w:pPr>
      <w:r w:rsidRPr="00300041">
        <w:rPr>
          <w:rFonts w:ascii="Arial" w:hAnsi="Arial" w:cs="Arial"/>
          <w:snapToGrid w:val="0"/>
          <w:sz w:val="22"/>
          <w:szCs w:val="22"/>
          <w:u w:val="single"/>
          <w:lang w:eastAsia="en-US"/>
        </w:rPr>
        <w:t>Social and Economic Effects</w:t>
      </w:r>
    </w:p>
    <w:p w:rsidR="00760A75" w:rsidRPr="00913138" w:rsidRDefault="00760A75" w:rsidP="00913138">
      <w:pPr>
        <w:ind w:left="284"/>
        <w:rPr>
          <w:rFonts w:ascii="Arial" w:hAnsi="Arial" w:cs="Arial"/>
          <w:sz w:val="22"/>
          <w:szCs w:val="22"/>
        </w:rPr>
      </w:pPr>
      <w:r w:rsidRPr="00913138">
        <w:rPr>
          <w:rFonts w:ascii="Arial" w:hAnsi="Arial" w:cs="Arial"/>
          <w:sz w:val="22"/>
          <w:szCs w:val="22"/>
        </w:rPr>
        <w:t xml:space="preserve">The proposal will add to the supply of residential land within Lara and particularly promotes residential development in proximity to the town centre, community and recreation facilities, primary and secondary schools and public transport.  </w:t>
      </w:r>
    </w:p>
    <w:p w:rsidR="007E1C7F" w:rsidRPr="0047628B" w:rsidRDefault="007E1C7F" w:rsidP="00913138">
      <w:pPr>
        <w:pStyle w:val="Heading3"/>
        <w:numPr>
          <w:ilvl w:val="0"/>
          <w:numId w:val="10"/>
        </w:numPr>
        <w:tabs>
          <w:tab w:val="left" w:pos="284"/>
        </w:tabs>
        <w:ind w:left="284" w:hanging="284"/>
        <w:rPr>
          <w:rFonts w:ascii="Arial" w:hAnsi="Arial" w:cs="Arial"/>
          <w:szCs w:val="24"/>
        </w:rPr>
      </w:pPr>
      <w:r w:rsidRPr="0047628B">
        <w:rPr>
          <w:rFonts w:ascii="Arial" w:hAnsi="Arial" w:cs="Arial"/>
          <w:szCs w:val="24"/>
        </w:rPr>
        <w:t>Does the amendment address relevant bushfire risk?</w:t>
      </w:r>
    </w:p>
    <w:p w:rsidR="00760A75" w:rsidRPr="00300041" w:rsidRDefault="00760A75" w:rsidP="007E1C7F">
      <w:pPr>
        <w:rPr>
          <w:rFonts w:ascii="Arial" w:hAnsi="Arial" w:cs="Arial"/>
          <w:snapToGrid w:val="0"/>
          <w:sz w:val="22"/>
          <w:szCs w:val="22"/>
          <w:lang w:eastAsia="en-US"/>
        </w:rPr>
      </w:pPr>
      <w:r w:rsidRPr="00300041">
        <w:rPr>
          <w:rFonts w:ascii="Arial" w:hAnsi="Arial" w:cs="Arial"/>
          <w:snapToGrid w:val="0"/>
          <w:sz w:val="22"/>
          <w:szCs w:val="22"/>
          <w:lang w:eastAsia="en-US"/>
        </w:rPr>
        <w:t xml:space="preserve">The subject land is not located within a Bushfire Risk Area. </w:t>
      </w:r>
    </w:p>
    <w:p w:rsidR="007E1C7F" w:rsidRPr="00420A5B" w:rsidRDefault="007E1C7F" w:rsidP="00913138">
      <w:pPr>
        <w:pStyle w:val="Heading3"/>
        <w:numPr>
          <w:ilvl w:val="0"/>
          <w:numId w:val="10"/>
        </w:numPr>
        <w:tabs>
          <w:tab w:val="left" w:pos="284"/>
        </w:tabs>
        <w:ind w:left="284" w:hanging="284"/>
        <w:rPr>
          <w:rFonts w:ascii="Arial" w:hAnsi="Arial" w:cs="Arial"/>
          <w:szCs w:val="24"/>
        </w:rPr>
      </w:pPr>
      <w:r w:rsidRPr="00420A5B">
        <w:rPr>
          <w:rFonts w:ascii="Arial" w:hAnsi="Arial" w:cs="Arial"/>
          <w:szCs w:val="24"/>
        </w:rPr>
        <w:t>Does the amendment comply with the requirements of any Minister’s Direction applicable to the amendment?</w:t>
      </w:r>
    </w:p>
    <w:p w:rsidR="00760A75" w:rsidRPr="00913138" w:rsidRDefault="00760A75" w:rsidP="00913138">
      <w:pPr>
        <w:ind w:left="284"/>
        <w:rPr>
          <w:rFonts w:ascii="Arial" w:hAnsi="Arial" w:cs="Arial"/>
          <w:sz w:val="22"/>
          <w:szCs w:val="22"/>
        </w:rPr>
      </w:pPr>
      <w:r w:rsidRPr="00913138">
        <w:rPr>
          <w:rFonts w:ascii="Arial" w:hAnsi="Arial" w:cs="Arial"/>
          <w:sz w:val="22"/>
          <w:szCs w:val="22"/>
        </w:rPr>
        <w:t>The amendment is consistent with the Ministerial Direction regarding the form and content of Planning Schemes under section 7(5) of the Act and Ministerial Direction No. 11 – Strategic Assessment of Amendments.  The Amendment is not affected by any other Ministerial Direction.</w:t>
      </w:r>
    </w:p>
    <w:p w:rsidR="007E1C7F" w:rsidRPr="00420A5B" w:rsidRDefault="007E1C7F" w:rsidP="00913138">
      <w:pPr>
        <w:pStyle w:val="Heading3"/>
        <w:numPr>
          <w:ilvl w:val="0"/>
          <w:numId w:val="10"/>
        </w:numPr>
        <w:tabs>
          <w:tab w:val="left" w:pos="284"/>
        </w:tabs>
        <w:ind w:left="284" w:hanging="284"/>
        <w:rPr>
          <w:rFonts w:ascii="Arial" w:hAnsi="Arial" w:cs="Arial"/>
          <w:szCs w:val="24"/>
        </w:rPr>
      </w:pPr>
      <w:r w:rsidRPr="00420A5B">
        <w:rPr>
          <w:rFonts w:ascii="Arial" w:hAnsi="Arial" w:cs="Arial"/>
          <w:szCs w:val="24"/>
        </w:rPr>
        <w:t xml:space="preserve">How does the amendment support or implement the </w:t>
      </w:r>
      <w:r>
        <w:rPr>
          <w:rFonts w:ascii="Arial" w:hAnsi="Arial" w:cs="Arial"/>
          <w:szCs w:val="24"/>
        </w:rPr>
        <w:t>State Planning Policy Framework and any adopted State policy?</w:t>
      </w:r>
    </w:p>
    <w:p w:rsidR="00760A75" w:rsidRPr="00913138" w:rsidRDefault="00760A75" w:rsidP="00913138">
      <w:pPr>
        <w:ind w:left="284"/>
        <w:rPr>
          <w:rFonts w:ascii="Arial" w:hAnsi="Arial" w:cs="Arial"/>
          <w:sz w:val="22"/>
          <w:szCs w:val="22"/>
        </w:rPr>
      </w:pPr>
      <w:r w:rsidRPr="00913138">
        <w:rPr>
          <w:rFonts w:ascii="Arial" w:hAnsi="Arial" w:cs="Arial"/>
          <w:sz w:val="22"/>
          <w:szCs w:val="22"/>
        </w:rPr>
        <w:t>The proposal is consistent with the intent of the State Planning Policy Framework (SPPF) and supports its implementation by:</w:t>
      </w:r>
    </w:p>
    <w:p w:rsidR="00760A75" w:rsidRPr="00913138" w:rsidRDefault="00760A75" w:rsidP="00913138">
      <w:pPr>
        <w:pStyle w:val="ListParagraph"/>
        <w:numPr>
          <w:ilvl w:val="0"/>
          <w:numId w:val="10"/>
        </w:numPr>
        <w:tabs>
          <w:tab w:val="left" w:pos="1134"/>
        </w:tabs>
        <w:ind w:left="1134" w:hanging="567"/>
        <w:rPr>
          <w:rFonts w:ascii="Arial" w:hAnsi="Arial" w:cs="Arial"/>
        </w:rPr>
      </w:pPr>
      <w:r w:rsidRPr="00913138">
        <w:rPr>
          <w:rFonts w:ascii="Arial" w:hAnsi="Arial" w:cs="Arial"/>
        </w:rPr>
        <w:t>Clause 11.02-1 Supply of Land - To ensure ongoing land supply supported by infrastructure;</w:t>
      </w:r>
    </w:p>
    <w:p w:rsidR="00760A75" w:rsidRPr="00913138" w:rsidRDefault="00760A75" w:rsidP="00913138">
      <w:pPr>
        <w:pStyle w:val="ListParagraph"/>
        <w:numPr>
          <w:ilvl w:val="0"/>
          <w:numId w:val="10"/>
        </w:numPr>
        <w:tabs>
          <w:tab w:val="left" w:pos="1134"/>
        </w:tabs>
        <w:ind w:left="1134" w:hanging="567"/>
        <w:rPr>
          <w:rFonts w:ascii="Arial" w:hAnsi="Arial" w:cs="Arial"/>
        </w:rPr>
      </w:pPr>
      <w:r w:rsidRPr="00913138">
        <w:rPr>
          <w:rFonts w:ascii="Arial" w:hAnsi="Arial" w:cs="Arial"/>
        </w:rPr>
        <w:t>Clause 11.02-2 Planning For Growth Areas - Limiting the impact of urban development on non-urban areas by allowing development within a designated township boundary;</w:t>
      </w:r>
    </w:p>
    <w:p w:rsidR="00760A75" w:rsidRPr="00913138" w:rsidRDefault="00760A75" w:rsidP="00913138">
      <w:pPr>
        <w:pStyle w:val="ListParagraph"/>
        <w:numPr>
          <w:ilvl w:val="0"/>
          <w:numId w:val="10"/>
        </w:numPr>
        <w:tabs>
          <w:tab w:val="left" w:pos="1134"/>
        </w:tabs>
        <w:ind w:left="1134" w:hanging="567"/>
        <w:rPr>
          <w:rFonts w:ascii="Arial" w:hAnsi="Arial" w:cs="Arial"/>
        </w:rPr>
      </w:pPr>
      <w:r w:rsidRPr="00913138">
        <w:rPr>
          <w:rFonts w:ascii="Arial" w:hAnsi="Arial" w:cs="Arial"/>
        </w:rPr>
        <w:t>Clause 15.01 Urban Design - To create urban environments that are safe, functional and provide good quality environments with a sense of place and cultural identity;</w:t>
      </w:r>
    </w:p>
    <w:p w:rsidR="00760A75" w:rsidRPr="00913138" w:rsidRDefault="00760A75" w:rsidP="00913138">
      <w:pPr>
        <w:pStyle w:val="ListParagraph"/>
        <w:numPr>
          <w:ilvl w:val="0"/>
          <w:numId w:val="10"/>
        </w:numPr>
        <w:tabs>
          <w:tab w:val="left" w:pos="1134"/>
        </w:tabs>
        <w:ind w:left="1134" w:hanging="567"/>
        <w:rPr>
          <w:rFonts w:ascii="Arial" w:hAnsi="Arial" w:cs="Arial"/>
        </w:rPr>
      </w:pPr>
      <w:r w:rsidRPr="00913138">
        <w:rPr>
          <w:rFonts w:ascii="Arial" w:hAnsi="Arial" w:cs="Arial"/>
        </w:rPr>
        <w:t>Clause 16.01-1 Integrated Housing - Ensure housing developments are integrated with infrastructure and services, whether they are located in existing suburbs, growth areas or regional towns; and</w:t>
      </w:r>
      <w:r w:rsidRPr="00913138">
        <w:rPr>
          <w:rFonts w:ascii="Arial" w:hAnsi="Arial" w:cs="Arial"/>
        </w:rPr>
        <w:tab/>
      </w:r>
    </w:p>
    <w:p w:rsidR="00760A75" w:rsidRPr="00913138" w:rsidRDefault="00760A75" w:rsidP="00913138">
      <w:pPr>
        <w:pStyle w:val="ListParagraph"/>
        <w:numPr>
          <w:ilvl w:val="0"/>
          <w:numId w:val="10"/>
        </w:numPr>
        <w:tabs>
          <w:tab w:val="left" w:pos="1134"/>
        </w:tabs>
        <w:ind w:left="1134" w:hanging="567"/>
        <w:rPr>
          <w:rFonts w:ascii="Arial" w:hAnsi="Arial" w:cs="Arial"/>
        </w:rPr>
      </w:pPr>
      <w:r w:rsidRPr="00913138">
        <w:rPr>
          <w:rFonts w:ascii="Arial" w:hAnsi="Arial" w:cs="Arial"/>
        </w:rPr>
        <w:t>Clause 19.03 Managing stormwater from the site through the incorporation of water-sensitive urban design techniques to reduce run-off and peak flows and integrate stormwater treatment into the landscape.</w:t>
      </w:r>
    </w:p>
    <w:p w:rsidR="007E1C7F" w:rsidRPr="00420A5B" w:rsidRDefault="007E1C7F" w:rsidP="00913138">
      <w:pPr>
        <w:pStyle w:val="Heading3"/>
        <w:numPr>
          <w:ilvl w:val="0"/>
          <w:numId w:val="10"/>
        </w:numPr>
        <w:tabs>
          <w:tab w:val="left" w:pos="284"/>
        </w:tabs>
        <w:ind w:left="284" w:hanging="284"/>
        <w:rPr>
          <w:rFonts w:ascii="Arial" w:hAnsi="Arial" w:cs="Arial"/>
          <w:szCs w:val="24"/>
        </w:rPr>
      </w:pPr>
      <w:r w:rsidRPr="00420A5B">
        <w:rPr>
          <w:rFonts w:ascii="Arial" w:hAnsi="Arial" w:cs="Arial"/>
          <w:szCs w:val="24"/>
        </w:rPr>
        <w:t>How does the amendment support or implement the Local Planning Policy Framework</w:t>
      </w:r>
      <w:r>
        <w:rPr>
          <w:rFonts w:ascii="Arial" w:hAnsi="Arial" w:cs="Arial"/>
          <w:szCs w:val="24"/>
        </w:rPr>
        <w:t>, and specifically the Municipal Strategic Statement?</w:t>
      </w:r>
    </w:p>
    <w:p w:rsidR="00760A75" w:rsidRPr="00300041" w:rsidRDefault="00760A75" w:rsidP="00913138">
      <w:pPr>
        <w:ind w:left="284"/>
        <w:rPr>
          <w:rFonts w:ascii="Arial" w:hAnsi="Arial" w:cs="Arial"/>
          <w:sz w:val="22"/>
          <w:szCs w:val="22"/>
        </w:rPr>
      </w:pPr>
      <w:r w:rsidRPr="00300041">
        <w:rPr>
          <w:rFonts w:ascii="Arial" w:hAnsi="Arial" w:cs="Arial"/>
          <w:sz w:val="22"/>
          <w:szCs w:val="22"/>
        </w:rPr>
        <w:t>The amendment is consistent with the Local Planning Policy Framework including:</w:t>
      </w:r>
    </w:p>
    <w:p w:rsidR="00760A75" w:rsidRPr="00913138" w:rsidRDefault="00760A75" w:rsidP="00913138">
      <w:pPr>
        <w:pStyle w:val="ListParagraph"/>
        <w:numPr>
          <w:ilvl w:val="0"/>
          <w:numId w:val="10"/>
        </w:numPr>
        <w:tabs>
          <w:tab w:val="left" w:pos="1134"/>
        </w:tabs>
        <w:ind w:left="1134" w:hanging="567"/>
        <w:rPr>
          <w:rFonts w:ascii="Arial" w:hAnsi="Arial" w:cs="Arial"/>
        </w:rPr>
      </w:pPr>
      <w:r w:rsidRPr="00913138">
        <w:rPr>
          <w:rFonts w:ascii="Arial" w:hAnsi="Arial" w:cs="Arial"/>
        </w:rPr>
        <w:lastRenderedPageBreak/>
        <w:t>Clause 21.06-2 Urban growth - The rezoning and development of a residential subdivision within a defined urban growth area and the provision of a mix of housing suited to the needs of a diverse range of household types;</w:t>
      </w:r>
    </w:p>
    <w:p w:rsidR="00760A75" w:rsidRPr="00913138" w:rsidRDefault="00760A75" w:rsidP="00913138">
      <w:pPr>
        <w:pStyle w:val="ListParagraph"/>
        <w:numPr>
          <w:ilvl w:val="0"/>
          <w:numId w:val="10"/>
        </w:numPr>
        <w:tabs>
          <w:tab w:val="left" w:pos="1134"/>
        </w:tabs>
        <w:ind w:left="1134" w:hanging="567"/>
        <w:rPr>
          <w:rFonts w:ascii="Arial" w:hAnsi="Arial" w:cs="Arial"/>
        </w:rPr>
      </w:pPr>
      <w:r w:rsidRPr="00913138">
        <w:rPr>
          <w:rFonts w:ascii="Arial" w:hAnsi="Arial" w:cs="Arial"/>
        </w:rPr>
        <w:t>Clause 21.06-3 Urban consolidation - The encouragement of urban consolidation and encourage a range of development densities;</w:t>
      </w:r>
    </w:p>
    <w:p w:rsidR="00760A75" w:rsidRPr="00913138" w:rsidRDefault="00760A75" w:rsidP="00913138">
      <w:pPr>
        <w:pStyle w:val="ListParagraph"/>
        <w:numPr>
          <w:ilvl w:val="0"/>
          <w:numId w:val="10"/>
        </w:numPr>
        <w:tabs>
          <w:tab w:val="left" w:pos="1134"/>
        </w:tabs>
        <w:ind w:left="1134" w:hanging="567"/>
        <w:rPr>
          <w:rFonts w:ascii="Arial" w:hAnsi="Arial" w:cs="Arial"/>
        </w:rPr>
      </w:pPr>
      <w:r w:rsidRPr="00913138">
        <w:rPr>
          <w:rFonts w:ascii="Arial" w:hAnsi="Arial" w:cs="Arial"/>
        </w:rPr>
        <w:t>Clause 21.06-4 Neighbourhood character - The development of land that seeks to ensure development appropriately responds to the existing character of the area;</w:t>
      </w:r>
    </w:p>
    <w:p w:rsidR="00760A75" w:rsidRPr="00913138" w:rsidRDefault="00760A75" w:rsidP="00913138">
      <w:pPr>
        <w:pStyle w:val="ListParagraph"/>
        <w:numPr>
          <w:ilvl w:val="0"/>
          <w:numId w:val="10"/>
        </w:numPr>
        <w:tabs>
          <w:tab w:val="left" w:pos="1134"/>
        </w:tabs>
        <w:ind w:left="1134" w:hanging="567"/>
        <w:rPr>
          <w:rFonts w:ascii="Arial" w:hAnsi="Arial" w:cs="Arial"/>
        </w:rPr>
      </w:pPr>
      <w:r w:rsidRPr="00913138">
        <w:rPr>
          <w:rFonts w:ascii="Arial" w:hAnsi="Arial" w:cs="Arial"/>
        </w:rPr>
        <w:t>Clause 21.08 Development and community infrastructure - The need to provide for the efficient use of services and conservation of water; and</w:t>
      </w:r>
    </w:p>
    <w:p w:rsidR="00760A75" w:rsidRPr="00913138" w:rsidRDefault="00760A75" w:rsidP="00913138">
      <w:pPr>
        <w:pStyle w:val="ListParagraph"/>
        <w:numPr>
          <w:ilvl w:val="0"/>
          <w:numId w:val="10"/>
        </w:numPr>
        <w:tabs>
          <w:tab w:val="left" w:pos="1134"/>
        </w:tabs>
        <w:ind w:left="1134" w:hanging="567"/>
        <w:rPr>
          <w:rFonts w:ascii="Arial" w:hAnsi="Arial" w:cs="Arial"/>
        </w:rPr>
      </w:pPr>
      <w:r w:rsidRPr="00913138">
        <w:rPr>
          <w:rFonts w:ascii="Arial" w:hAnsi="Arial" w:cs="Arial"/>
        </w:rPr>
        <w:t>Clause 21.08-5 Accessibility - The need to facilitate the development of access opportunities for all members of the community.</w:t>
      </w:r>
    </w:p>
    <w:p w:rsidR="00760A75" w:rsidRPr="00913138" w:rsidRDefault="00760A75" w:rsidP="00913138">
      <w:pPr>
        <w:pStyle w:val="ListParagraph"/>
        <w:numPr>
          <w:ilvl w:val="0"/>
          <w:numId w:val="10"/>
        </w:numPr>
        <w:tabs>
          <w:tab w:val="left" w:pos="1134"/>
        </w:tabs>
        <w:ind w:left="1134" w:hanging="567"/>
        <w:rPr>
          <w:rFonts w:ascii="Arial" w:hAnsi="Arial" w:cs="Arial"/>
        </w:rPr>
      </w:pPr>
      <w:r w:rsidRPr="00913138">
        <w:rPr>
          <w:rFonts w:ascii="Arial" w:hAnsi="Arial" w:cs="Arial"/>
        </w:rPr>
        <w:t>Clause 21.13 Lara – Seeks to contain development within the identified settlement boundary and supports the development of areas identified for rezoning to General Residential zone.</w:t>
      </w:r>
    </w:p>
    <w:p w:rsidR="007E1C7F" w:rsidRPr="00420A5B" w:rsidRDefault="007E1C7F" w:rsidP="00913138">
      <w:pPr>
        <w:pStyle w:val="Heading3"/>
        <w:numPr>
          <w:ilvl w:val="0"/>
          <w:numId w:val="10"/>
        </w:numPr>
        <w:tabs>
          <w:tab w:val="left" w:pos="284"/>
        </w:tabs>
        <w:ind w:left="284" w:hanging="284"/>
        <w:rPr>
          <w:rFonts w:ascii="Arial" w:hAnsi="Arial" w:cs="Arial"/>
          <w:szCs w:val="24"/>
        </w:rPr>
      </w:pPr>
      <w:r w:rsidRPr="00420A5B">
        <w:rPr>
          <w:rFonts w:ascii="Arial" w:hAnsi="Arial" w:cs="Arial"/>
          <w:szCs w:val="24"/>
        </w:rPr>
        <w:t>Does the amendment make proper use of the Victoria Planning Provisions?</w:t>
      </w:r>
    </w:p>
    <w:p w:rsidR="00760A75" w:rsidRPr="00300041" w:rsidRDefault="00760A75" w:rsidP="00913138">
      <w:pPr>
        <w:ind w:left="284"/>
        <w:rPr>
          <w:rFonts w:ascii="Arial" w:hAnsi="Arial" w:cs="Arial"/>
          <w:sz w:val="22"/>
          <w:szCs w:val="22"/>
        </w:rPr>
      </w:pPr>
      <w:r w:rsidRPr="00300041">
        <w:rPr>
          <w:rFonts w:ascii="Arial" w:hAnsi="Arial" w:cs="Arial"/>
          <w:sz w:val="22"/>
          <w:szCs w:val="22"/>
        </w:rPr>
        <w:t>The amendment make</w:t>
      </w:r>
      <w:r>
        <w:rPr>
          <w:rFonts w:ascii="Arial" w:hAnsi="Arial" w:cs="Arial"/>
          <w:sz w:val="22"/>
          <w:szCs w:val="22"/>
        </w:rPr>
        <w:t>s</w:t>
      </w:r>
      <w:r w:rsidRPr="00300041">
        <w:rPr>
          <w:rFonts w:ascii="Arial" w:hAnsi="Arial" w:cs="Arial"/>
          <w:sz w:val="22"/>
          <w:szCs w:val="22"/>
        </w:rPr>
        <w:t xml:space="preserve"> proper use of the Victorian Planning Provisions as the rezoning of land to the </w:t>
      </w:r>
      <w:r>
        <w:rPr>
          <w:rFonts w:ascii="Arial" w:hAnsi="Arial" w:cs="Arial"/>
          <w:sz w:val="22"/>
          <w:szCs w:val="22"/>
        </w:rPr>
        <w:t>General Residential zone</w:t>
      </w:r>
      <w:r w:rsidRPr="00300041">
        <w:rPr>
          <w:rFonts w:ascii="Arial" w:hAnsi="Arial" w:cs="Arial"/>
          <w:sz w:val="22"/>
          <w:szCs w:val="22"/>
        </w:rPr>
        <w:t xml:space="preserve"> and application of a Schedule of the Special Building Overlay are considered to be the most appropriate planning tools required to facilitate orderly residential development consistent with Lara Structure Plan 2011 and Clause 21.13 Lara.</w:t>
      </w:r>
    </w:p>
    <w:p w:rsidR="007E1C7F" w:rsidRPr="00420A5B" w:rsidRDefault="007E1C7F" w:rsidP="00913138">
      <w:pPr>
        <w:pStyle w:val="Heading3"/>
        <w:numPr>
          <w:ilvl w:val="0"/>
          <w:numId w:val="10"/>
        </w:numPr>
        <w:tabs>
          <w:tab w:val="left" w:pos="284"/>
        </w:tabs>
        <w:ind w:left="284" w:hanging="284"/>
        <w:rPr>
          <w:rFonts w:ascii="Arial" w:hAnsi="Arial" w:cs="Arial"/>
          <w:szCs w:val="24"/>
        </w:rPr>
      </w:pPr>
      <w:r w:rsidRPr="00420A5B">
        <w:rPr>
          <w:rFonts w:ascii="Arial" w:hAnsi="Arial" w:cs="Arial"/>
          <w:szCs w:val="24"/>
        </w:rPr>
        <w:t>How does the amendment address the views of any relevant agency?</w:t>
      </w:r>
    </w:p>
    <w:p w:rsidR="00760A75" w:rsidRPr="00300041" w:rsidRDefault="00760A75" w:rsidP="00913138">
      <w:pPr>
        <w:ind w:left="284"/>
        <w:rPr>
          <w:rFonts w:ascii="Arial" w:hAnsi="Arial" w:cs="Arial"/>
          <w:sz w:val="22"/>
          <w:szCs w:val="22"/>
        </w:rPr>
      </w:pPr>
      <w:r w:rsidRPr="00300041">
        <w:rPr>
          <w:rFonts w:ascii="Arial" w:hAnsi="Arial" w:cs="Arial"/>
          <w:sz w:val="22"/>
          <w:szCs w:val="22"/>
        </w:rPr>
        <w:t xml:space="preserve">The proposed amendment accords with the recommendations of the approved Lara Structure Plan 2011 and Clause 21.13 Lara of the Greater Geelong Planning Scheme approved under Planning Scheme Amendment C198.  The preparation of Amendment C198 was undertaken in consultation with all relevant authorities who have had opportunity to provide input to this process.  In addition, the Transport Impact Report accompanying this application was prepared in consultation with </w:t>
      </w:r>
      <w:proofErr w:type="spellStart"/>
      <w:r w:rsidRPr="00300041">
        <w:rPr>
          <w:rFonts w:ascii="Arial" w:hAnsi="Arial" w:cs="Arial"/>
          <w:sz w:val="22"/>
          <w:szCs w:val="22"/>
        </w:rPr>
        <w:t>VicRoads</w:t>
      </w:r>
      <w:proofErr w:type="spellEnd"/>
      <w:r w:rsidRPr="00300041">
        <w:rPr>
          <w:rFonts w:ascii="Arial" w:hAnsi="Arial" w:cs="Arial"/>
          <w:sz w:val="22"/>
          <w:szCs w:val="22"/>
        </w:rPr>
        <w:t xml:space="preserve">.  </w:t>
      </w:r>
    </w:p>
    <w:p w:rsidR="007E1C7F" w:rsidRPr="00420A5B" w:rsidRDefault="007E1C7F" w:rsidP="00913138">
      <w:pPr>
        <w:pStyle w:val="Heading3"/>
        <w:numPr>
          <w:ilvl w:val="0"/>
          <w:numId w:val="10"/>
        </w:numPr>
        <w:tabs>
          <w:tab w:val="left" w:pos="284"/>
        </w:tabs>
        <w:ind w:left="284" w:hanging="284"/>
        <w:rPr>
          <w:rFonts w:ascii="Arial" w:hAnsi="Arial" w:cs="Arial"/>
          <w:szCs w:val="24"/>
        </w:rPr>
      </w:pPr>
      <w:r w:rsidRPr="00420A5B">
        <w:rPr>
          <w:rFonts w:ascii="Arial" w:hAnsi="Arial" w:cs="Arial"/>
          <w:szCs w:val="24"/>
        </w:rPr>
        <w:t>Does the amendment address relevant requirements of the Transport Integration Act 2010?</w:t>
      </w:r>
    </w:p>
    <w:p w:rsidR="00760A75" w:rsidRPr="00300041" w:rsidRDefault="00760A75" w:rsidP="00913138">
      <w:pPr>
        <w:ind w:left="284"/>
        <w:rPr>
          <w:rFonts w:ascii="Arial" w:hAnsi="Arial" w:cs="Arial"/>
          <w:sz w:val="22"/>
          <w:szCs w:val="22"/>
        </w:rPr>
      </w:pPr>
      <w:r w:rsidRPr="00300041">
        <w:rPr>
          <w:rFonts w:ascii="Arial" w:hAnsi="Arial" w:cs="Arial"/>
          <w:sz w:val="22"/>
          <w:szCs w:val="22"/>
        </w:rPr>
        <w:t>The amendment is unlikely to have any significant impact on the transport system as defined in Section 3 of the Transport Integration Act 2010.</w:t>
      </w:r>
    </w:p>
    <w:p w:rsidR="007E1C7F" w:rsidRPr="00823BB7" w:rsidRDefault="007E1C7F" w:rsidP="007E1C7F">
      <w:pPr>
        <w:pStyle w:val="Heading2"/>
        <w:rPr>
          <w:rFonts w:cs="Arial"/>
        </w:rPr>
      </w:pPr>
      <w:r w:rsidRPr="00823BB7">
        <w:rPr>
          <w:rFonts w:cs="Arial"/>
        </w:rPr>
        <w:t>Resource and administrative costs</w:t>
      </w:r>
    </w:p>
    <w:p w:rsidR="007E1C7F" w:rsidRPr="00823BB7" w:rsidRDefault="007E1C7F" w:rsidP="007E1C7F">
      <w:pPr>
        <w:pStyle w:val="Heading3"/>
        <w:rPr>
          <w:rFonts w:ascii="Arial" w:hAnsi="Arial" w:cs="Arial"/>
          <w:szCs w:val="24"/>
        </w:rPr>
      </w:pPr>
      <w:r w:rsidRPr="00823BB7">
        <w:rPr>
          <w:rFonts w:ascii="Arial" w:hAnsi="Arial" w:cs="Arial"/>
          <w:szCs w:val="24"/>
        </w:rPr>
        <w:t>What impact will the new planning provisions have on the resource and administrative costs of the responsible authority?</w:t>
      </w:r>
    </w:p>
    <w:p w:rsidR="00760A75" w:rsidRPr="00300041" w:rsidRDefault="00760A75" w:rsidP="00760A75">
      <w:pPr>
        <w:ind w:left="284"/>
        <w:rPr>
          <w:rFonts w:ascii="Arial" w:hAnsi="Arial" w:cs="Arial"/>
          <w:sz w:val="22"/>
          <w:szCs w:val="22"/>
        </w:rPr>
      </w:pPr>
      <w:r w:rsidRPr="00300041">
        <w:rPr>
          <w:rFonts w:ascii="Arial" w:hAnsi="Arial" w:cs="Arial"/>
          <w:sz w:val="22"/>
          <w:szCs w:val="22"/>
        </w:rPr>
        <w:t>The amendment is not expected to place any substantial resource or administrative cost burden on the responsible authority as it represents an expected strategic planning outcome for this land.</w:t>
      </w:r>
    </w:p>
    <w:p w:rsidR="00760A75" w:rsidRPr="00F21E47" w:rsidRDefault="00760A75" w:rsidP="00760A75">
      <w:pPr>
        <w:spacing w:before="360"/>
        <w:outlineLvl w:val="1"/>
        <w:rPr>
          <w:rFonts w:ascii="Arial" w:hAnsi="Arial" w:cs="Arial"/>
          <w:b/>
          <w:bCs/>
        </w:rPr>
      </w:pPr>
      <w:r w:rsidRPr="00F21E47">
        <w:rPr>
          <w:rFonts w:ascii="Arial" w:hAnsi="Arial" w:cs="Arial"/>
          <w:b/>
          <w:bCs/>
        </w:rPr>
        <w:t>Panel hearing dates</w:t>
      </w:r>
    </w:p>
    <w:p w:rsidR="00760A75" w:rsidRPr="00F21E47" w:rsidRDefault="00760A75" w:rsidP="00760A75">
      <w:pPr>
        <w:rPr>
          <w:rFonts w:ascii="Arial" w:hAnsi="Arial" w:cs="Arial"/>
          <w:sz w:val="22"/>
          <w:szCs w:val="22"/>
        </w:rPr>
      </w:pPr>
      <w:r w:rsidRPr="00F21E47">
        <w:rPr>
          <w:rFonts w:ascii="Arial" w:hAnsi="Arial" w:cs="Arial"/>
          <w:sz w:val="22"/>
          <w:szCs w:val="22"/>
        </w:rPr>
        <w:t>In accordance with clause 4(2) of Ministerial Direction No.15 the following panel hearing dates have been set for this amendment:</w:t>
      </w:r>
    </w:p>
    <w:p w:rsidR="00760A75" w:rsidRPr="00F21E47" w:rsidRDefault="00760A75" w:rsidP="00760A75">
      <w:pPr>
        <w:numPr>
          <w:ilvl w:val="0"/>
          <w:numId w:val="6"/>
        </w:numPr>
        <w:spacing w:after="120"/>
        <w:ind w:left="357" w:hanging="357"/>
        <w:rPr>
          <w:rFonts w:ascii="New York" w:hAnsi="New York"/>
          <w:sz w:val="22"/>
          <w:szCs w:val="22"/>
        </w:rPr>
      </w:pPr>
      <w:r w:rsidRPr="00F21E47">
        <w:rPr>
          <w:rFonts w:ascii="Arial" w:hAnsi="Arial" w:cs="Arial"/>
          <w:sz w:val="22"/>
          <w:szCs w:val="22"/>
        </w:rPr>
        <w:t xml:space="preserve">directions hearing:  </w:t>
      </w:r>
      <w:r w:rsidR="00913138">
        <w:rPr>
          <w:rFonts w:ascii="Arial" w:hAnsi="Arial" w:cs="Arial"/>
          <w:color w:val="FF0000"/>
          <w:sz w:val="22"/>
          <w:szCs w:val="22"/>
        </w:rPr>
        <w:t>week of 18</w:t>
      </w:r>
      <w:r w:rsidR="00913138" w:rsidRPr="003A0778">
        <w:rPr>
          <w:rFonts w:ascii="Arial" w:hAnsi="Arial" w:cs="Arial"/>
          <w:color w:val="FF0000"/>
          <w:sz w:val="22"/>
          <w:szCs w:val="22"/>
          <w:vertAlign w:val="superscript"/>
        </w:rPr>
        <w:t>th</w:t>
      </w:r>
      <w:r w:rsidR="00913138">
        <w:rPr>
          <w:rFonts w:ascii="Arial" w:hAnsi="Arial" w:cs="Arial"/>
          <w:color w:val="FF0000"/>
          <w:sz w:val="22"/>
          <w:szCs w:val="22"/>
        </w:rPr>
        <w:t xml:space="preserve"> August, 2014</w:t>
      </w:r>
    </w:p>
    <w:p w:rsidR="00760A75" w:rsidRPr="00F21E47" w:rsidRDefault="00760A75" w:rsidP="00760A75">
      <w:pPr>
        <w:numPr>
          <w:ilvl w:val="0"/>
          <w:numId w:val="6"/>
        </w:numPr>
        <w:spacing w:after="120"/>
        <w:ind w:left="357" w:hanging="357"/>
        <w:rPr>
          <w:sz w:val="22"/>
          <w:szCs w:val="22"/>
        </w:rPr>
      </w:pPr>
      <w:r w:rsidRPr="00F21E47">
        <w:rPr>
          <w:rFonts w:ascii="Arial" w:hAnsi="Arial" w:cs="Arial"/>
          <w:sz w:val="22"/>
          <w:szCs w:val="22"/>
        </w:rPr>
        <w:t xml:space="preserve">panel hearing:  </w:t>
      </w:r>
      <w:r w:rsidR="00913138" w:rsidRPr="009547F9">
        <w:rPr>
          <w:rFonts w:ascii="Arial" w:hAnsi="Arial" w:cs="Arial"/>
          <w:color w:val="FF0000"/>
          <w:sz w:val="22"/>
          <w:szCs w:val="22"/>
        </w:rPr>
        <w:t>commencing week</w:t>
      </w:r>
      <w:r w:rsidR="00913138">
        <w:rPr>
          <w:rFonts w:ascii="Arial" w:hAnsi="Arial" w:cs="Arial"/>
          <w:color w:val="FF0000"/>
          <w:sz w:val="22"/>
          <w:szCs w:val="22"/>
        </w:rPr>
        <w:t xml:space="preserve"> of 18</w:t>
      </w:r>
      <w:r w:rsidR="00913138" w:rsidRPr="003A0778">
        <w:rPr>
          <w:rFonts w:ascii="Arial" w:hAnsi="Arial" w:cs="Arial"/>
          <w:color w:val="FF0000"/>
          <w:sz w:val="22"/>
          <w:szCs w:val="22"/>
          <w:vertAlign w:val="superscript"/>
        </w:rPr>
        <w:t>th</w:t>
      </w:r>
      <w:r w:rsidR="00913138">
        <w:rPr>
          <w:rFonts w:ascii="Arial" w:hAnsi="Arial" w:cs="Arial"/>
          <w:color w:val="FF0000"/>
          <w:sz w:val="22"/>
          <w:szCs w:val="22"/>
        </w:rPr>
        <w:t xml:space="preserve"> September, 2014</w:t>
      </w:r>
    </w:p>
    <w:p w:rsidR="00760A75" w:rsidRPr="00F21E47" w:rsidRDefault="00760A75" w:rsidP="00760A75">
      <w:pPr>
        <w:spacing w:before="360"/>
        <w:outlineLvl w:val="1"/>
        <w:rPr>
          <w:rFonts w:ascii="Arial" w:hAnsi="Arial" w:cs="Arial"/>
          <w:b/>
          <w:bCs/>
        </w:rPr>
      </w:pPr>
      <w:r w:rsidRPr="00F21E47">
        <w:rPr>
          <w:rFonts w:ascii="Arial" w:hAnsi="Arial" w:cs="Arial"/>
          <w:b/>
          <w:bCs/>
        </w:rPr>
        <w:t>Where you may inspect this Amendment</w:t>
      </w:r>
    </w:p>
    <w:p w:rsidR="00760A75" w:rsidRPr="00F21E47" w:rsidRDefault="00760A75" w:rsidP="00760A75">
      <w:pPr>
        <w:spacing w:after="120"/>
        <w:rPr>
          <w:rFonts w:ascii="Arial" w:hAnsi="Arial" w:cs="Arial"/>
          <w:sz w:val="22"/>
          <w:szCs w:val="22"/>
        </w:rPr>
      </w:pPr>
      <w:r w:rsidRPr="00F21E47">
        <w:rPr>
          <w:rFonts w:ascii="Arial" w:hAnsi="Arial" w:cs="Arial"/>
          <w:sz w:val="22"/>
          <w:szCs w:val="22"/>
        </w:rPr>
        <w:t>The amendment is available for public inspection, free of charge, during office hours at the following places:</w:t>
      </w:r>
    </w:p>
    <w:tbl>
      <w:tblPr>
        <w:tblW w:w="9072"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tblPr>
      <w:tblGrid>
        <w:gridCol w:w="9072"/>
      </w:tblGrid>
      <w:tr w:rsidR="00760A75" w:rsidTr="00C175F0">
        <w:trPr>
          <w:cantSplit/>
        </w:trPr>
        <w:tc>
          <w:tcPr>
            <w:tcW w:w="9072" w:type="dxa"/>
          </w:tcPr>
          <w:p w:rsidR="00760A75" w:rsidRPr="00C60089" w:rsidRDefault="00760A75" w:rsidP="00C175F0">
            <w:pPr>
              <w:tabs>
                <w:tab w:val="left" w:pos="742"/>
              </w:tabs>
              <w:spacing w:after="120"/>
              <w:rPr>
                <w:rFonts w:ascii="Arial" w:hAnsi="Arial" w:cs="Arial"/>
                <w:sz w:val="22"/>
                <w:szCs w:val="22"/>
              </w:rPr>
            </w:pPr>
            <w:r w:rsidRPr="00C60089">
              <w:rPr>
                <w:rFonts w:ascii="Arial" w:hAnsi="Arial" w:cs="Arial"/>
                <w:b/>
                <w:sz w:val="22"/>
                <w:szCs w:val="22"/>
              </w:rPr>
              <w:t>Greater Geelong City Council</w:t>
            </w:r>
            <w:r w:rsidRPr="00C60089">
              <w:rPr>
                <w:rFonts w:ascii="Arial" w:hAnsi="Arial" w:cs="Arial"/>
                <w:sz w:val="22"/>
                <w:szCs w:val="22"/>
              </w:rPr>
              <w:t xml:space="preserve">, Customer Service Centre, Ground Floor, </w:t>
            </w:r>
            <w:r>
              <w:rPr>
                <w:rFonts w:ascii="Arial" w:hAnsi="Arial" w:cs="Arial"/>
                <w:sz w:val="22"/>
                <w:szCs w:val="22"/>
              </w:rPr>
              <w:t xml:space="preserve">100 Brougham </w:t>
            </w:r>
            <w:r w:rsidRPr="00C60089">
              <w:rPr>
                <w:rFonts w:ascii="Arial" w:hAnsi="Arial" w:cs="Arial"/>
                <w:sz w:val="22"/>
                <w:szCs w:val="22"/>
              </w:rPr>
              <w:t>Street. GEELONG</w:t>
            </w:r>
            <w:r w:rsidRPr="00C60089">
              <w:rPr>
                <w:rFonts w:ascii="Arial" w:hAnsi="Arial" w:cs="Arial"/>
                <w:b/>
                <w:sz w:val="22"/>
                <w:szCs w:val="22"/>
              </w:rPr>
              <w:t>– 8.00am to 5.00pm weekdays</w:t>
            </w:r>
            <w:r w:rsidRPr="00C60089">
              <w:rPr>
                <w:rFonts w:ascii="Arial" w:hAnsi="Arial" w:cs="Arial"/>
                <w:sz w:val="22"/>
                <w:szCs w:val="22"/>
              </w:rPr>
              <w:t xml:space="preserve"> </w:t>
            </w:r>
          </w:p>
        </w:tc>
      </w:tr>
      <w:tr w:rsidR="00760A75" w:rsidTr="00C175F0">
        <w:trPr>
          <w:cantSplit/>
        </w:trPr>
        <w:tc>
          <w:tcPr>
            <w:tcW w:w="9072" w:type="dxa"/>
          </w:tcPr>
          <w:p w:rsidR="00760A75" w:rsidRPr="00C60089" w:rsidRDefault="00760A75" w:rsidP="00C175F0">
            <w:pPr>
              <w:tabs>
                <w:tab w:val="left" w:pos="742"/>
              </w:tabs>
              <w:spacing w:after="120"/>
              <w:rPr>
                <w:rFonts w:ascii="Arial" w:hAnsi="Arial" w:cs="Arial"/>
                <w:sz w:val="22"/>
                <w:szCs w:val="22"/>
              </w:rPr>
            </w:pPr>
            <w:r w:rsidRPr="00C60089">
              <w:rPr>
                <w:rFonts w:ascii="Arial" w:hAnsi="Arial" w:cs="Arial"/>
                <w:b/>
                <w:sz w:val="22"/>
                <w:szCs w:val="22"/>
              </w:rPr>
              <w:t>‘Have a Say’ section of the City’s website</w:t>
            </w:r>
            <w:r w:rsidRPr="00C60089">
              <w:rPr>
                <w:rFonts w:ascii="Arial" w:hAnsi="Arial" w:cs="Arial"/>
                <w:sz w:val="22"/>
                <w:szCs w:val="22"/>
              </w:rPr>
              <w:t xml:space="preserve"> </w:t>
            </w:r>
            <w:r w:rsidRPr="00820F5C">
              <w:rPr>
                <w:rFonts w:ascii="Arial" w:hAnsi="Arial" w:cs="Arial"/>
                <w:sz w:val="22"/>
                <w:szCs w:val="22"/>
              </w:rPr>
              <w:t>www.geelongaustralia.com.au/council/yoursay</w:t>
            </w:r>
            <w:r w:rsidRPr="00C60089">
              <w:rPr>
                <w:rFonts w:ascii="Arial" w:hAnsi="Arial" w:cs="Arial"/>
                <w:sz w:val="22"/>
                <w:szCs w:val="22"/>
              </w:rPr>
              <w:t xml:space="preserve"> </w:t>
            </w:r>
          </w:p>
        </w:tc>
      </w:tr>
      <w:tr w:rsidR="00760A75" w:rsidTr="00C175F0">
        <w:trPr>
          <w:cantSplit/>
        </w:trPr>
        <w:tc>
          <w:tcPr>
            <w:tcW w:w="9072" w:type="dxa"/>
          </w:tcPr>
          <w:p w:rsidR="00760A75" w:rsidRPr="00C60089" w:rsidRDefault="00760A75" w:rsidP="00C175F0">
            <w:pPr>
              <w:rPr>
                <w:rFonts w:ascii="Arial" w:hAnsi="Arial" w:cs="Arial"/>
                <w:sz w:val="22"/>
                <w:szCs w:val="22"/>
              </w:rPr>
            </w:pPr>
            <w:r w:rsidRPr="00F21E47">
              <w:rPr>
                <w:rFonts w:ascii="Arial" w:hAnsi="Arial" w:cs="Arial"/>
                <w:sz w:val="22"/>
                <w:szCs w:val="22"/>
              </w:rPr>
              <w:t xml:space="preserve">Department of Transport, Planning, and Local Infrastructure website at </w:t>
            </w:r>
            <w:hyperlink r:id="rId7" w:history="1">
              <w:r w:rsidRPr="00F21E47">
                <w:rPr>
                  <w:rFonts w:ascii="Arial" w:hAnsi="Arial" w:cs="Arial"/>
                  <w:color w:val="0000FF"/>
                  <w:sz w:val="22"/>
                  <w:u w:val="single"/>
                </w:rPr>
                <w:t>http://www.dpcd.vic.gov.au/planning/publicinspection</w:t>
              </w:r>
            </w:hyperlink>
            <w:r w:rsidRPr="00F21E47">
              <w:rPr>
                <w:rFonts w:ascii="Arial" w:hAnsi="Arial" w:cs="Arial"/>
                <w:sz w:val="22"/>
                <w:szCs w:val="22"/>
              </w:rPr>
              <w:t>.</w:t>
            </w:r>
          </w:p>
        </w:tc>
      </w:tr>
    </w:tbl>
    <w:p w:rsidR="00760A75" w:rsidRPr="007B4CF0" w:rsidRDefault="00760A75" w:rsidP="00760A75">
      <w:pPr>
        <w:spacing w:before="360" w:after="120"/>
        <w:rPr>
          <w:rFonts w:ascii="Arial" w:hAnsi="Arial" w:cs="Arial"/>
          <w:b/>
          <w:szCs w:val="24"/>
        </w:rPr>
      </w:pPr>
      <w:r w:rsidRPr="007B4CF0">
        <w:rPr>
          <w:rFonts w:ascii="Arial" w:hAnsi="Arial" w:cs="Arial"/>
          <w:b/>
          <w:szCs w:val="24"/>
        </w:rPr>
        <w:t>Further information</w:t>
      </w:r>
    </w:p>
    <w:p w:rsidR="00760A75" w:rsidRDefault="00760A75" w:rsidP="00760A75">
      <w:pPr>
        <w:pStyle w:val="Bodytext"/>
        <w:tabs>
          <w:tab w:val="left" w:pos="742"/>
        </w:tabs>
        <w:spacing w:after="120"/>
        <w:ind w:left="0"/>
        <w:jc w:val="left"/>
        <w:rPr>
          <w:rFonts w:ascii="Arial" w:hAnsi="Arial" w:cs="Arial"/>
          <w:szCs w:val="22"/>
        </w:rPr>
      </w:pPr>
      <w:r w:rsidRPr="00C60089">
        <w:rPr>
          <w:rFonts w:ascii="Arial" w:hAnsi="Arial" w:cs="Arial"/>
          <w:szCs w:val="22"/>
        </w:rPr>
        <w:t xml:space="preserve">For further information about Amendment </w:t>
      </w:r>
      <w:r>
        <w:rPr>
          <w:rFonts w:ascii="Arial" w:hAnsi="Arial" w:cs="Arial"/>
          <w:szCs w:val="22"/>
        </w:rPr>
        <w:t>C266</w:t>
      </w:r>
      <w:r w:rsidRPr="00C60089">
        <w:rPr>
          <w:rFonts w:ascii="Arial" w:hAnsi="Arial" w:cs="Arial"/>
          <w:szCs w:val="22"/>
        </w:rPr>
        <w:t xml:space="preserve">, please contact the Strategic Implementation Unit at the City of Greater Geelong on (03) 5272 4820 or via email </w:t>
      </w:r>
      <w:hyperlink r:id="rId8" w:history="1">
        <w:r w:rsidRPr="00E12295">
          <w:rPr>
            <w:rStyle w:val="Hyperlink"/>
            <w:rFonts w:ascii="Arial" w:hAnsi="Arial" w:cs="Arial"/>
            <w:szCs w:val="22"/>
          </w:rPr>
          <w:t>strategicplanning@geelongcity.vic.gov.au</w:t>
        </w:r>
      </w:hyperlink>
    </w:p>
    <w:p w:rsidR="00760A75" w:rsidRPr="007B4CF0" w:rsidRDefault="00760A75" w:rsidP="00760A75">
      <w:pPr>
        <w:spacing w:before="240" w:after="120"/>
        <w:rPr>
          <w:rFonts w:ascii="Arial" w:hAnsi="Arial" w:cs="Arial"/>
          <w:b/>
          <w:szCs w:val="24"/>
        </w:rPr>
      </w:pPr>
      <w:r w:rsidRPr="007B4CF0">
        <w:rPr>
          <w:rFonts w:ascii="Arial" w:hAnsi="Arial" w:cs="Arial"/>
          <w:b/>
          <w:szCs w:val="24"/>
        </w:rPr>
        <w:t>Written submissions</w:t>
      </w:r>
    </w:p>
    <w:p w:rsidR="00760A75" w:rsidRPr="00C60089" w:rsidRDefault="00760A75" w:rsidP="00760A75">
      <w:pPr>
        <w:pStyle w:val="Bodytext"/>
        <w:tabs>
          <w:tab w:val="left" w:pos="742"/>
        </w:tabs>
        <w:spacing w:after="0"/>
        <w:ind w:left="0"/>
        <w:rPr>
          <w:rFonts w:ascii="Arial" w:hAnsi="Arial" w:cs="Arial"/>
          <w:szCs w:val="22"/>
        </w:rPr>
      </w:pPr>
      <w:r w:rsidRPr="00C60089">
        <w:rPr>
          <w:rFonts w:ascii="Arial" w:hAnsi="Arial" w:cs="Arial"/>
          <w:szCs w:val="22"/>
        </w:rPr>
        <w:t xml:space="preserve">Submissions about Amendment </w:t>
      </w:r>
      <w:r>
        <w:rPr>
          <w:rFonts w:ascii="Arial" w:hAnsi="Arial" w:cs="Arial"/>
          <w:szCs w:val="22"/>
        </w:rPr>
        <w:t>C</w:t>
      </w:r>
      <w:r w:rsidR="001972DA">
        <w:rPr>
          <w:rFonts w:ascii="Arial" w:hAnsi="Arial" w:cs="Arial"/>
          <w:szCs w:val="22"/>
        </w:rPr>
        <w:t>266</w:t>
      </w:r>
      <w:r w:rsidRPr="00C60089">
        <w:rPr>
          <w:rFonts w:ascii="Arial" w:hAnsi="Arial" w:cs="Arial"/>
          <w:szCs w:val="22"/>
        </w:rPr>
        <w:t xml:space="preserve"> should be received by </w:t>
      </w:r>
      <w:r w:rsidR="001972DA">
        <w:rPr>
          <w:rFonts w:ascii="Arial" w:hAnsi="Arial" w:cs="Arial"/>
          <w:b/>
          <w:szCs w:val="22"/>
        </w:rPr>
        <w:t>12</w:t>
      </w:r>
      <w:r w:rsidR="001972DA" w:rsidRPr="001972DA">
        <w:rPr>
          <w:rFonts w:ascii="Arial" w:hAnsi="Arial" w:cs="Arial"/>
          <w:b/>
          <w:szCs w:val="22"/>
          <w:vertAlign w:val="superscript"/>
        </w:rPr>
        <w:t>th</w:t>
      </w:r>
      <w:r w:rsidR="001972DA">
        <w:rPr>
          <w:rFonts w:ascii="Arial" w:hAnsi="Arial" w:cs="Arial"/>
          <w:b/>
          <w:szCs w:val="22"/>
        </w:rPr>
        <w:t xml:space="preserve"> May, 2014</w:t>
      </w:r>
      <w:r w:rsidRPr="00C60089">
        <w:rPr>
          <w:rFonts w:ascii="Arial" w:hAnsi="Arial" w:cs="Arial"/>
          <w:szCs w:val="22"/>
        </w:rPr>
        <w:t xml:space="preserve"> and </w:t>
      </w:r>
      <w:r w:rsidR="001972DA">
        <w:rPr>
          <w:rFonts w:ascii="Arial" w:hAnsi="Arial" w:cs="Arial"/>
          <w:szCs w:val="22"/>
        </w:rPr>
        <w:t xml:space="preserve">be </w:t>
      </w:r>
      <w:r w:rsidRPr="00C60089">
        <w:rPr>
          <w:rFonts w:ascii="Arial" w:hAnsi="Arial" w:cs="Arial"/>
          <w:szCs w:val="22"/>
        </w:rPr>
        <w:t>addressed to:</w:t>
      </w:r>
    </w:p>
    <w:p w:rsidR="00760A75" w:rsidRPr="00C60089" w:rsidRDefault="00760A75" w:rsidP="00760A75">
      <w:pPr>
        <w:pStyle w:val="Bodytext"/>
        <w:tabs>
          <w:tab w:val="left" w:pos="742"/>
        </w:tabs>
        <w:spacing w:after="0"/>
        <w:ind w:left="0"/>
        <w:rPr>
          <w:rFonts w:ascii="Arial" w:hAnsi="Arial" w:cs="Arial"/>
          <w:szCs w:val="22"/>
        </w:rPr>
      </w:pPr>
    </w:p>
    <w:p w:rsidR="00760A75" w:rsidRPr="00C60089" w:rsidRDefault="00760A75" w:rsidP="00760A75">
      <w:pPr>
        <w:pStyle w:val="Bodytext"/>
        <w:tabs>
          <w:tab w:val="left" w:pos="742"/>
        </w:tabs>
        <w:spacing w:after="0"/>
        <w:ind w:left="0"/>
        <w:rPr>
          <w:rFonts w:ascii="Arial" w:hAnsi="Arial" w:cs="Arial"/>
          <w:szCs w:val="22"/>
        </w:rPr>
      </w:pPr>
      <w:r w:rsidRPr="00C60089">
        <w:rPr>
          <w:rFonts w:ascii="Arial" w:hAnsi="Arial" w:cs="Arial"/>
          <w:szCs w:val="22"/>
        </w:rPr>
        <w:t>The Coordinator</w:t>
      </w:r>
    </w:p>
    <w:p w:rsidR="00760A75" w:rsidRPr="00C60089" w:rsidRDefault="00760A75" w:rsidP="00760A75">
      <w:pPr>
        <w:pStyle w:val="Bodytext"/>
        <w:tabs>
          <w:tab w:val="left" w:pos="742"/>
        </w:tabs>
        <w:spacing w:after="0"/>
        <w:ind w:left="0"/>
        <w:rPr>
          <w:rFonts w:ascii="Arial" w:hAnsi="Arial" w:cs="Arial"/>
          <w:szCs w:val="22"/>
        </w:rPr>
      </w:pPr>
      <w:r w:rsidRPr="00C60089">
        <w:rPr>
          <w:rFonts w:ascii="Arial" w:hAnsi="Arial" w:cs="Arial"/>
          <w:szCs w:val="22"/>
        </w:rPr>
        <w:t>Strategic Implementation</w:t>
      </w:r>
    </w:p>
    <w:p w:rsidR="00760A75" w:rsidRPr="00C60089" w:rsidRDefault="00760A75" w:rsidP="00760A75">
      <w:pPr>
        <w:pStyle w:val="Bodytext"/>
        <w:tabs>
          <w:tab w:val="left" w:pos="742"/>
        </w:tabs>
        <w:spacing w:after="0"/>
        <w:ind w:left="0"/>
        <w:rPr>
          <w:rFonts w:ascii="Arial" w:hAnsi="Arial" w:cs="Arial"/>
          <w:szCs w:val="22"/>
        </w:rPr>
      </w:pPr>
      <w:r w:rsidRPr="00C60089">
        <w:rPr>
          <w:rFonts w:ascii="Arial" w:hAnsi="Arial" w:cs="Arial"/>
          <w:szCs w:val="22"/>
        </w:rPr>
        <w:t>City of Greater Geelong</w:t>
      </w:r>
    </w:p>
    <w:p w:rsidR="00760A75" w:rsidRPr="00C60089" w:rsidRDefault="00760A75" w:rsidP="00760A75">
      <w:pPr>
        <w:pStyle w:val="Bodytext"/>
        <w:tabs>
          <w:tab w:val="left" w:pos="742"/>
        </w:tabs>
        <w:spacing w:after="0"/>
        <w:ind w:left="0"/>
        <w:rPr>
          <w:rFonts w:ascii="Arial" w:hAnsi="Arial" w:cs="Arial"/>
          <w:szCs w:val="22"/>
        </w:rPr>
      </w:pPr>
    </w:p>
    <w:p w:rsidR="00760A75" w:rsidRPr="00C60089" w:rsidRDefault="00760A75" w:rsidP="00760A75">
      <w:pPr>
        <w:pStyle w:val="Bodytext"/>
        <w:tabs>
          <w:tab w:val="left" w:pos="742"/>
        </w:tabs>
        <w:spacing w:after="0"/>
        <w:ind w:left="0"/>
        <w:rPr>
          <w:rFonts w:ascii="Arial" w:hAnsi="Arial" w:cs="Arial"/>
          <w:szCs w:val="22"/>
        </w:rPr>
      </w:pPr>
      <w:r w:rsidRPr="00C60089">
        <w:rPr>
          <w:rFonts w:ascii="Arial" w:hAnsi="Arial" w:cs="Arial"/>
          <w:szCs w:val="22"/>
        </w:rPr>
        <w:t>either by mail to:</w:t>
      </w:r>
    </w:p>
    <w:p w:rsidR="00760A75" w:rsidRPr="00C60089" w:rsidRDefault="00760A75" w:rsidP="00760A75">
      <w:pPr>
        <w:pStyle w:val="Bodytext"/>
        <w:numPr>
          <w:ilvl w:val="0"/>
          <w:numId w:val="7"/>
        </w:numPr>
        <w:tabs>
          <w:tab w:val="left" w:pos="742"/>
        </w:tabs>
        <w:spacing w:after="0"/>
        <w:ind w:left="0" w:firstLine="0"/>
        <w:textAlignment w:val="baseline"/>
        <w:rPr>
          <w:rFonts w:ascii="Arial" w:hAnsi="Arial" w:cs="Arial"/>
          <w:szCs w:val="22"/>
        </w:rPr>
      </w:pPr>
      <w:r w:rsidRPr="00C60089">
        <w:rPr>
          <w:rFonts w:ascii="Arial" w:hAnsi="Arial" w:cs="Arial"/>
          <w:szCs w:val="22"/>
        </w:rPr>
        <w:t>PO Box 104, GEELONG VIC 3220</w:t>
      </w:r>
    </w:p>
    <w:p w:rsidR="00760A75" w:rsidRPr="00C60089" w:rsidRDefault="00760A75" w:rsidP="00760A75">
      <w:pPr>
        <w:pStyle w:val="Bodytext"/>
        <w:tabs>
          <w:tab w:val="left" w:pos="742"/>
        </w:tabs>
        <w:spacing w:after="0"/>
        <w:ind w:left="0"/>
        <w:rPr>
          <w:rFonts w:ascii="Arial" w:hAnsi="Arial" w:cs="Arial"/>
          <w:szCs w:val="22"/>
        </w:rPr>
      </w:pPr>
      <w:r w:rsidRPr="00C60089">
        <w:rPr>
          <w:rFonts w:ascii="Arial" w:hAnsi="Arial" w:cs="Arial"/>
          <w:szCs w:val="22"/>
        </w:rPr>
        <w:t>or by email to:</w:t>
      </w:r>
    </w:p>
    <w:p w:rsidR="00760A75" w:rsidRPr="00350F29" w:rsidRDefault="001F37EE" w:rsidP="00760A75">
      <w:pPr>
        <w:numPr>
          <w:ilvl w:val="0"/>
          <w:numId w:val="7"/>
        </w:numPr>
        <w:tabs>
          <w:tab w:val="left" w:pos="742"/>
        </w:tabs>
        <w:spacing w:before="0"/>
        <w:ind w:left="0" w:firstLine="0"/>
        <w:jc w:val="left"/>
        <w:rPr>
          <w:rFonts w:ascii="Arial" w:hAnsi="Arial" w:cs="Arial"/>
          <w:sz w:val="22"/>
          <w:szCs w:val="22"/>
        </w:rPr>
      </w:pPr>
      <w:hyperlink r:id="rId9" w:history="1">
        <w:r w:rsidR="00760A75" w:rsidRPr="00E12295">
          <w:rPr>
            <w:rStyle w:val="Hyperlink"/>
            <w:rFonts w:ascii="Arial" w:hAnsi="Arial" w:cs="Arial"/>
            <w:sz w:val="22"/>
            <w:szCs w:val="22"/>
          </w:rPr>
          <w:t>strategicplanning@geelongcity.vic.gov.au</w:t>
        </w:r>
      </w:hyperlink>
    </w:p>
    <w:p w:rsidR="00760A75" w:rsidRPr="00F21E47" w:rsidRDefault="00760A75" w:rsidP="00760A75">
      <w:pPr>
        <w:jc w:val="center"/>
        <w:rPr>
          <w:rFonts w:ascii="Arial" w:hAnsi="Arial"/>
          <w:vanish/>
        </w:rPr>
      </w:pPr>
    </w:p>
    <w:p w:rsidR="00760A75" w:rsidRPr="00F21E47" w:rsidRDefault="00760A75" w:rsidP="00760A75">
      <w:pPr>
        <w:jc w:val="center"/>
        <w:rPr>
          <w:rFonts w:ascii="Arial" w:hAnsi="Arial"/>
          <w:vanish/>
        </w:rPr>
      </w:pPr>
    </w:p>
    <w:p w:rsidR="00760A75" w:rsidRPr="00F21E47" w:rsidRDefault="00760A75" w:rsidP="00760A75">
      <w:pPr>
        <w:jc w:val="center"/>
        <w:rPr>
          <w:rFonts w:ascii="Arial" w:hAnsi="Arial"/>
          <w:vanish/>
        </w:rPr>
      </w:pPr>
    </w:p>
    <w:p w:rsidR="00760A75" w:rsidRPr="00F21E47" w:rsidRDefault="00760A75" w:rsidP="00760A75">
      <w:pPr>
        <w:jc w:val="center"/>
        <w:rPr>
          <w:rFonts w:ascii="Arial" w:hAnsi="Arial"/>
          <w:vanish/>
        </w:rPr>
      </w:pPr>
    </w:p>
    <w:p w:rsidR="00760A75" w:rsidRPr="00F21E47" w:rsidRDefault="00760A75" w:rsidP="00760A75">
      <w:pPr>
        <w:jc w:val="center"/>
        <w:rPr>
          <w:rFonts w:ascii="Arial" w:hAnsi="Arial"/>
          <w:vanish/>
        </w:rPr>
      </w:pPr>
    </w:p>
    <w:p w:rsidR="00760A75" w:rsidRPr="00F21E47" w:rsidRDefault="00760A75" w:rsidP="00760A75">
      <w:pPr>
        <w:jc w:val="center"/>
        <w:rPr>
          <w:rFonts w:ascii="Arial" w:hAnsi="Arial"/>
          <w:vanish/>
        </w:rPr>
      </w:pPr>
    </w:p>
    <w:p w:rsidR="00760A75" w:rsidRPr="00F21E47" w:rsidRDefault="00760A75" w:rsidP="00760A75">
      <w:pPr>
        <w:rPr>
          <w:rFonts w:ascii="Arial" w:hAnsi="Arial"/>
          <w:vanish/>
        </w:rPr>
      </w:pPr>
    </w:p>
    <w:p w:rsidR="00760A75" w:rsidRPr="00F21E47" w:rsidRDefault="00760A75" w:rsidP="00760A75"/>
    <w:p w:rsidR="00A068E6" w:rsidRPr="00760A75" w:rsidRDefault="00A068E6" w:rsidP="00760A75"/>
    <w:sectPr w:rsidR="00A068E6" w:rsidRPr="00760A75" w:rsidSect="00CC467C">
      <w:footerReference w:type="default" r:id="rId10"/>
      <w:type w:val="continuous"/>
      <w:pgSz w:w="11907" w:h="16840" w:code="9"/>
      <w:pgMar w:top="992" w:right="1423" w:bottom="1134" w:left="1440" w:header="737" w:footer="851" w:gutter="0"/>
      <w:cols w:space="737"/>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075" w:rsidRDefault="008E7075">
      <w:r>
        <w:separator/>
      </w:r>
    </w:p>
  </w:endnote>
  <w:endnote w:type="continuationSeparator" w:id="0">
    <w:p w:rsidR="008E7075" w:rsidRDefault="008E707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90E" w:rsidRPr="00FE71B0" w:rsidRDefault="00DE190E" w:rsidP="00FE71B0">
    <w:pPr>
      <w:pStyle w:val="Footer"/>
      <w:tabs>
        <w:tab w:val="right" w:pos="9072"/>
      </w:tabs>
      <w:ind w:left="-284"/>
      <w:rPr>
        <w:rFonts w:ascii="Arial" w:hAnsi="Arial" w:cs="Arial"/>
      </w:rPr>
    </w:pPr>
    <w:r w:rsidRPr="00FE71B0">
      <w:rPr>
        <w:rFonts w:ascii="Arial" w:hAnsi="Arial" w:cs="Arial"/>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075" w:rsidRDefault="008E7075">
      <w:r>
        <w:separator/>
      </w:r>
    </w:p>
  </w:footnote>
  <w:footnote w:type="continuationSeparator" w:id="0">
    <w:p w:rsidR="008E7075" w:rsidRDefault="008E70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B3614"/>
    <w:multiLevelType w:val="hybridMultilevel"/>
    <w:tmpl w:val="92A09BC2"/>
    <w:lvl w:ilvl="0" w:tplc="0C090005">
      <w:start w:val="1"/>
      <w:numFmt w:val="bullet"/>
      <w:lvlText w:val=""/>
      <w:lvlJc w:val="left"/>
      <w:pPr>
        <w:ind w:left="154" w:hanging="360"/>
      </w:pPr>
      <w:rPr>
        <w:rFonts w:ascii="Wingdings" w:hAnsi="Wingdings" w:hint="default"/>
      </w:rPr>
    </w:lvl>
    <w:lvl w:ilvl="1" w:tplc="0C090003" w:tentative="1">
      <w:start w:val="1"/>
      <w:numFmt w:val="bullet"/>
      <w:lvlText w:val="o"/>
      <w:lvlJc w:val="left"/>
      <w:pPr>
        <w:ind w:left="874" w:hanging="360"/>
      </w:pPr>
      <w:rPr>
        <w:rFonts w:ascii="Courier New" w:hAnsi="Courier New" w:cs="Courier New" w:hint="default"/>
      </w:rPr>
    </w:lvl>
    <w:lvl w:ilvl="2" w:tplc="0C090005" w:tentative="1">
      <w:start w:val="1"/>
      <w:numFmt w:val="bullet"/>
      <w:lvlText w:val=""/>
      <w:lvlJc w:val="left"/>
      <w:pPr>
        <w:ind w:left="1594" w:hanging="360"/>
      </w:pPr>
      <w:rPr>
        <w:rFonts w:ascii="Wingdings" w:hAnsi="Wingdings" w:hint="default"/>
      </w:rPr>
    </w:lvl>
    <w:lvl w:ilvl="3" w:tplc="0C090001" w:tentative="1">
      <w:start w:val="1"/>
      <w:numFmt w:val="bullet"/>
      <w:lvlText w:val=""/>
      <w:lvlJc w:val="left"/>
      <w:pPr>
        <w:ind w:left="2314" w:hanging="360"/>
      </w:pPr>
      <w:rPr>
        <w:rFonts w:ascii="Symbol" w:hAnsi="Symbol" w:hint="default"/>
      </w:rPr>
    </w:lvl>
    <w:lvl w:ilvl="4" w:tplc="0C090003" w:tentative="1">
      <w:start w:val="1"/>
      <w:numFmt w:val="bullet"/>
      <w:lvlText w:val="o"/>
      <w:lvlJc w:val="left"/>
      <w:pPr>
        <w:ind w:left="3034" w:hanging="360"/>
      </w:pPr>
      <w:rPr>
        <w:rFonts w:ascii="Courier New" w:hAnsi="Courier New" w:cs="Courier New" w:hint="default"/>
      </w:rPr>
    </w:lvl>
    <w:lvl w:ilvl="5" w:tplc="0C090005" w:tentative="1">
      <w:start w:val="1"/>
      <w:numFmt w:val="bullet"/>
      <w:lvlText w:val=""/>
      <w:lvlJc w:val="left"/>
      <w:pPr>
        <w:ind w:left="3754" w:hanging="360"/>
      </w:pPr>
      <w:rPr>
        <w:rFonts w:ascii="Wingdings" w:hAnsi="Wingdings" w:hint="default"/>
      </w:rPr>
    </w:lvl>
    <w:lvl w:ilvl="6" w:tplc="0C090001" w:tentative="1">
      <w:start w:val="1"/>
      <w:numFmt w:val="bullet"/>
      <w:lvlText w:val=""/>
      <w:lvlJc w:val="left"/>
      <w:pPr>
        <w:ind w:left="4474" w:hanging="360"/>
      </w:pPr>
      <w:rPr>
        <w:rFonts w:ascii="Symbol" w:hAnsi="Symbol" w:hint="default"/>
      </w:rPr>
    </w:lvl>
    <w:lvl w:ilvl="7" w:tplc="0C090003" w:tentative="1">
      <w:start w:val="1"/>
      <w:numFmt w:val="bullet"/>
      <w:lvlText w:val="o"/>
      <w:lvlJc w:val="left"/>
      <w:pPr>
        <w:ind w:left="5194" w:hanging="360"/>
      </w:pPr>
      <w:rPr>
        <w:rFonts w:ascii="Courier New" w:hAnsi="Courier New" w:cs="Courier New" w:hint="default"/>
      </w:rPr>
    </w:lvl>
    <w:lvl w:ilvl="8" w:tplc="0C090005" w:tentative="1">
      <w:start w:val="1"/>
      <w:numFmt w:val="bullet"/>
      <w:lvlText w:val=""/>
      <w:lvlJc w:val="left"/>
      <w:pPr>
        <w:ind w:left="5914" w:hanging="360"/>
      </w:pPr>
      <w:rPr>
        <w:rFonts w:ascii="Wingdings" w:hAnsi="Wingdings" w:hint="default"/>
      </w:rPr>
    </w:lvl>
  </w:abstractNum>
  <w:abstractNum w:abstractNumId="1">
    <w:nsid w:val="1BB809EC"/>
    <w:multiLevelType w:val="hybridMultilevel"/>
    <w:tmpl w:val="BDE447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22C23241"/>
    <w:multiLevelType w:val="multilevel"/>
    <w:tmpl w:val="2D7A12B6"/>
    <w:lvl w:ilvl="0">
      <w:start w:val="1"/>
      <w:numFmt w:val="bullet"/>
      <w:lvlText w:val=""/>
      <w:lvlJc w:val="left"/>
      <w:pPr>
        <w:tabs>
          <w:tab w:val="num" w:pos="1800"/>
        </w:tabs>
        <w:ind w:left="1800" w:hanging="360"/>
      </w:pPr>
      <w:rPr>
        <w:rFonts w:ascii="Symbol" w:hAnsi="Symbol" w:hint="default"/>
        <w:b w:val="0"/>
        <w:i w:val="0"/>
        <w:sz w:val="18"/>
        <w:szCs w:val="18"/>
      </w:rPr>
    </w:lvl>
    <w:lvl w:ilvl="1">
      <w:start w:val="1"/>
      <w:numFmt w:val="bullet"/>
      <w:lvlText w:val="o"/>
      <w:lvlJc w:val="left"/>
      <w:pPr>
        <w:tabs>
          <w:tab w:val="num" w:pos="2880"/>
        </w:tabs>
        <w:ind w:left="2880" w:hanging="360"/>
      </w:pPr>
      <w:rPr>
        <w:rFonts w:ascii="Courier New" w:hAnsi="Courier New" w:cs="Wingding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Wingdings"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Wingdings"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
    <w:nsid w:val="2D500791"/>
    <w:multiLevelType w:val="hybridMultilevel"/>
    <w:tmpl w:val="CF406C3C"/>
    <w:lvl w:ilvl="0" w:tplc="0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0E862CC"/>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5">
    <w:nsid w:val="356D4394"/>
    <w:multiLevelType w:val="hybridMultilevel"/>
    <w:tmpl w:val="8F040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A5C5603"/>
    <w:multiLevelType w:val="hybridMultilevel"/>
    <w:tmpl w:val="0D60906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D055FAE"/>
    <w:multiLevelType w:val="hybridMultilevel"/>
    <w:tmpl w:val="C3EA7302"/>
    <w:lvl w:ilvl="0" w:tplc="0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0A14C00"/>
    <w:multiLevelType w:val="hybridMultilevel"/>
    <w:tmpl w:val="1C069290"/>
    <w:lvl w:ilvl="0" w:tplc="C160F1F4">
      <w:start w:val="1"/>
      <w:numFmt w:val="bullet"/>
      <w:pStyle w:val="Heading3"/>
      <w:lvlText w:val=""/>
      <w:lvlJc w:val="left"/>
      <w:pPr>
        <w:tabs>
          <w:tab w:val="num" w:pos="284"/>
        </w:tabs>
        <w:ind w:left="284" w:hanging="284"/>
      </w:pPr>
      <w:rPr>
        <w:rFonts w:ascii="Symbol" w:hAnsi="Symbol" w:hint="default"/>
        <w:sz w:val="20"/>
      </w:rPr>
    </w:lvl>
    <w:lvl w:ilvl="1" w:tplc="E8AEF58C">
      <w:start w:val="1"/>
      <w:numFmt w:val="bullet"/>
      <w:pStyle w:val="List2"/>
      <w:lvlText w:val=""/>
      <w:lvlJc w:val="left"/>
      <w:pPr>
        <w:tabs>
          <w:tab w:val="num" w:pos="1440"/>
        </w:tabs>
        <w:ind w:left="1440" w:hanging="360"/>
      </w:pPr>
      <w:rPr>
        <w:rFonts w:ascii="Wingdings" w:hAnsi="Wingdings" w:hint="default"/>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74483B2F"/>
    <w:multiLevelType w:val="hybridMultilevel"/>
    <w:tmpl w:val="EAF66BF2"/>
    <w:lvl w:ilvl="0" w:tplc="AA1C7F30">
      <w:start w:val="1"/>
      <w:numFmt w:val="bullet"/>
      <w:lvlText w:val=""/>
      <w:lvlJc w:val="left"/>
      <w:pPr>
        <w:tabs>
          <w:tab w:val="num" w:pos="360"/>
        </w:tabs>
        <w:ind w:left="360" w:hanging="360"/>
      </w:pPr>
      <w:rPr>
        <w:rFonts w:ascii="Symbol" w:hAnsi="Symbol" w:hint="default"/>
      </w:rPr>
    </w:lvl>
    <w:lvl w:ilvl="1" w:tplc="F4C2733C">
      <w:start w:val="1"/>
      <w:numFmt w:val="decimal"/>
      <w:lvlText w:val="%2."/>
      <w:lvlJc w:val="left"/>
      <w:pPr>
        <w:tabs>
          <w:tab w:val="num" w:pos="1440"/>
        </w:tabs>
        <w:ind w:left="1440" w:hanging="360"/>
      </w:pPr>
      <w:rPr>
        <w:rFonts w:cs="Times New Roman"/>
      </w:rPr>
    </w:lvl>
    <w:lvl w:ilvl="2" w:tplc="1D8609CE">
      <w:start w:val="1"/>
      <w:numFmt w:val="decimal"/>
      <w:lvlText w:val="%3."/>
      <w:lvlJc w:val="left"/>
      <w:pPr>
        <w:tabs>
          <w:tab w:val="num" w:pos="2160"/>
        </w:tabs>
        <w:ind w:left="2160" w:hanging="360"/>
      </w:pPr>
      <w:rPr>
        <w:rFonts w:cs="Times New Roman"/>
      </w:rPr>
    </w:lvl>
    <w:lvl w:ilvl="3" w:tplc="9642C7E4">
      <w:start w:val="1"/>
      <w:numFmt w:val="decimal"/>
      <w:lvlText w:val="%4."/>
      <w:lvlJc w:val="left"/>
      <w:pPr>
        <w:tabs>
          <w:tab w:val="num" w:pos="2880"/>
        </w:tabs>
        <w:ind w:left="2880" w:hanging="360"/>
      </w:pPr>
      <w:rPr>
        <w:rFonts w:cs="Times New Roman"/>
      </w:rPr>
    </w:lvl>
    <w:lvl w:ilvl="4" w:tplc="EF3C70F2">
      <w:start w:val="1"/>
      <w:numFmt w:val="decimal"/>
      <w:lvlText w:val="%5."/>
      <w:lvlJc w:val="left"/>
      <w:pPr>
        <w:tabs>
          <w:tab w:val="num" w:pos="3600"/>
        </w:tabs>
        <w:ind w:left="3600" w:hanging="360"/>
      </w:pPr>
      <w:rPr>
        <w:rFonts w:cs="Times New Roman"/>
      </w:rPr>
    </w:lvl>
    <w:lvl w:ilvl="5" w:tplc="8C063B46">
      <w:start w:val="1"/>
      <w:numFmt w:val="decimal"/>
      <w:lvlText w:val="%6."/>
      <w:lvlJc w:val="left"/>
      <w:pPr>
        <w:tabs>
          <w:tab w:val="num" w:pos="4320"/>
        </w:tabs>
        <w:ind w:left="4320" w:hanging="360"/>
      </w:pPr>
      <w:rPr>
        <w:rFonts w:cs="Times New Roman"/>
      </w:rPr>
    </w:lvl>
    <w:lvl w:ilvl="6" w:tplc="4878A474">
      <w:start w:val="1"/>
      <w:numFmt w:val="decimal"/>
      <w:lvlText w:val="%7."/>
      <w:lvlJc w:val="left"/>
      <w:pPr>
        <w:tabs>
          <w:tab w:val="num" w:pos="5040"/>
        </w:tabs>
        <w:ind w:left="5040" w:hanging="360"/>
      </w:pPr>
      <w:rPr>
        <w:rFonts w:cs="Times New Roman"/>
      </w:rPr>
    </w:lvl>
    <w:lvl w:ilvl="7" w:tplc="8BF81B70">
      <w:start w:val="1"/>
      <w:numFmt w:val="decimal"/>
      <w:lvlText w:val="%8."/>
      <w:lvlJc w:val="left"/>
      <w:pPr>
        <w:tabs>
          <w:tab w:val="num" w:pos="5760"/>
        </w:tabs>
        <w:ind w:left="5760" w:hanging="360"/>
      </w:pPr>
      <w:rPr>
        <w:rFonts w:cs="Times New Roman"/>
      </w:rPr>
    </w:lvl>
    <w:lvl w:ilvl="8" w:tplc="D84C7964">
      <w:start w:val="1"/>
      <w:numFmt w:val="decimal"/>
      <w:lvlText w:val="%9."/>
      <w:lvlJc w:val="left"/>
      <w:pPr>
        <w:tabs>
          <w:tab w:val="num" w:pos="6480"/>
        </w:tabs>
        <w:ind w:left="6480" w:hanging="360"/>
      </w:pPr>
      <w:rPr>
        <w:rFonts w:cs="Times New Roman"/>
      </w:rPr>
    </w:lvl>
  </w:abstractNum>
  <w:num w:numId="1">
    <w:abstractNumId w:val="8"/>
  </w:num>
  <w:num w:numId="2">
    <w:abstractNumId w:val="6"/>
  </w:num>
  <w:num w:numId="3">
    <w:abstractNumId w:val="3"/>
  </w:num>
  <w:num w:numId="4">
    <w:abstractNumId w:val="7"/>
  </w:num>
  <w:num w:numId="5">
    <w:abstractNumId w:val="0"/>
  </w:num>
  <w:num w:numId="6">
    <w:abstractNumId w:val="1"/>
  </w:num>
  <w:num w:numId="7">
    <w:abstractNumId w:val="9"/>
  </w:num>
  <w:num w:numId="8">
    <w:abstractNumId w:val="4"/>
  </w:num>
  <w:num w:numId="9">
    <w:abstractNumId w:val="2"/>
  </w:num>
  <w:num w:numId="10">
    <w:abstractNumId w:val="5"/>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proofState w:spelling="clean"/>
  <w:stylePaneFormatFilter w:val="3F01"/>
  <w:defaultTabStop w:val="284"/>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92B15"/>
    <w:rsid w:val="00007693"/>
    <w:rsid w:val="00020327"/>
    <w:rsid w:val="00022C41"/>
    <w:rsid w:val="00025C76"/>
    <w:rsid w:val="00040DB0"/>
    <w:rsid w:val="00051CF3"/>
    <w:rsid w:val="00063365"/>
    <w:rsid w:val="000704D9"/>
    <w:rsid w:val="00081824"/>
    <w:rsid w:val="00082768"/>
    <w:rsid w:val="00095995"/>
    <w:rsid w:val="000A0F73"/>
    <w:rsid w:val="000B233B"/>
    <w:rsid w:val="000B4CB5"/>
    <w:rsid w:val="000B535C"/>
    <w:rsid w:val="001026C6"/>
    <w:rsid w:val="00104029"/>
    <w:rsid w:val="00111E10"/>
    <w:rsid w:val="0011410C"/>
    <w:rsid w:val="0012421A"/>
    <w:rsid w:val="00125B00"/>
    <w:rsid w:val="00133270"/>
    <w:rsid w:val="00142B0A"/>
    <w:rsid w:val="00144BFD"/>
    <w:rsid w:val="0014525E"/>
    <w:rsid w:val="00165FF9"/>
    <w:rsid w:val="001972DA"/>
    <w:rsid w:val="001A21C9"/>
    <w:rsid w:val="001B4201"/>
    <w:rsid w:val="001D5B48"/>
    <w:rsid w:val="001F1FC1"/>
    <w:rsid w:val="001F37EE"/>
    <w:rsid w:val="001F747B"/>
    <w:rsid w:val="00206EFB"/>
    <w:rsid w:val="00217E7B"/>
    <w:rsid w:val="00220124"/>
    <w:rsid w:val="00261580"/>
    <w:rsid w:val="00261ED3"/>
    <w:rsid w:val="002822CF"/>
    <w:rsid w:val="002A2C96"/>
    <w:rsid w:val="002C4F7F"/>
    <w:rsid w:val="002D0CC1"/>
    <w:rsid w:val="002D1F07"/>
    <w:rsid w:val="00304325"/>
    <w:rsid w:val="0030757B"/>
    <w:rsid w:val="003323EC"/>
    <w:rsid w:val="00337D32"/>
    <w:rsid w:val="00342DF1"/>
    <w:rsid w:val="00354457"/>
    <w:rsid w:val="00354750"/>
    <w:rsid w:val="003B5FEB"/>
    <w:rsid w:val="003C28E0"/>
    <w:rsid w:val="003D1B33"/>
    <w:rsid w:val="003D3452"/>
    <w:rsid w:val="003D5027"/>
    <w:rsid w:val="003F0C06"/>
    <w:rsid w:val="003F13D4"/>
    <w:rsid w:val="00420A5B"/>
    <w:rsid w:val="004333C2"/>
    <w:rsid w:val="00437138"/>
    <w:rsid w:val="00464947"/>
    <w:rsid w:val="0047628B"/>
    <w:rsid w:val="00483D31"/>
    <w:rsid w:val="00492DC3"/>
    <w:rsid w:val="004937F8"/>
    <w:rsid w:val="004A64B0"/>
    <w:rsid w:val="004A651A"/>
    <w:rsid w:val="004C0091"/>
    <w:rsid w:val="004D2140"/>
    <w:rsid w:val="004F2A9F"/>
    <w:rsid w:val="004F4618"/>
    <w:rsid w:val="004F56D4"/>
    <w:rsid w:val="005009A0"/>
    <w:rsid w:val="00514EA7"/>
    <w:rsid w:val="00517B0D"/>
    <w:rsid w:val="005356B0"/>
    <w:rsid w:val="00543625"/>
    <w:rsid w:val="00543994"/>
    <w:rsid w:val="00551D6C"/>
    <w:rsid w:val="0055253F"/>
    <w:rsid w:val="00585FCB"/>
    <w:rsid w:val="005A2042"/>
    <w:rsid w:val="005B683B"/>
    <w:rsid w:val="005B7BFE"/>
    <w:rsid w:val="005D26C8"/>
    <w:rsid w:val="005D5D08"/>
    <w:rsid w:val="005F24B5"/>
    <w:rsid w:val="006109DA"/>
    <w:rsid w:val="00647B8F"/>
    <w:rsid w:val="0065133C"/>
    <w:rsid w:val="00662D4D"/>
    <w:rsid w:val="006805BC"/>
    <w:rsid w:val="00684895"/>
    <w:rsid w:val="00690231"/>
    <w:rsid w:val="00694464"/>
    <w:rsid w:val="006C3B6C"/>
    <w:rsid w:val="006D740D"/>
    <w:rsid w:val="006D7849"/>
    <w:rsid w:val="006E04A5"/>
    <w:rsid w:val="006E3361"/>
    <w:rsid w:val="006E4363"/>
    <w:rsid w:val="00735ADD"/>
    <w:rsid w:val="00760A75"/>
    <w:rsid w:val="00762B45"/>
    <w:rsid w:val="007A0E5D"/>
    <w:rsid w:val="007B13ED"/>
    <w:rsid w:val="007B140F"/>
    <w:rsid w:val="007C17F0"/>
    <w:rsid w:val="007E1C7F"/>
    <w:rsid w:val="007E6C13"/>
    <w:rsid w:val="008122AB"/>
    <w:rsid w:val="00814A45"/>
    <w:rsid w:val="00817A40"/>
    <w:rsid w:val="00821867"/>
    <w:rsid w:val="00822295"/>
    <w:rsid w:val="00823BB7"/>
    <w:rsid w:val="0087020F"/>
    <w:rsid w:val="008718DB"/>
    <w:rsid w:val="00876BCF"/>
    <w:rsid w:val="0088336B"/>
    <w:rsid w:val="008A1D1B"/>
    <w:rsid w:val="008B2FB6"/>
    <w:rsid w:val="008E5673"/>
    <w:rsid w:val="008E7075"/>
    <w:rsid w:val="008F7745"/>
    <w:rsid w:val="00913138"/>
    <w:rsid w:val="00924A0E"/>
    <w:rsid w:val="009274C0"/>
    <w:rsid w:val="0093207F"/>
    <w:rsid w:val="00935CDE"/>
    <w:rsid w:val="009461BA"/>
    <w:rsid w:val="009579A2"/>
    <w:rsid w:val="00966C88"/>
    <w:rsid w:val="00977871"/>
    <w:rsid w:val="00996878"/>
    <w:rsid w:val="009A2D3F"/>
    <w:rsid w:val="009A51E3"/>
    <w:rsid w:val="009C51B9"/>
    <w:rsid w:val="009D6F11"/>
    <w:rsid w:val="009F2E4C"/>
    <w:rsid w:val="00A009DB"/>
    <w:rsid w:val="00A01FD0"/>
    <w:rsid w:val="00A05982"/>
    <w:rsid w:val="00A06807"/>
    <w:rsid w:val="00A068E6"/>
    <w:rsid w:val="00A11194"/>
    <w:rsid w:val="00A52D75"/>
    <w:rsid w:val="00A630DD"/>
    <w:rsid w:val="00A642C3"/>
    <w:rsid w:val="00A84F2D"/>
    <w:rsid w:val="00AD2F1A"/>
    <w:rsid w:val="00AD7F8D"/>
    <w:rsid w:val="00AE3B3E"/>
    <w:rsid w:val="00AF383B"/>
    <w:rsid w:val="00B13591"/>
    <w:rsid w:val="00B13B42"/>
    <w:rsid w:val="00B240A4"/>
    <w:rsid w:val="00B24C2C"/>
    <w:rsid w:val="00B54B64"/>
    <w:rsid w:val="00B732D5"/>
    <w:rsid w:val="00B7336A"/>
    <w:rsid w:val="00B74D9F"/>
    <w:rsid w:val="00B75180"/>
    <w:rsid w:val="00B753FA"/>
    <w:rsid w:val="00BB0BA1"/>
    <w:rsid w:val="00BB1CA4"/>
    <w:rsid w:val="00BB24F9"/>
    <w:rsid w:val="00BB669E"/>
    <w:rsid w:val="00BC596D"/>
    <w:rsid w:val="00BD1AEA"/>
    <w:rsid w:val="00BE15BA"/>
    <w:rsid w:val="00BE302E"/>
    <w:rsid w:val="00BE6FD3"/>
    <w:rsid w:val="00C0267A"/>
    <w:rsid w:val="00C10F3F"/>
    <w:rsid w:val="00C457D9"/>
    <w:rsid w:val="00C537D1"/>
    <w:rsid w:val="00C56EA9"/>
    <w:rsid w:val="00C613C5"/>
    <w:rsid w:val="00C87628"/>
    <w:rsid w:val="00CC467C"/>
    <w:rsid w:val="00CC60C3"/>
    <w:rsid w:val="00CD5C7E"/>
    <w:rsid w:val="00CD7205"/>
    <w:rsid w:val="00CE35F7"/>
    <w:rsid w:val="00CE4372"/>
    <w:rsid w:val="00CF6420"/>
    <w:rsid w:val="00D26ECE"/>
    <w:rsid w:val="00D308CB"/>
    <w:rsid w:val="00D30A19"/>
    <w:rsid w:val="00D31F85"/>
    <w:rsid w:val="00D629C5"/>
    <w:rsid w:val="00D9261E"/>
    <w:rsid w:val="00DD563A"/>
    <w:rsid w:val="00DE190E"/>
    <w:rsid w:val="00E07AF5"/>
    <w:rsid w:val="00E206FB"/>
    <w:rsid w:val="00E670BD"/>
    <w:rsid w:val="00E744E0"/>
    <w:rsid w:val="00E77877"/>
    <w:rsid w:val="00E800BB"/>
    <w:rsid w:val="00EB2715"/>
    <w:rsid w:val="00ED2FC0"/>
    <w:rsid w:val="00F27102"/>
    <w:rsid w:val="00F3129B"/>
    <w:rsid w:val="00F86160"/>
    <w:rsid w:val="00F92B15"/>
    <w:rsid w:val="00FC1717"/>
    <w:rsid w:val="00FC3844"/>
    <w:rsid w:val="00FD28E4"/>
    <w:rsid w:val="00FE1F00"/>
    <w:rsid w:val="00FE71B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1D1B"/>
    <w:pPr>
      <w:spacing w:before="120"/>
      <w:jc w:val="both"/>
    </w:pPr>
    <w:rPr>
      <w:rFonts w:ascii="Times" w:hAnsi="Times"/>
      <w:sz w:val="24"/>
    </w:rPr>
  </w:style>
  <w:style w:type="paragraph" w:styleId="Heading1">
    <w:name w:val="heading 1"/>
    <w:basedOn w:val="Normal"/>
    <w:qFormat/>
    <w:rsid w:val="00684895"/>
    <w:pPr>
      <w:keepNext/>
      <w:keepLines/>
      <w:spacing w:before="240"/>
      <w:jc w:val="center"/>
      <w:outlineLvl w:val="0"/>
    </w:pPr>
    <w:rPr>
      <w:rFonts w:ascii="Arial" w:hAnsi="Arial"/>
      <w:b/>
      <w:bCs/>
      <w:caps/>
    </w:rPr>
  </w:style>
  <w:style w:type="paragraph" w:styleId="Heading2">
    <w:name w:val="heading 2"/>
    <w:basedOn w:val="Normal"/>
    <w:link w:val="Heading2Char"/>
    <w:qFormat/>
    <w:rsid w:val="00684895"/>
    <w:pPr>
      <w:spacing w:before="360"/>
      <w:outlineLvl w:val="1"/>
    </w:pPr>
    <w:rPr>
      <w:rFonts w:ascii="Arial" w:hAnsi="Arial"/>
      <w:b/>
      <w:bCs/>
    </w:rPr>
  </w:style>
  <w:style w:type="paragraph" w:styleId="Heading3">
    <w:name w:val="heading 3"/>
    <w:basedOn w:val="Normal"/>
    <w:qFormat/>
    <w:rsid w:val="004937F8"/>
    <w:pPr>
      <w:numPr>
        <w:numId w:val="1"/>
      </w:numPr>
      <w:spacing w:before="240"/>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F13D4"/>
    <w:rPr>
      <w:sz w:val="16"/>
    </w:rPr>
  </w:style>
  <w:style w:type="paragraph" w:customStyle="1" w:styleId="ActTitle">
    <w:name w:val="Act Title"/>
    <w:basedOn w:val="Normal"/>
    <w:rsid w:val="004937F8"/>
    <w:pPr>
      <w:jc w:val="center"/>
    </w:pPr>
    <w:rPr>
      <w:rFonts w:ascii="Arial" w:hAnsi="Arial"/>
      <w:i/>
      <w:iCs/>
    </w:rPr>
  </w:style>
  <w:style w:type="paragraph" w:styleId="BalloonText">
    <w:name w:val="Balloon Text"/>
    <w:basedOn w:val="Normal"/>
    <w:semiHidden/>
    <w:rsid w:val="00B732D5"/>
    <w:rPr>
      <w:rFonts w:ascii="Tahoma" w:hAnsi="Tahoma" w:cs="Tahoma"/>
      <w:sz w:val="16"/>
      <w:szCs w:val="16"/>
    </w:rPr>
  </w:style>
  <w:style w:type="character" w:styleId="CommentReference">
    <w:name w:val="annotation reference"/>
    <w:semiHidden/>
    <w:rsid w:val="00104029"/>
    <w:rPr>
      <w:sz w:val="16"/>
      <w:szCs w:val="16"/>
    </w:rPr>
  </w:style>
  <w:style w:type="paragraph" w:styleId="CommentText">
    <w:name w:val="annotation text"/>
    <w:basedOn w:val="Normal"/>
    <w:semiHidden/>
    <w:rsid w:val="00104029"/>
  </w:style>
  <w:style w:type="paragraph" w:styleId="CommentSubject">
    <w:name w:val="annotation subject"/>
    <w:basedOn w:val="CommentText"/>
    <w:next w:val="CommentText"/>
    <w:semiHidden/>
    <w:rsid w:val="00104029"/>
    <w:rPr>
      <w:b/>
      <w:bCs/>
    </w:rPr>
  </w:style>
  <w:style w:type="paragraph" w:customStyle="1" w:styleId="Instructions">
    <w:name w:val="Instructions"/>
    <w:basedOn w:val="Normal"/>
    <w:link w:val="InstructionsChar"/>
    <w:rsid w:val="00020327"/>
    <w:rPr>
      <w:rFonts w:ascii="Arial" w:hAnsi="Arial" w:cs="Arial"/>
      <w:i/>
      <w:color w:val="0000FF"/>
      <w:sz w:val="20"/>
    </w:rPr>
  </w:style>
  <w:style w:type="character" w:customStyle="1" w:styleId="InstructionsChar">
    <w:name w:val="Instructions Char"/>
    <w:link w:val="Instructions"/>
    <w:rsid w:val="00020327"/>
    <w:rPr>
      <w:rFonts w:ascii="Arial" w:hAnsi="Arial" w:cs="Arial"/>
      <w:i/>
      <w:color w:val="0000FF"/>
      <w:lang w:val="en-AU" w:eastAsia="en-AU" w:bidi="ar-SA"/>
    </w:rPr>
  </w:style>
  <w:style w:type="paragraph" w:customStyle="1" w:styleId="StrategicAssessmentText">
    <w:name w:val="Strategic Assessment Text"/>
    <w:basedOn w:val="Normal"/>
    <w:rsid w:val="008A1D1B"/>
    <w:pPr>
      <w:ind w:left="284"/>
    </w:pPr>
  </w:style>
  <w:style w:type="paragraph" w:styleId="Header">
    <w:name w:val="header"/>
    <w:basedOn w:val="Normal"/>
    <w:rsid w:val="00FE71B0"/>
    <w:pPr>
      <w:tabs>
        <w:tab w:val="center" w:pos="4153"/>
        <w:tab w:val="right" w:pos="8306"/>
      </w:tabs>
    </w:pPr>
  </w:style>
  <w:style w:type="character" w:styleId="Hyperlink">
    <w:name w:val="Hyperlink"/>
    <w:rsid w:val="00FE71B0"/>
    <w:rPr>
      <w:color w:val="0000FF"/>
      <w:u w:val="single"/>
    </w:rPr>
  </w:style>
  <w:style w:type="paragraph" w:styleId="List2">
    <w:name w:val="List 2"/>
    <w:basedOn w:val="Normal"/>
    <w:rsid w:val="00823BB7"/>
    <w:pPr>
      <w:numPr>
        <w:ilvl w:val="1"/>
        <w:numId w:val="1"/>
      </w:numPr>
    </w:pPr>
  </w:style>
  <w:style w:type="paragraph" w:styleId="ListParagraph">
    <w:name w:val="List Paragraph"/>
    <w:basedOn w:val="Normal"/>
    <w:uiPriority w:val="34"/>
    <w:qFormat/>
    <w:rsid w:val="009A51E3"/>
    <w:pPr>
      <w:spacing w:before="0" w:after="200" w:line="276" w:lineRule="auto"/>
      <w:ind w:left="720"/>
      <w:contextualSpacing/>
      <w:jc w:val="left"/>
    </w:pPr>
    <w:rPr>
      <w:rFonts w:ascii="Calibri" w:eastAsia="Calibri" w:hAnsi="Calibri"/>
      <w:sz w:val="22"/>
      <w:szCs w:val="22"/>
      <w:lang w:eastAsia="en-US"/>
    </w:rPr>
  </w:style>
  <w:style w:type="character" w:customStyle="1" w:styleId="Heading2Char">
    <w:name w:val="Heading 2 Char"/>
    <w:basedOn w:val="DefaultParagraphFont"/>
    <w:link w:val="Heading2"/>
    <w:rsid w:val="00760A75"/>
    <w:rPr>
      <w:rFonts w:ascii="Arial" w:hAnsi="Arial"/>
      <w:b/>
      <w:bCs/>
      <w:sz w:val="24"/>
    </w:rPr>
  </w:style>
  <w:style w:type="paragraph" w:customStyle="1" w:styleId="Bodytext">
    <w:name w:val="Body text"/>
    <w:basedOn w:val="Normal"/>
    <w:rsid w:val="00760A75"/>
    <w:pPr>
      <w:overflowPunct w:val="0"/>
      <w:autoSpaceDE w:val="0"/>
      <w:autoSpaceDN w:val="0"/>
      <w:adjustRightInd w:val="0"/>
      <w:spacing w:before="0" w:after="119"/>
      <w:ind w:left="1134"/>
    </w:pPr>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rategicplanning@geelongcity.vic.gov.au" TargetMode="External"/><Relationship Id="rId3" Type="http://schemas.openxmlformats.org/officeDocument/2006/relationships/settings" Target="settings.xml"/><Relationship Id="rId7" Type="http://schemas.openxmlformats.org/officeDocument/2006/relationships/hyperlink" Target="http://www.dpcd.vic.gov.au/planning/publicinspec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trategicplanning@geelongcity.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1345</Words>
  <Characters>7819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Planning and Environment Act 1987</vt:lpstr>
    </vt:vector>
  </TitlesOfParts>
  <Company>DOI</Company>
  <LinksUpToDate>false</LinksUpToDate>
  <CharactersWithSpaces>9146</CharactersWithSpaces>
  <SharedDoc>false</SharedDoc>
  <HLinks>
    <vt:vector size="6" baseType="variant">
      <vt:variant>
        <vt:i4>8061053</vt:i4>
      </vt:variant>
      <vt:variant>
        <vt:i4>0</vt:i4>
      </vt:variant>
      <vt:variant>
        <vt:i4>0</vt:i4>
      </vt:variant>
      <vt:variant>
        <vt:i4>5</vt:i4>
      </vt:variant>
      <vt:variant>
        <vt:lpwstr>http://www.geelongcity.vic.gov.au/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and Environment Act 1987</dc:title>
  <dc:creator>de Saram</dc:creator>
  <cp:lastModifiedBy>Barry Gough</cp:lastModifiedBy>
  <cp:revision>5</cp:revision>
  <cp:lastPrinted>2013-06-18T02:31:00Z</cp:lastPrinted>
  <dcterms:created xsi:type="dcterms:W3CDTF">2014-02-12T00:20:00Z</dcterms:created>
  <dcterms:modified xsi:type="dcterms:W3CDTF">2014-03-24T03:30:00Z</dcterms:modified>
</cp:coreProperties>
</file>