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6470FE1" w14:textId="77777777" w:rsidR="002E4E77" w:rsidRDefault="002E4E77" w:rsidP="002E4E77">
      <w:pPr>
        <w:jc w:val="center"/>
        <w:rPr>
          <w:b/>
          <w:bCs/>
          <w:sz w:val="36"/>
          <w:szCs w:val="36"/>
          <w:lang w:val="en-GB"/>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14:paraId="0F3904CE" w14:textId="77777777" w:rsidR="002E4E77" w:rsidRDefault="002E4E77" w:rsidP="002E4E77">
      <w:pPr>
        <w:rPr>
          <w:b/>
          <w:bCs/>
          <w:sz w:val="36"/>
          <w:szCs w:val="36"/>
          <w:lang w:val="en-GB"/>
        </w:rPr>
      </w:pPr>
    </w:p>
    <w:p w14:paraId="197A130D" w14:textId="77777777" w:rsidR="002E4E77" w:rsidRDefault="002E4E77" w:rsidP="002E4E77">
      <w:pPr>
        <w:pStyle w:val="Title"/>
        <w:jc w:val="center"/>
        <w:rPr>
          <w:lang w:val="en-GB"/>
        </w:rPr>
      </w:pPr>
      <w:r>
        <w:rPr>
          <w:lang w:val="en-GB"/>
        </w:rPr>
        <w:t>50 Canterbury Road West</w:t>
      </w:r>
    </w:p>
    <w:p w14:paraId="7B39A6BF" w14:textId="77777777" w:rsidR="002E4E77" w:rsidRDefault="002E4E77" w:rsidP="002E4E77">
      <w:pPr>
        <w:pStyle w:val="Title"/>
        <w:jc w:val="center"/>
        <w:rPr>
          <w:lang w:val="en-GB"/>
        </w:rPr>
      </w:pPr>
      <w:r>
        <w:rPr>
          <w:lang w:val="en-GB"/>
        </w:rPr>
        <w:t>Lara</w:t>
      </w:r>
    </w:p>
    <w:p w14:paraId="6DBEE319" w14:textId="77777777" w:rsidR="002E4E77" w:rsidRDefault="002E4E77" w:rsidP="002E4E77">
      <w:pPr>
        <w:pStyle w:val="Title"/>
        <w:rPr>
          <w:lang w:val="en-GB"/>
        </w:rPr>
      </w:pPr>
    </w:p>
    <w:p w14:paraId="4F1B1DB5" w14:textId="77777777" w:rsidR="002E4E77" w:rsidRPr="00A8543A" w:rsidRDefault="002E4E77" w:rsidP="002E4E77">
      <w:pPr>
        <w:pStyle w:val="Title"/>
        <w:jc w:val="center"/>
        <w:rPr>
          <w:lang w:val="en-GB"/>
        </w:rPr>
      </w:pPr>
      <w:r w:rsidRPr="00A8543A">
        <w:rPr>
          <w:lang w:val="en-GB"/>
        </w:rPr>
        <w:t>Vegetation</w:t>
      </w:r>
    </w:p>
    <w:p w14:paraId="5E4F8AAF" w14:textId="77777777" w:rsidR="002E4E77" w:rsidRDefault="002E4E77" w:rsidP="002E4E77">
      <w:pPr>
        <w:pStyle w:val="Title"/>
        <w:jc w:val="center"/>
        <w:rPr>
          <w:lang w:val="en-GB"/>
        </w:rPr>
      </w:pPr>
      <w:r>
        <w:rPr>
          <w:lang w:val="en-GB"/>
        </w:rPr>
        <w:t>and</w:t>
      </w:r>
    </w:p>
    <w:p w14:paraId="2C8844ED" w14:textId="77777777" w:rsidR="002E4E77" w:rsidRPr="00A8543A" w:rsidRDefault="002E4E77" w:rsidP="002E4E77">
      <w:pPr>
        <w:pStyle w:val="Title"/>
        <w:jc w:val="center"/>
        <w:rPr>
          <w:lang w:val="en-GB"/>
        </w:rPr>
      </w:pPr>
      <w:r>
        <w:rPr>
          <w:lang w:val="en-GB"/>
        </w:rPr>
        <w:t>Net Gain Assessment</w:t>
      </w:r>
    </w:p>
    <w:p w14:paraId="02C8FA6A" w14:textId="77777777" w:rsidR="002E4E77" w:rsidRDefault="002E4E77" w:rsidP="002E4E77">
      <w:pPr>
        <w:pStyle w:val="Title"/>
        <w:rPr>
          <w:sz w:val="36"/>
          <w:szCs w:val="36"/>
          <w:lang w:val="en-GB"/>
        </w:rPr>
      </w:pPr>
    </w:p>
    <w:p w14:paraId="733B5E77" w14:textId="77777777" w:rsidR="002E4E77" w:rsidRDefault="002E4E77" w:rsidP="002E4E77">
      <w:pPr>
        <w:pStyle w:val="Title"/>
        <w:rPr>
          <w:sz w:val="36"/>
          <w:szCs w:val="36"/>
          <w:lang w:val="en-GB"/>
        </w:rPr>
      </w:pPr>
    </w:p>
    <w:p w14:paraId="47A3F0A5" w14:textId="77777777" w:rsidR="002E4E77" w:rsidRDefault="002E4E77" w:rsidP="002E4E77">
      <w:pPr>
        <w:pStyle w:val="Title"/>
        <w:rPr>
          <w:sz w:val="36"/>
          <w:szCs w:val="36"/>
          <w:lang w:val="en-GB"/>
        </w:rPr>
      </w:pPr>
    </w:p>
    <w:p w14:paraId="7753CC9E" w14:textId="77777777" w:rsidR="002E4E77" w:rsidRDefault="002E4E77" w:rsidP="002E4E77">
      <w:pPr>
        <w:pStyle w:val="Title"/>
        <w:rPr>
          <w:sz w:val="36"/>
          <w:szCs w:val="36"/>
          <w:lang w:val="en-GB"/>
        </w:rPr>
      </w:pPr>
    </w:p>
    <w:p w14:paraId="64DDD211" w14:textId="77777777" w:rsidR="002E4E77" w:rsidRDefault="002E4E77" w:rsidP="002E4E77">
      <w:pPr>
        <w:pStyle w:val="Title"/>
        <w:rPr>
          <w:sz w:val="36"/>
          <w:szCs w:val="36"/>
          <w:lang w:val="en-GB"/>
        </w:rPr>
      </w:pPr>
      <w:r>
        <w:rPr>
          <w:sz w:val="36"/>
          <w:szCs w:val="36"/>
          <w:lang w:val="en-GB"/>
        </w:rPr>
        <w:t xml:space="preserve">A Report to </w:t>
      </w:r>
    </w:p>
    <w:p w14:paraId="2CD0BC01" w14:textId="77777777" w:rsidR="002E4E77" w:rsidRPr="00176CFC" w:rsidRDefault="002E4E77" w:rsidP="002E4E77">
      <w:pPr>
        <w:pStyle w:val="Title"/>
        <w:rPr>
          <w:sz w:val="40"/>
          <w:szCs w:val="36"/>
          <w:lang w:val="en-GB"/>
        </w:rPr>
      </w:pPr>
      <w:r>
        <w:rPr>
          <w:sz w:val="40"/>
          <w:szCs w:val="36"/>
          <w:lang w:val="en-GB"/>
        </w:rPr>
        <w:t>Point Cook P/L</w:t>
      </w:r>
    </w:p>
    <w:p w14:paraId="5EC9466E" w14:textId="77777777" w:rsidR="002E4E77" w:rsidRDefault="002E4E77" w:rsidP="002E4E77">
      <w:pPr>
        <w:jc w:val="center"/>
        <w:rPr>
          <w:b/>
          <w:bCs/>
          <w:sz w:val="36"/>
          <w:szCs w:val="36"/>
          <w:lang w:val="en-GB"/>
        </w:rPr>
      </w:pPr>
    </w:p>
    <w:p w14:paraId="6A9FE285" w14:textId="77777777" w:rsidR="002E4E77" w:rsidRDefault="002E4E77" w:rsidP="002E4E77">
      <w:pPr>
        <w:jc w:val="center"/>
        <w:rPr>
          <w:b/>
          <w:bCs/>
          <w:sz w:val="36"/>
          <w:szCs w:val="36"/>
          <w:lang w:val="en-GB"/>
        </w:rPr>
      </w:pPr>
    </w:p>
    <w:p w14:paraId="12C1EC20" w14:textId="77777777" w:rsidR="002E4E77" w:rsidRDefault="002E4E77" w:rsidP="002E4E77">
      <w:pPr>
        <w:rPr>
          <w:b/>
          <w:bCs/>
          <w:sz w:val="36"/>
          <w:szCs w:val="36"/>
          <w:lang w:val="en-GB"/>
        </w:rPr>
      </w:pPr>
    </w:p>
    <w:p w14:paraId="348C3901" w14:textId="77777777" w:rsidR="002E4E77" w:rsidRDefault="002E4E77" w:rsidP="002E4E77">
      <w:pPr>
        <w:pStyle w:val="Title"/>
        <w:rPr>
          <w:sz w:val="40"/>
          <w:szCs w:val="40"/>
          <w:lang w:val="en-GB"/>
        </w:rPr>
      </w:pPr>
    </w:p>
    <w:p w14:paraId="0273A9BE" w14:textId="77777777" w:rsidR="002E4E77" w:rsidRDefault="002E4E77" w:rsidP="002E4E77">
      <w:pPr>
        <w:pStyle w:val="Title"/>
        <w:rPr>
          <w:sz w:val="40"/>
          <w:szCs w:val="40"/>
          <w:lang w:val="en-GB"/>
        </w:rPr>
      </w:pPr>
    </w:p>
    <w:p w14:paraId="2A43915A" w14:textId="77777777" w:rsidR="002E4E77" w:rsidRPr="00EC62FE" w:rsidRDefault="002E4E77" w:rsidP="002E4E77">
      <w:pPr>
        <w:pStyle w:val="Title"/>
        <w:rPr>
          <w:sz w:val="36"/>
          <w:szCs w:val="32"/>
          <w:lang w:val="en-GB"/>
        </w:rPr>
      </w:pPr>
      <w:r w:rsidRPr="00EC62FE">
        <w:rPr>
          <w:sz w:val="36"/>
          <w:szCs w:val="32"/>
          <w:lang w:val="en-GB"/>
        </w:rPr>
        <w:t>Prepared by</w:t>
      </w:r>
    </w:p>
    <w:p w14:paraId="7D2BED6E" w14:textId="77777777" w:rsidR="002E4E77" w:rsidRPr="00F014EF" w:rsidRDefault="002E4E77" w:rsidP="002E4E77">
      <w:pPr>
        <w:pStyle w:val="E-mailSignature"/>
        <w:rPr>
          <w:rFonts w:ascii="Franklin Gothic Medium" w:hAnsi="Franklin Gothic Medium" w:cs="Gill Sans"/>
          <w:b/>
          <w:bCs/>
          <w:iCs/>
          <w:color w:val="3366FF"/>
          <w:sz w:val="32"/>
        </w:rPr>
      </w:pPr>
      <w:r w:rsidRPr="00F014EF">
        <w:rPr>
          <w:rFonts w:ascii="Franklin Gothic Medium" w:hAnsi="Franklin Gothic Medium" w:cs="Gill Sans"/>
          <w:b/>
          <w:bCs/>
          <w:i/>
          <w:iCs/>
          <w:color w:val="3366FF"/>
          <w:sz w:val="32"/>
        </w:rPr>
        <w:t>Mark Trengove</w:t>
      </w:r>
      <w:r w:rsidRPr="00F014EF">
        <w:rPr>
          <w:rFonts w:ascii="Franklin Gothic Medium" w:hAnsi="Franklin Gothic Medium" w:cs="Gill Sans"/>
          <w:b/>
          <w:bCs/>
          <w:iCs/>
          <w:color w:val="3366FF"/>
          <w:sz w:val="32"/>
        </w:rPr>
        <w:t xml:space="preserve"> </w:t>
      </w:r>
      <w:r w:rsidRPr="00F014EF">
        <w:rPr>
          <w:rFonts w:ascii="Franklin Gothic Medium" w:hAnsi="Franklin Gothic Medium" w:cs="Gill Sans"/>
          <w:b/>
          <w:bCs/>
          <w:color w:val="3366FF"/>
          <w:sz w:val="32"/>
        </w:rPr>
        <w:t>Ecological Services</w:t>
      </w:r>
    </w:p>
    <w:p w14:paraId="19408D99" w14:textId="77777777" w:rsidR="002E4E77" w:rsidRPr="00F014EF" w:rsidRDefault="002E4E77" w:rsidP="002E4E77">
      <w:pPr>
        <w:pStyle w:val="E-mailSignature"/>
        <w:rPr>
          <w:rFonts w:ascii="Franklin Gothic Medium" w:hAnsi="Franklin Gothic Medium" w:cs="Gill Sans"/>
          <w:b/>
          <w:color w:val="000080"/>
          <w:sz w:val="28"/>
        </w:rPr>
      </w:pPr>
      <w:r>
        <w:rPr>
          <w:rFonts w:ascii="Franklin Gothic Medium" w:hAnsi="Franklin Gothic Medium" w:cs="Gill Sans"/>
          <w:b/>
          <w:color w:val="000080"/>
          <w:sz w:val="28"/>
        </w:rPr>
        <w:t>42 Aberdeen St Geelong West</w:t>
      </w:r>
    </w:p>
    <w:p w14:paraId="5C84EB24" w14:textId="77777777" w:rsidR="002E4E77" w:rsidRPr="00F014EF" w:rsidRDefault="002E4E77" w:rsidP="002E4E77">
      <w:pPr>
        <w:pStyle w:val="E-mailSignature"/>
        <w:rPr>
          <w:rFonts w:ascii="Franklin Gothic Medium" w:hAnsi="Franklin Gothic Medium" w:cs="Gill Sans"/>
          <w:b/>
          <w:color w:val="000080"/>
          <w:sz w:val="28"/>
        </w:rPr>
      </w:pPr>
      <w:r>
        <w:rPr>
          <w:rFonts w:ascii="Franklin Gothic Medium" w:hAnsi="Franklin Gothic Medium" w:cs="Gill Sans"/>
          <w:b/>
          <w:color w:val="000080"/>
          <w:sz w:val="28"/>
        </w:rPr>
        <w:t xml:space="preserve">PO Box 1502 </w:t>
      </w:r>
      <w:r w:rsidRPr="00F014EF">
        <w:rPr>
          <w:rFonts w:ascii="Franklin Gothic Medium" w:hAnsi="Franklin Gothic Medium" w:cs="Gill Sans"/>
          <w:b/>
          <w:color w:val="000080"/>
          <w:sz w:val="28"/>
        </w:rPr>
        <w:t xml:space="preserve">Geelong </w:t>
      </w:r>
      <w:r>
        <w:rPr>
          <w:rFonts w:ascii="Franklin Gothic Medium" w:hAnsi="Franklin Gothic Medium" w:cs="Gill Sans"/>
          <w:b/>
          <w:color w:val="000080"/>
          <w:sz w:val="28"/>
        </w:rPr>
        <w:t xml:space="preserve"> </w:t>
      </w:r>
      <w:r w:rsidRPr="00F014EF">
        <w:rPr>
          <w:rFonts w:ascii="Franklin Gothic Medium" w:hAnsi="Franklin Gothic Medium" w:cs="Gill Sans"/>
          <w:b/>
          <w:color w:val="000080"/>
          <w:sz w:val="28"/>
        </w:rPr>
        <w:t>3220</w:t>
      </w:r>
    </w:p>
    <w:p w14:paraId="723DA5A2" w14:textId="77777777" w:rsidR="002E4E77" w:rsidRPr="00F014EF" w:rsidRDefault="002E4E77" w:rsidP="002E4E77">
      <w:pPr>
        <w:pStyle w:val="E-mailSignature"/>
        <w:rPr>
          <w:rFonts w:ascii="Franklin Gothic Medium" w:hAnsi="Franklin Gothic Medium" w:cs="Gill Sans"/>
          <w:b/>
          <w:color w:val="000080"/>
          <w:sz w:val="28"/>
        </w:rPr>
      </w:pPr>
      <w:r w:rsidRPr="00F014EF">
        <w:rPr>
          <w:rFonts w:ascii="Franklin Gothic Medium" w:hAnsi="Franklin Gothic Medium" w:cs="Gill Sans"/>
          <w:b/>
          <w:color w:val="000080"/>
          <w:sz w:val="28"/>
        </w:rPr>
        <w:t>mtrengove@pipeline.com.au</w:t>
      </w:r>
    </w:p>
    <w:p w14:paraId="420824B9" w14:textId="77777777" w:rsidR="002E4E77" w:rsidRPr="00457028" w:rsidRDefault="002E4E77" w:rsidP="002E4E77">
      <w:pPr>
        <w:pStyle w:val="E-mailSignature"/>
        <w:rPr>
          <w:rFonts w:ascii="Franklin Gothic Medium" w:hAnsi="Franklin Gothic Medium" w:cs="Gill Sans"/>
          <w:b/>
          <w:color w:val="000080"/>
          <w:sz w:val="28"/>
        </w:rPr>
      </w:pPr>
      <w:r w:rsidRPr="00F014EF">
        <w:rPr>
          <w:rFonts w:ascii="Franklin Gothic Medium" w:hAnsi="Franklin Gothic Medium" w:cs="Gill Sans"/>
          <w:b/>
          <w:color w:val="000080"/>
          <w:sz w:val="28"/>
        </w:rPr>
        <w:t>ph 03 52298087</w:t>
      </w:r>
    </w:p>
    <w:p w14:paraId="4D75A433" w14:textId="77777777" w:rsidR="002E4E77" w:rsidRDefault="002E4E77" w:rsidP="002E4E77">
      <w:pPr>
        <w:rPr>
          <w:b/>
          <w:bCs/>
          <w:sz w:val="36"/>
          <w:szCs w:val="36"/>
          <w:lang w:val="en-GB"/>
        </w:rPr>
      </w:pPr>
    </w:p>
    <w:p w14:paraId="35290DF2" w14:textId="77777777" w:rsidR="002E4E77" w:rsidRPr="000C2A52" w:rsidRDefault="002E4E77" w:rsidP="002E4E77">
      <w:pPr>
        <w:pStyle w:val="Title"/>
        <w:rPr>
          <w:sz w:val="40"/>
          <w:szCs w:val="40"/>
          <w:lang w:val="en-GB"/>
        </w:rPr>
      </w:pPr>
      <w:r>
        <w:rPr>
          <w:sz w:val="40"/>
          <w:szCs w:val="40"/>
          <w:lang w:val="en-GB"/>
        </w:rPr>
        <w:t>May 27 2013</w:t>
      </w:r>
    </w:p>
    <w:p w14:paraId="0308D974" w14:textId="77777777" w:rsidR="002E4E77" w:rsidRPr="000C2A52" w:rsidRDefault="002E4E77" w:rsidP="002E4E77">
      <w:pPr>
        <w:pStyle w:val="Title"/>
        <w:rPr>
          <w:sz w:val="40"/>
          <w:szCs w:val="40"/>
          <w:lang w:val="en-GB"/>
        </w:rPr>
      </w:pPr>
      <w:r>
        <w:rPr>
          <w:sz w:val="24"/>
          <w:szCs w:val="24"/>
          <w:lang w:val="en-GB"/>
        </w:rPr>
        <w:br w:type="page"/>
      </w:r>
      <w:r w:rsidRPr="000C2A52">
        <w:rPr>
          <w:sz w:val="40"/>
          <w:szCs w:val="40"/>
          <w:lang w:val="en-US"/>
        </w:rPr>
        <w:lastRenderedPageBreak/>
        <w:t>Contents</w:t>
      </w:r>
    </w:p>
    <w:p w14:paraId="058AF722" w14:textId="77777777" w:rsidR="002E4E77" w:rsidRDefault="002E4E77" w:rsidP="002E4E77">
      <w:pPr>
        <w:rPr>
          <w:sz w:val="24"/>
          <w:szCs w:val="24"/>
          <w:lang w:val="en-US"/>
        </w:rPr>
      </w:pPr>
    </w:p>
    <w:p w14:paraId="39D6B5A1" w14:textId="77777777" w:rsidR="002E702E" w:rsidRDefault="002E4E77">
      <w:pPr>
        <w:pStyle w:val="TOC1"/>
        <w:tabs>
          <w:tab w:val="left" w:pos="340"/>
          <w:tab w:val="right" w:leader="dot" w:pos="9015"/>
        </w:tabs>
        <w:rPr>
          <w:rFonts w:asciiTheme="minorHAnsi" w:eastAsiaTheme="minorEastAsia" w:hAnsiTheme="minorHAnsi" w:cstheme="minorBidi"/>
          <w:noProof/>
          <w:sz w:val="24"/>
          <w:szCs w:val="24"/>
          <w:lang w:val="en-US" w:eastAsia="ja-JP"/>
        </w:rPr>
      </w:pPr>
      <w:r>
        <w:rPr>
          <w:sz w:val="24"/>
          <w:szCs w:val="24"/>
          <w:lang w:val="en-GB"/>
        </w:rPr>
        <w:fldChar w:fldCharType="begin"/>
      </w:r>
      <w:r>
        <w:rPr>
          <w:sz w:val="24"/>
          <w:szCs w:val="24"/>
          <w:lang w:val="en-GB"/>
        </w:rPr>
        <w:instrText xml:space="preserve"> TOC \o "1-3" \h \z \u </w:instrText>
      </w:r>
      <w:r>
        <w:rPr>
          <w:sz w:val="24"/>
          <w:szCs w:val="24"/>
          <w:lang w:val="en-GB"/>
        </w:rPr>
        <w:fldChar w:fldCharType="separate"/>
      </w:r>
      <w:r w:rsidR="002E702E" w:rsidRPr="00E17710">
        <w:rPr>
          <w:noProof/>
          <w:lang w:val="en-GB"/>
        </w:rPr>
        <w:t>1</w:t>
      </w:r>
      <w:r w:rsidR="002E702E">
        <w:rPr>
          <w:rFonts w:asciiTheme="minorHAnsi" w:eastAsiaTheme="minorEastAsia" w:hAnsiTheme="minorHAnsi" w:cstheme="minorBidi"/>
          <w:noProof/>
          <w:sz w:val="24"/>
          <w:szCs w:val="24"/>
          <w:lang w:val="en-US" w:eastAsia="ja-JP"/>
        </w:rPr>
        <w:tab/>
      </w:r>
      <w:r w:rsidR="002E702E" w:rsidRPr="00E17710">
        <w:rPr>
          <w:noProof/>
          <w:lang w:val="en-GB"/>
        </w:rPr>
        <w:t>INTRODUCTION</w:t>
      </w:r>
      <w:r w:rsidR="002E702E">
        <w:rPr>
          <w:noProof/>
        </w:rPr>
        <w:tab/>
      </w:r>
      <w:r w:rsidR="002E702E">
        <w:rPr>
          <w:noProof/>
        </w:rPr>
        <w:fldChar w:fldCharType="begin"/>
      </w:r>
      <w:r w:rsidR="002E702E">
        <w:rPr>
          <w:noProof/>
        </w:rPr>
        <w:instrText xml:space="preserve"> PAGEREF _Toc231357493 \h </w:instrText>
      </w:r>
      <w:r w:rsidR="002E702E">
        <w:rPr>
          <w:noProof/>
        </w:rPr>
      </w:r>
      <w:r w:rsidR="002E702E">
        <w:rPr>
          <w:noProof/>
        </w:rPr>
        <w:fldChar w:fldCharType="separate"/>
      </w:r>
      <w:r w:rsidR="002E702E">
        <w:rPr>
          <w:noProof/>
        </w:rPr>
        <w:t>4</w:t>
      </w:r>
      <w:r w:rsidR="002E702E">
        <w:rPr>
          <w:noProof/>
        </w:rPr>
        <w:fldChar w:fldCharType="end"/>
      </w:r>
    </w:p>
    <w:p w14:paraId="7D02A525"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GB"/>
        </w:rPr>
        <w:t>1.1</w:t>
      </w:r>
      <w:r>
        <w:rPr>
          <w:rFonts w:asciiTheme="minorHAnsi" w:eastAsiaTheme="minorEastAsia" w:hAnsiTheme="minorHAnsi" w:cstheme="minorBidi"/>
          <w:noProof/>
          <w:sz w:val="24"/>
          <w:szCs w:val="24"/>
          <w:lang w:val="en-US" w:eastAsia="ja-JP"/>
        </w:rPr>
        <w:tab/>
      </w:r>
      <w:r w:rsidRPr="00E17710">
        <w:rPr>
          <w:noProof/>
          <w:lang w:val="en-GB"/>
        </w:rPr>
        <w:t>Project Background</w:t>
      </w:r>
      <w:r>
        <w:rPr>
          <w:noProof/>
        </w:rPr>
        <w:tab/>
      </w:r>
      <w:r>
        <w:rPr>
          <w:noProof/>
        </w:rPr>
        <w:fldChar w:fldCharType="begin"/>
      </w:r>
      <w:r>
        <w:rPr>
          <w:noProof/>
        </w:rPr>
        <w:instrText xml:space="preserve"> PAGEREF _Toc231357494 \h </w:instrText>
      </w:r>
      <w:r>
        <w:rPr>
          <w:noProof/>
        </w:rPr>
      </w:r>
      <w:r>
        <w:rPr>
          <w:noProof/>
        </w:rPr>
        <w:fldChar w:fldCharType="separate"/>
      </w:r>
      <w:r>
        <w:rPr>
          <w:noProof/>
        </w:rPr>
        <w:t>4</w:t>
      </w:r>
      <w:r>
        <w:rPr>
          <w:noProof/>
        </w:rPr>
        <w:fldChar w:fldCharType="end"/>
      </w:r>
    </w:p>
    <w:p w14:paraId="69867D77"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GB"/>
        </w:rPr>
        <w:t>1.2</w:t>
      </w:r>
      <w:r>
        <w:rPr>
          <w:rFonts w:asciiTheme="minorHAnsi" w:eastAsiaTheme="minorEastAsia" w:hAnsiTheme="minorHAnsi" w:cstheme="minorBidi"/>
          <w:noProof/>
          <w:sz w:val="24"/>
          <w:szCs w:val="24"/>
          <w:lang w:val="en-US" w:eastAsia="ja-JP"/>
        </w:rPr>
        <w:tab/>
      </w:r>
      <w:r w:rsidRPr="00E17710">
        <w:rPr>
          <w:noProof/>
          <w:lang w:val="en-GB"/>
        </w:rPr>
        <w:t>Objectives</w:t>
      </w:r>
      <w:r>
        <w:rPr>
          <w:noProof/>
        </w:rPr>
        <w:tab/>
      </w:r>
      <w:r>
        <w:rPr>
          <w:noProof/>
        </w:rPr>
        <w:fldChar w:fldCharType="begin"/>
      </w:r>
      <w:r>
        <w:rPr>
          <w:noProof/>
        </w:rPr>
        <w:instrText xml:space="preserve"> PAGEREF _Toc231357495 \h </w:instrText>
      </w:r>
      <w:r>
        <w:rPr>
          <w:noProof/>
        </w:rPr>
      </w:r>
      <w:r>
        <w:rPr>
          <w:noProof/>
        </w:rPr>
        <w:fldChar w:fldCharType="separate"/>
      </w:r>
      <w:r>
        <w:rPr>
          <w:noProof/>
        </w:rPr>
        <w:t>4</w:t>
      </w:r>
      <w:r>
        <w:rPr>
          <w:noProof/>
        </w:rPr>
        <w:fldChar w:fldCharType="end"/>
      </w:r>
    </w:p>
    <w:p w14:paraId="67883657"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GB"/>
        </w:rPr>
        <w:t>1.3</w:t>
      </w:r>
      <w:r>
        <w:rPr>
          <w:rFonts w:asciiTheme="minorHAnsi" w:eastAsiaTheme="minorEastAsia" w:hAnsiTheme="minorHAnsi" w:cstheme="minorBidi"/>
          <w:noProof/>
          <w:sz w:val="24"/>
          <w:szCs w:val="24"/>
          <w:lang w:val="en-US" w:eastAsia="ja-JP"/>
        </w:rPr>
        <w:tab/>
      </w:r>
      <w:r w:rsidRPr="00E17710">
        <w:rPr>
          <w:noProof/>
          <w:lang w:val="en-GB"/>
        </w:rPr>
        <w:t>Study Area</w:t>
      </w:r>
      <w:r>
        <w:rPr>
          <w:noProof/>
        </w:rPr>
        <w:tab/>
      </w:r>
      <w:r>
        <w:rPr>
          <w:noProof/>
        </w:rPr>
        <w:fldChar w:fldCharType="begin"/>
      </w:r>
      <w:r>
        <w:rPr>
          <w:noProof/>
        </w:rPr>
        <w:instrText xml:space="preserve"> PAGEREF _Toc231357496 \h </w:instrText>
      </w:r>
      <w:r>
        <w:rPr>
          <w:noProof/>
        </w:rPr>
      </w:r>
      <w:r>
        <w:rPr>
          <w:noProof/>
        </w:rPr>
        <w:fldChar w:fldCharType="separate"/>
      </w:r>
      <w:r>
        <w:rPr>
          <w:noProof/>
        </w:rPr>
        <w:t>4</w:t>
      </w:r>
      <w:r>
        <w:rPr>
          <w:noProof/>
        </w:rPr>
        <w:fldChar w:fldCharType="end"/>
      </w:r>
    </w:p>
    <w:p w14:paraId="6F9987F6"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GB"/>
        </w:rPr>
        <w:t>1.4</w:t>
      </w:r>
      <w:r>
        <w:rPr>
          <w:rFonts w:asciiTheme="minorHAnsi" w:eastAsiaTheme="minorEastAsia" w:hAnsiTheme="minorHAnsi" w:cstheme="minorBidi"/>
          <w:noProof/>
          <w:sz w:val="24"/>
          <w:szCs w:val="24"/>
          <w:lang w:val="en-US" w:eastAsia="ja-JP"/>
        </w:rPr>
        <w:tab/>
      </w:r>
      <w:r w:rsidRPr="00E17710">
        <w:rPr>
          <w:noProof/>
          <w:lang w:val="en-GB"/>
        </w:rPr>
        <w:t>Proposed Development</w:t>
      </w:r>
      <w:r>
        <w:rPr>
          <w:noProof/>
        </w:rPr>
        <w:tab/>
      </w:r>
      <w:r>
        <w:rPr>
          <w:noProof/>
        </w:rPr>
        <w:fldChar w:fldCharType="begin"/>
      </w:r>
      <w:r>
        <w:rPr>
          <w:noProof/>
        </w:rPr>
        <w:instrText xml:space="preserve"> PAGEREF _Toc231357497 \h </w:instrText>
      </w:r>
      <w:r>
        <w:rPr>
          <w:noProof/>
        </w:rPr>
      </w:r>
      <w:r>
        <w:rPr>
          <w:noProof/>
        </w:rPr>
        <w:fldChar w:fldCharType="separate"/>
      </w:r>
      <w:r>
        <w:rPr>
          <w:noProof/>
        </w:rPr>
        <w:t>4</w:t>
      </w:r>
      <w:r>
        <w:rPr>
          <w:noProof/>
        </w:rPr>
        <w:fldChar w:fldCharType="end"/>
      </w:r>
    </w:p>
    <w:p w14:paraId="7001D8D5" w14:textId="77777777" w:rsidR="002E702E" w:rsidRDefault="002E702E">
      <w:pPr>
        <w:pStyle w:val="TOC1"/>
        <w:tabs>
          <w:tab w:val="left" w:pos="340"/>
          <w:tab w:val="right" w:leader="dot" w:pos="9015"/>
        </w:tabs>
        <w:rPr>
          <w:rFonts w:asciiTheme="minorHAnsi" w:eastAsiaTheme="minorEastAsia" w:hAnsiTheme="minorHAnsi" w:cstheme="minorBidi"/>
          <w:noProof/>
          <w:sz w:val="24"/>
          <w:szCs w:val="24"/>
          <w:lang w:val="en-US" w:eastAsia="ja-JP"/>
        </w:rPr>
      </w:pPr>
      <w:r w:rsidRPr="00E17710">
        <w:rPr>
          <w:noProof/>
          <w:lang w:val="en-US"/>
        </w:rPr>
        <w:t>2</w:t>
      </w:r>
      <w:r>
        <w:rPr>
          <w:rFonts w:asciiTheme="minorHAnsi" w:eastAsiaTheme="minorEastAsia" w:hAnsiTheme="minorHAnsi" w:cstheme="minorBidi"/>
          <w:noProof/>
          <w:sz w:val="24"/>
          <w:szCs w:val="24"/>
          <w:lang w:val="en-US" w:eastAsia="ja-JP"/>
        </w:rPr>
        <w:tab/>
      </w:r>
      <w:r w:rsidRPr="00E17710">
        <w:rPr>
          <w:noProof/>
          <w:lang w:val="en-US"/>
        </w:rPr>
        <w:t>METHODS</w:t>
      </w:r>
      <w:r>
        <w:rPr>
          <w:noProof/>
        </w:rPr>
        <w:tab/>
      </w:r>
      <w:r>
        <w:rPr>
          <w:noProof/>
        </w:rPr>
        <w:fldChar w:fldCharType="begin"/>
      </w:r>
      <w:r>
        <w:rPr>
          <w:noProof/>
        </w:rPr>
        <w:instrText xml:space="preserve"> PAGEREF _Toc231357498 \h </w:instrText>
      </w:r>
      <w:r>
        <w:rPr>
          <w:noProof/>
        </w:rPr>
      </w:r>
      <w:r>
        <w:rPr>
          <w:noProof/>
        </w:rPr>
        <w:fldChar w:fldCharType="separate"/>
      </w:r>
      <w:r>
        <w:rPr>
          <w:noProof/>
        </w:rPr>
        <w:t>5</w:t>
      </w:r>
      <w:r>
        <w:rPr>
          <w:noProof/>
        </w:rPr>
        <w:fldChar w:fldCharType="end"/>
      </w:r>
    </w:p>
    <w:p w14:paraId="11E855F3"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US"/>
        </w:rPr>
        <w:t>2.1</w:t>
      </w:r>
      <w:r>
        <w:rPr>
          <w:rFonts w:asciiTheme="minorHAnsi" w:eastAsiaTheme="minorEastAsia" w:hAnsiTheme="minorHAnsi" w:cstheme="minorBidi"/>
          <w:noProof/>
          <w:sz w:val="24"/>
          <w:szCs w:val="24"/>
          <w:lang w:val="en-US" w:eastAsia="ja-JP"/>
        </w:rPr>
        <w:tab/>
      </w:r>
      <w:r w:rsidRPr="00E17710">
        <w:rPr>
          <w:noProof/>
          <w:lang w:val="en-US"/>
        </w:rPr>
        <w:t>Taxonomy</w:t>
      </w:r>
      <w:r>
        <w:rPr>
          <w:noProof/>
        </w:rPr>
        <w:tab/>
      </w:r>
      <w:r>
        <w:rPr>
          <w:noProof/>
        </w:rPr>
        <w:fldChar w:fldCharType="begin"/>
      </w:r>
      <w:r>
        <w:rPr>
          <w:noProof/>
        </w:rPr>
        <w:instrText xml:space="preserve"> PAGEREF _Toc231357499 \h </w:instrText>
      </w:r>
      <w:r>
        <w:rPr>
          <w:noProof/>
        </w:rPr>
      </w:r>
      <w:r>
        <w:rPr>
          <w:noProof/>
        </w:rPr>
        <w:fldChar w:fldCharType="separate"/>
      </w:r>
      <w:r>
        <w:rPr>
          <w:noProof/>
        </w:rPr>
        <w:t>5</w:t>
      </w:r>
      <w:r>
        <w:rPr>
          <w:noProof/>
        </w:rPr>
        <w:fldChar w:fldCharType="end"/>
      </w:r>
    </w:p>
    <w:p w14:paraId="1935F46A"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US"/>
        </w:rPr>
        <w:t>2.2</w:t>
      </w:r>
      <w:r>
        <w:rPr>
          <w:rFonts w:asciiTheme="minorHAnsi" w:eastAsiaTheme="minorEastAsia" w:hAnsiTheme="minorHAnsi" w:cstheme="minorBidi"/>
          <w:noProof/>
          <w:sz w:val="24"/>
          <w:szCs w:val="24"/>
          <w:lang w:val="en-US" w:eastAsia="ja-JP"/>
        </w:rPr>
        <w:tab/>
      </w:r>
      <w:r w:rsidRPr="00E17710">
        <w:rPr>
          <w:noProof/>
          <w:lang w:val="en-US"/>
        </w:rPr>
        <w:t>Literature and Database Review</w:t>
      </w:r>
      <w:r>
        <w:rPr>
          <w:noProof/>
        </w:rPr>
        <w:tab/>
      </w:r>
      <w:r>
        <w:rPr>
          <w:noProof/>
        </w:rPr>
        <w:fldChar w:fldCharType="begin"/>
      </w:r>
      <w:r>
        <w:rPr>
          <w:noProof/>
        </w:rPr>
        <w:instrText xml:space="preserve"> PAGEREF _Toc231357500 \h </w:instrText>
      </w:r>
      <w:r>
        <w:rPr>
          <w:noProof/>
        </w:rPr>
      </w:r>
      <w:r>
        <w:rPr>
          <w:noProof/>
        </w:rPr>
        <w:fldChar w:fldCharType="separate"/>
      </w:r>
      <w:r>
        <w:rPr>
          <w:noProof/>
        </w:rPr>
        <w:t>5</w:t>
      </w:r>
      <w:r>
        <w:rPr>
          <w:noProof/>
        </w:rPr>
        <w:fldChar w:fldCharType="end"/>
      </w:r>
    </w:p>
    <w:p w14:paraId="45EE55A2"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GB"/>
        </w:rPr>
        <w:t>2.3</w:t>
      </w:r>
      <w:r>
        <w:rPr>
          <w:rFonts w:asciiTheme="minorHAnsi" w:eastAsiaTheme="minorEastAsia" w:hAnsiTheme="minorHAnsi" w:cstheme="minorBidi"/>
          <w:noProof/>
          <w:sz w:val="24"/>
          <w:szCs w:val="24"/>
          <w:lang w:val="en-US" w:eastAsia="ja-JP"/>
        </w:rPr>
        <w:tab/>
      </w:r>
      <w:r w:rsidRPr="00E17710">
        <w:rPr>
          <w:noProof/>
          <w:lang w:val="en-GB"/>
        </w:rPr>
        <w:t>Field Survey</w:t>
      </w:r>
      <w:r>
        <w:rPr>
          <w:noProof/>
        </w:rPr>
        <w:tab/>
      </w:r>
      <w:r>
        <w:rPr>
          <w:noProof/>
        </w:rPr>
        <w:fldChar w:fldCharType="begin"/>
      </w:r>
      <w:r>
        <w:rPr>
          <w:noProof/>
        </w:rPr>
        <w:instrText xml:space="preserve"> PAGEREF _Toc231357501 \h </w:instrText>
      </w:r>
      <w:r>
        <w:rPr>
          <w:noProof/>
        </w:rPr>
      </w:r>
      <w:r>
        <w:rPr>
          <w:noProof/>
        </w:rPr>
        <w:fldChar w:fldCharType="separate"/>
      </w:r>
      <w:r>
        <w:rPr>
          <w:noProof/>
        </w:rPr>
        <w:t>5</w:t>
      </w:r>
      <w:r>
        <w:rPr>
          <w:noProof/>
        </w:rPr>
        <w:fldChar w:fldCharType="end"/>
      </w:r>
    </w:p>
    <w:p w14:paraId="6357FA7F"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GB"/>
        </w:rPr>
        <w:t>2.4</w:t>
      </w:r>
      <w:r>
        <w:rPr>
          <w:rFonts w:asciiTheme="minorHAnsi" w:eastAsiaTheme="minorEastAsia" w:hAnsiTheme="minorHAnsi" w:cstheme="minorBidi"/>
          <w:noProof/>
          <w:sz w:val="24"/>
          <w:szCs w:val="24"/>
          <w:lang w:val="en-US" w:eastAsia="ja-JP"/>
        </w:rPr>
        <w:tab/>
      </w:r>
      <w:r w:rsidRPr="00E17710">
        <w:rPr>
          <w:noProof/>
          <w:lang w:val="en-GB"/>
        </w:rPr>
        <w:t>Limitations</w:t>
      </w:r>
      <w:r>
        <w:rPr>
          <w:noProof/>
        </w:rPr>
        <w:tab/>
      </w:r>
      <w:r>
        <w:rPr>
          <w:noProof/>
        </w:rPr>
        <w:fldChar w:fldCharType="begin"/>
      </w:r>
      <w:r>
        <w:rPr>
          <w:noProof/>
        </w:rPr>
        <w:instrText xml:space="preserve"> PAGEREF _Toc231357502 \h </w:instrText>
      </w:r>
      <w:r>
        <w:rPr>
          <w:noProof/>
        </w:rPr>
      </w:r>
      <w:r>
        <w:rPr>
          <w:noProof/>
        </w:rPr>
        <w:fldChar w:fldCharType="separate"/>
      </w:r>
      <w:r>
        <w:rPr>
          <w:noProof/>
        </w:rPr>
        <w:t>5</w:t>
      </w:r>
      <w:r>
        <w:rPr>
          <w:noProof/>
        </w:rPr>
        <w:fldChar w:fldCharType="end"/>
      </w:r>
    </w:p>
    <w:p w14:paraId="4131C163"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US"/>
        </w:rPr>
        <w:t>2.5</w:t>
      </w:r>
      <w:r>
        <w:rPr>
          <w:rFonts w:asciiTheme="minorHAnsi" w:eastAsiaTheme="minorEastAsia" w:hAnsiTheme="minorHAnsi" w:cstheme="minorBidi"/>
          <w:noProof/>
          <w:sz w:val="24"/>
          <w:szCs w:val="24"/>
          <w:lang w:val="en-US" w:eastAsia="ja-JP"/>
        </w:rPr>
        <w:tab/>
      </w:r>
      <w:r w:rsidRPr="00E17710">
        <w:rPr>
          <w:noProof/>
          <w:lang w:val="en-US"/>
        </w:rPr>
        <w:t>Defining Significance</w:t>
      </w:r>
      <w:r>
        <w:rPr>
          <w:noProof/>
        </w:rPr>
        <w:tab/>
      </w:r>
      <w:r>
        <w:rPr>
          <w:noProof/>
        </w:rPr>
        <w:fldChar w:fldCharType="begin"/>
      </w:r>
      <w:r>
        <w:rPr>
          <w:noProof/>
        </w:rPr>
        <w:instrText xml:space="preserve"> PAGEREF _Toc231357503 \h </w:instrText>
      </w:r>
      <w:r>
        <w:rPr>
          <w:noProof/>
        </w:rPr>
      </w:r>
      <w:r>
        <w:rPr>
          <w:noProof/>
        </w:rPr>
        <w:fldChar w:fldCharType="separate"/>
      </w:r>
      <w:r>
        <w:rPr>
          <w:noProof/>
        </w:rPr>
        <w:t>5</w:t>
      </w:r>
      <w:r>
        <w:rPr>
          <w:noProof/>
        </w:rPr>
        <w:fldChar w:fldCharType="end"/>
      </w:r>
    </w:p>
    <w:p w14:paraId="2CD4D858" w14:textId="77777777" w:rsidR="002E702E" w:rsidRDefault="002E702E">
      <w:pPr>
        <w:pStyle w:val="TOC1"/>
        <w:tabs>
          <w:tab w:val="left" w:pos="340"/>
          <w:tab w:val="right" w:leader="dot" w:pos="9015"/>
        </w:tabs>
        <w:rPr>
          <w:rFonts w:asciiTheme="minorHAnsi" w:eastAsiaTheme="minorEastAsia" w:hAnsiTheme="minorHAnsi" w:cstheme="minorBidi"/>
          <w:noProof/>
          <w:sz w:val="24"/>
          <w:szCs w:val="24"/>
          <w:lang w:val="en-US" w:eastAsia="ja-JP"/>
        </w:rPr>
      </w:pPr>
      <w:r w:rsidRPr="00E17710">
        <w:rPr>
          <w:noProof/>
          <w:lang w:val="en-US"/>
        </w:rPr>
        <w:t>3</w:t>
      </w:r>
      <w:r>
        <w:rPr>
          <w:rFonts w:asciiTheme="minorHAnsi" w:eastAsiaTheme="minorEastAsia" w:hAnsiTheme="minorHAnsi" w:cstheme="minorBidi"/>
          <w:noProof/>
          <w:sz w:val="24"/>
          <w:szCs w:val="24"/>
          <w:lang w:val="en-US" w:eastAsia="ja-JP"/>
        </w:rPr>
        <w:tab/>
      </w:r>
      <w:r w:rsidRPr="00E17710">
        <w:rPr>
          <w:noProof/>
          <w:lang w:val="en-US"/>
        </w:rPr>
        <w:t>RESULTS</w:t>
      </w:r>
      <w:r>
        <w:rPr>
          <w:noProof/>
        </w:rPr>
        <w:tab/>
      </w:r>
      <w:r>
        <w:rPr>
          <w:noProof/>
        </w:rPr>
        <w:fldChar w:fldCharType="begin"/>
      </w:r>
      <w:r>
        <w:rPr>
          <w:noProof/>
        </w:rPr>
        <w:instrText xml:space="preserve"> PAGEREF _Toc231357504 \h </w:instrText>
      </w:r>
      <w:r>
        <w:rPr>
          <w:noProof/>
        </w:rPr>
      </w:r>
      <w:r>
        <w:rPr>
          <w:noProof/>
        </w:rPr>
        <w:fldChar w:fldCharType="separate"/>
      </w:r>
      <w:r>
        <w:rPr>
          <w:noProof/>
        </w:rPr>
        <w:t>6</w:t>
      </w:r>
      <w:r>
        <w:rPr>
          <w:noProof/>
        </w:rPr>
        <w:fldChar w:fldCharType="end"/>
      </w:r>
    </w:p>
    <w:p w14:paraId="7C7C7897"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US"/>
        </w:rPr>
        <w:t>3.1</w:t>
      </w:r>
      <w:r>
        <w:rPr>
          <w:rFonts w:asciiTheme="minorHAnsi" w:eastAsiaTheme="minorEastAsia" w:hAnsiTheme="minorHAnsi" w:cstheme="minorBidi"/>
          <w:noProof/>
          <w:sz w:val="24"/>
          <w:szCs w:val="24"/>
          <w:lang w:val="en-US" w:eastAsia="ja-JP"/>
        </w:rPr>
        <w:tab/>
      </w:r>
      <w:r w:rsidRPr="00E17710">
        <w:rPr>
          <w:noProof/>
          <w:lang w:val="en-US"/>
        </w:rPr>
        <w:t>Ecological Vegetation Class</w:t>
      </w:r>
      <w:r>
        <w:rPr>
          <w:noProof/>
        </w:rPr>
        <w:tab/>
      </w:r>
      <w:r>
        <w:rPr>
          <w:noProof/>
        </w:rPr>
        <w:fldChar w:fldCharType="begin"/>
      </w:r>
      <w:r>
        <w:rPr>
          <w:noProof/>
        </w:rPr>
        <w:instrText xml:space="preserve"> PAGEREF _Toc231357505 \h </w:instrText>
      </w:r>
      <w:r>
        <w:rPr>
          <w:noProof/>
        </w:rPr>
      </w:r>
      <w:r>
        <w:rPr>
          <w:noProof/>
        </w:rPr>
        <w:fldChar w:fldCharType="separate"/>
      </w:r>
      <w:r>
        <w:rPr>
          <w:noProof/>
        </w:rPr>
        <w:t>6</w:t>
      </w:r>
      <w:r>
        <w:rPr>
          <w:noProof/>
        </w:rPr>
        <w:fldChar w:fldCharType="end"/>
      </w:r>
    </w:p>
    <w:p w14:paraId="4E2B23C7"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US"/>
        </w:rPr>
        <w:t>3.2</w:t>
      </w:r>
      <w:r>
        <w:rPr>
          <w:rFonts w:asciiTheme="minorHAnsi" w:eastAsiaTheme="minorEastAsia" w:hAnsiTheme="minorHAnsi" w:cstheme="minorBidi"/>
          <w:noProof/>
          <w:sz w:val="24"/>
          <w:szCs w:val="24"/>
          <w:lang w:val="en-US" w:eastAsia="ja-JP"/>
        </w:rPr>
        <w:tab/>
      </w:r>
      <w:r w:rsidRPr="00E17710">
        <w:rPr>
          <w:noProof/>
          <w:lang w:val="en-US"/>
        </w:rPr>
        <w:t>Flora</w:t>
      </w:r>
      <w:r>
        <w:rPr>
          <w:noProof/>
        </w:rPr>
        <w:tab/>
      </w:r>
      <w:r>
        <w:rPr>
          <w:noProof/>
        </w:rPr>
        <w:fldChar w:fldCharType="begin"/>
      </w:r>
      <w:r>
        <w:rPr>
          <w:noProof/>
        </w:rPr>
        <w:instrText xml:space="preserve"> PAGEREF _Toc231357506 \h </w:instrText>
      </w:r>
      <w:r>
        <w:rPr>
          <w:noProof/>
        </w:rPr>
      </w:r>
      <w:r>
        <w:rPr>
          <w:noProof/>
        </w:rPr>
        <w:fldChar w:fldCharType="separate"/>
      </w:r>
      <w:r>
        <w:rPr>
          <w:noProof/>
        </w:rPr>
        <w:t>6</w:t>
      </w:r>
      <w:r>
        <w:rPr>
          <w:noProof/>
        </w:rPr>
        <w:fldChar w:fldCharType="end"/>
      </w:r>
    </w:p>
    <w:p w14:paraId="68086AEC" w14:textId="77777777" w:rsidR="002E702E" w:rsidRDefault="002E702E">
      <w:pPr>
        <w:pStyle w:val="TOC3"/>
        <w:tabs>
          <w:tab w:val="left" w:pos="1040"/>
          <w:tab w:val="right" w:leader="dot" w:pos="9015"/>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Indigenous Species</w:t>
      </w:r>
      <w:r>
        <w:rPr>
          <w:noProof/>
        </w:rPr>
        <w:tab/>
      </w:r>
      <w:r>
        <w:rPr>
          <w:noProof/>
        </w:rPr>
        <w:fldChar w:fldCharType="begin"/>
      </w:r>
      <w:r>
        <w:rPr>
          <w:noProof/>
        </w:rPr>
        <w:instrText xml:space="preserve"> PAGEREF _Toc231357507 \h </w:instrText>
      </w:r>
      <w:r>
        <w:rPr>
          <w:noProof/>
        </w:rPr>
      </w:r>
      <w:r>
        <w:rPr>
          <w:noProof/>
        </w:rPr>
        <w:fldChar w:fldCharType="separate"/>
      </w:r>
      <w:r>
        <w:rPr>
          <w:noProof/>
        </w:rPr>
        <w:t>6</w:t>
      </w:r>
      <w:r>
        <w:rPr>
          <w:noProof/>
        </w:rPr>
        <w:fldChar w:fldCharType="end"/>
      </w:r>
    </w:p>
    <w:p w14:paraId="25FAD393"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US"/>
        </w:rPr>
        <w:t>3.3</w:t>
      </w:r>
      <w:r>
        <w:rPr>
          <w:rFonts w:asciiTheme="minorHAnsi" w:eastAsiaTheme="minorEastAsia" w:hAnsiTheme="minorHAnsi" w:cstheme="minorBidi"/>
          <w:noProof/>
          <w:sz w:val="24"/>
          <w:szCs w:val="24"/>
          <w:lang w:val="en-US" w:eastAsia="ja-JP"/>
        </w:rPr>
        <w:tab/>
      </w:r>
      <w:r w:rsidRPr="00E17710">
        <w:rPr>
          <w:noProof/>
          <w:lang w:val="en-US"/>
        </w:rPr>
        <w:t>Vegetation Condition</w:t>
      </w:r>
      <w:r>
        <w:rPr>
          <w:noProof/>
        </w:rPr>
        <w:tab/>
      </w:r>
      <w:r>
        <w:rPr>
          <w:noProof/>
        </w:rPr>
        <w:fldChar w:fldCharType="begin"/>
      </w:r>
      <w:r>
        <w:rPr>
          <w:noProof/>
        </w:rPr>
        <w:instrText xml:space="preserve"> PAGEREF _Toc231357508 \h </w:instrText>
      </w:r>
      <w:r>
        <w:rPr>
          <w:noProof/>
        </w:rPr>
      </w:r>
      <w:r>
        <w:rPr>
          <w:noProof/>
        </w:rPr>
        <w:fldChar w:fldCharType="separate"/>
      </w:r>
      <w:r>
        <w:rPr>
          <w:noProof/>
        </w:rPr>
        <w:t>7</w:t>
      </w:r>
      <w:r>
        <w:rPr>
          <w:noProof/>
        </w:rPr>
        <w:fldChar w:fldCharType="end"/>
      </w:r>
    </w:p>
    <w:p w14:paraId="22938133"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US"/>
        </w:rPr>
        <w:t>3.4</w:t>
      </w:r>
      <w:r>
        <w:rPr>
          <w:rFonts w:asciiTheme="minorHAnsi" w:eastAsiaTheme="minorEastAsia" w:hAnsiTheme="minorHAnsi" w:cstheme="minorBidi"/>
          <w:noProof/>
          <w:sz w:val="24"/>
          <w:szCs w:val="24"/>
          <w:lang w:val="en-US" w:eastAsia="ja-JP"/>
        </w:rPr>
        <w:tab/>
      </w:r>
      <w:r w:rsidRPr="00E17710">
        <w:rPr>
          <w:noProof/>
          <w:lang w:val="en-US"/>
        </w:rPr>
        <w:t>Listed Significant Species</w:t>
      </w:r>
      <w:r>
        <w:rPr>
          <w:noProof/>
        </w:rPr>
        <w:tab/>
      </w:r>
      <w:r>
        <w:rPr>
          <w:noProof/>
        </w:rPr>
        <w:fldChar w:fldCharType="begin"/>
      </w:r>
      <w:r>
        <w:rPr>
          <w:noProof/>
        </w:rPr>
        <w:instrText xml:space="preserve"> PAGEREF _Toc231357509 \h </w:instrText>
      </w:r>
      <w:r>
        <w:rPr>
          <w:noProof/>
        </w:rPr>
      </w:r>
      <w:r>
        <w:rPr>
          <w:noProof/>
        </w:rPr>
        <w:fldChar w:fldCharType="separate"/>
      </w:r>
      <w:r>
        <w:rPr>
          <w:noProof/>
        </w:rPr>
        <w:t>8</w:t>
      </w:r>
      <w:r>
        <w:rPr>
          <w:noProof/>
        </w:rPr>
        <w:fldChar w:fldCharType="end"/>
      </w:r>
    </w:p>
    <w:p w14:paraId="0FD0505B" w14:textId="77777777" w:rsidR="002E702E" w:rsidRDefault="002E702E">
      <w:pPr>
        <w:pStyle w:val="TOC1"/>
        <w:tabs>
          <w:tab w:val="left" w:pos="340"/>
          <w:tab w:val="right" w:leader="dot" w:pos="9015"/>
        </w:tabs>
        <w:rPr>
          <w:rFonts w:asciiTheme="minorHAnsi" w:eastAsiaTheme="minorEastAsia" w:hAnsiTheme="minorHAnsi" w:cstheme="minorBidi"/>
          <w:noProof/>
          <w:sz w:val="24"/>
          <w:szCs w:val="24"/>
          <w:lang w:val="en-US" w:eastAsia="ja-JP"/>
        </w:rPr>
      </w:pPr>
      <w:r w:rsidRPr="00E17710">
        <w:rPr>
          <w:noProof/>
          <w:lang w:val="en-US"/>
        </w:rPr>
        <w:t>4</w:t>
      </w:r>
      <w:r>
        <w:rPr>
          <w:rFonts w:asciiTheme="minorHAnsi" w:eastAsiaTheme="minorEastAsia" w:hAnsiTheme="minorHAnsi" w:cstheme="minorBidi"/>
          <w:noProof/>
          <w:sz w:val="24"/>
          <w:szCs w:val="24"/>
          <w:lang w:val="en-US" w:eastAsia="ja-JP"/>
        </w:rPr>
        <w:tab/>
      </w:r>
      <w:r w:rsidRPr="00E17710">
        <w:rPr>
          <w:noProof/>
          <w:lang w:val="en-US"/>
        </w:rPr>
        <w:t>LEGISLATION AND GOVERNMENT POLICY</w:t>
      </w:r>
      <w:r>
        <w:rPr>
          <w:noProof/>
        </w:rPr>
        <w:tab/>
      </w:r>
      <w:r>
        <w:rPr>
          <w:noProof/>
        </w:rPr>
        <w:fldChar w:fldCharType="begin"/>
      </w:r>
      <w:r>
        <w:rPr>
          <w:noProof/>
        </w:rPr>
        <w:instrText xml:space="preserve"> PAGEREF _Toc231357510 \h </w:instrText>
      </w:r>
      <w:r>
        <w:rPr>
          <w:noProof/>
        </w:rPr>
      </w:r>
      <w:r>
        <w:rPr>
          <w:noProof/>
        </w:rPr>
        <w:fldChar w:fldCharType="separate"/>
      </w:r>
      <w:r>
        <w:rPr>
          <w:noProof/>
        </w:rPr>
        <w:t>9</w:t>
      </w:r>
      <w:r>
        <w:rPr>
          <w:noProof/>
        </w:rPr>
        <w:fldChar w:fldCharType="end"/>
      </w:r>
    </w:p>
    <w:p w14:paraId="45A769D5"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US"/>
        </w:rPr>
        <w:t>4.1</w:t>
      </w:r>
      <w:r>
        <w:rPr>
          <w:rFonts w:asciiTheme="minorHAnsi" w:eastAsiaTheme="minorEastAsia" w:hAnsiTheme="minorHAnsi" w:cstheme="minorBidi"/>
          <w:noProof/>
          <w:sz w:val="24"/>
          <w:szCs w:val="24"/>
          <w:lang w:val="en-US" w:eastAsia="ja-JP"/>
        </w:rPr>
        <w:tab/>
      </w:r>
      <w:r w:rsidRPr="00E17710">
        <w:rPr>
          <w:noProof/>
          <w:lang w:val="en-US"/>
        </w:rPr>
        <w:t>Commonwealth</w:t>
      </w:r>
      <w:r>
        <w:rPr>
          <w:noProof/>
        </w:rPr>
        <w:tab/>
      </w:r>
      <w:r>
        <w:rPr>
          <w:noProof/>
        </w:rPr>
        <w:fldChar w:fldCharType="begin"/>
      </w:r>
      <w:r>
        <w:rPr>
          <w:noProof/>
        </w:rPr>
        <w:instrText xml:space="preserve"> PAGEREF _Toc231357511 \h </w:instrText>
      </w:r>
      <w:r>
        <w:rPr>
          <w:noProof/>
        </w:rPr>
      </w:r>
      <w:r>
        <w:rPr>
          <w:noProof/>
        </w:rPr>
        <w:fldChar w:fldCharType="separate"/>
      </w:r>
      <w:r>
        <w:rPr>
          <w:noProof/>
        </w:rPr>
        <w:t>9</w:t>
      </w:r>
      <w:r>
        <w:rPr>
          <w:noProof/>
        </w:rPr>
        <w:fldChar w:fldCharType="end"/>
      </w:r>
    </w:p>
    <w:p w14:paraId="4293E1C0" w14:textId="77777777" w:rsidR="002E702E" w:rsidRDefault="002E702E">
      <w:pPr>
        <w:pStyle w:val="TOC3"/>
        <w:tabs>
          <w:tab w:val="left" w:pos="1040"/>
          <w:tab w:val="right" w:leader="dot" w:pos="9015"/>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Environment Protection and Biodiversity Conservation Act (1999)</w:t>
      </w:r>
      <w:r>
        <w:rPr>
          <w:noProof/>
        </w:rPr>
        <w:tab/>
      </w:r>
      <w:r>
        <w:rPr>
          <w:noProof/>
        </w:rPr>
        <w:fldChar w:fldCharType="begin"/>
      </w:r>
      <w:r>
        <w:rPr>
          <w:noProof/>
        </w:rPr>
        <w:instrText xml:space="preserve"> PAGEREF _Toc231357512 \h </w:instrText>
      </w:r>
      <w:r>
        <w:rPr>
          <w:noProof/>
        </w:rPr>
      </w:r>
      <w:r>
        <w:rPr>
          <w:noProof/>
        </w:rPr>
        <w:fldChar w:fldCharType="separate"/>
      </w:r>
      <w:r>
        <w:rPr>
          <w:noProof/>
        </w:rPr>
        <w:t>9</w:t>
      </w:r>
      <w:r>
        <w:rPr>
          <w:noProof/>
        </w:rPr>
        <w:fldChar w:fldCharType="end"/>
      </w:r>
    </w:p>
    <w:p w14:paraId="3E4866A1" w14:textId="77777777" w:rsidR="002E702E" w:rsidRDefault="002E702E">
      <w:pPr>
        <w:pStyle w:val="TOC3"/>
        <w:tabs>
          <w:tab w:val="left" w:pos="1040"/>
          <w:tab w:val="right" w:leader="dot" w:pos="9015"/>
        </w:tabs>
        <w:rPr>
          <w:rFonts w:asciiTheme="minorHAnsi" w:eastAsiaTheme="minorEastAsia" w:hAnsiTheme="minorHAnsi" w:cstheme="minorBidi"/>
          <w:noProof/>
          <w:sz w:val="24"/>
          <w:szCs w:val="24"/>
          <w:lang w:val="en-US" w:eastAsia="ja-JP"/>
        </w:rPr>
      </w:pPr>
      <w:r w:rsidRPr="00E17710">
        <w:rPr>
          <w:noProof/>
          <w:lang w:val="en-US"/>
        </w:rPr>
        <w:t>4.1.2</w:t>
      </w:r>
      <w:r>
        <w:rPr>
          <w:rFonts w:asciiTheme="minorHAnsi" w:eastAsiaTheme="minorEastAsia" w:hAnsiTheme="minorHAnsi" w:cstheme="minorBidi"/>
          <w:noProof/>
          <w:sz w:val="24"/>
          <w:szCs w:val="24"/>
          <w:lang w:val="en-US" w:eastAsia="ja-JP"/>
        </w:rPr>
        <w:tab/>
      </w:r>
      <w:r w:rsidRPr="00E17710">
        <w:rPr>
          <w:noProof/>
          <w:lang w:val="en-US"/>
        </w:rPr>
        <w:t>Implications</w:t>
      </w:r>
      <w:r>
        <w:rPr>
          <w:noProof/>
        </w:rPr>
        <w:tab/>
      </w:r>
      <w:r>
        <w:rPr>
          <w:noProof/>
        </w:rPr>
        <w:fldChar w:fldCharType="begin"/>
      </w:r>
      <w:r>
        <w:rPr>
          <w:noProof/>
        </w:rPr>
        <w:instrText xml:space="preserve"> PAGEREF _Toc231357513 \h </w:instrText>
      </w:r>
      <w:r>
        <w:rPr>
          <w:noProof/>
        </w:rPr>
      </w:r>
      <w:r>
        <w:rPr>
          <w:noProof/>
        </w:rPr>
        <w:fldChar w:fldCharType="separate"/>
      </w:r>
      <w:r>
        <w:rPr>
          <w:noProof/>
        </w:rPr>
        <w:t>9</w:t>
      </w:r>
      <w:r>
        <w:rPr>
          <w:noProof/>
        </w:rPr>
        <w:fldChar w:fldCharType="end"/>
      </w:r>
    </w:p>
    <w:p w14:paraId="7A960D32" w14:textId="77777777" w:rsidR="002E702E" w:rsidRDefault="002E702E">
      <w:pPr>
        <w:pStyle w:val="TOC2"/>
        <w:tabs>
          <w:tab w:val="left" w:pos="690"/>
          <w:tab w:val="right" w:leader="dot" w:pos="9015"/>
        </w:tabs>
        <w:rPr>
          <w:rFonts w:asciiTheme="minorHAnsi" w:eastAsiaTheme="minorEastAsia" w:hAnsiTheme="minorHAnsi" w:cstheme="minorBidi"/>
          <w:noProof/>
          <w:sz w:val="24"/>
          <w:szCs w:val="24"/>
          <w:lang w:val="en-US" w:eastAsia="ja-JP"/>
        </w:rPr>
      </w:pPr>
      <w:r w:rsidRPr="00E17710">
        <w:rPr>
          <w:noProof/>
          <w:lang w:val="en-GB"/>
        </w:rPr>
        <w:t>4.2</w:t>
      </w:r>
      <w:r>
        <w:rPr>
          <w:rFonts w:asciiTheme="minorHAnsi" w:eastAsiaTheme="minorEastAsia" w:hAnsiTheme="minorHAnsi" w:cstheme="minorBidi"/>
          <w:noProof/>
          <w:sz w:val="24"/>
          <w:szCs w:val="24"/>
          <w:lang w:val="en-US" w:eastAsia="ja-JP"/>
        </w:rPr>
        <w:tab/>
      </w:r>
      <w:r w:rsidRPr="00E17710">
        <w:rPr>
          <w:noProof/>
          <w:lang w:val="en-GB"/>
        </w:rPr>
        <w:t>Native Vegetation Management Framework</w:t>
      </w:r>
      <w:r>
        <w:rPr>
          <w:noProof/>
        </w:rPr>
        <w:tab/>
      </w:r>
      <w:r>
        <w:rPr>
          <w:noProof/>
        </w:rPr>
        <w:fldChar w:fldCharType="begin"/>
      </w:r>
      <w:r>
        <w:rPr>
          <w:noProof/>
        </w:rPr>
        <w:instrText xml:space="preserve"> PAGEREF _Toc231357514 \h </w:instrText>
      </w:r>
      <w:r>
        <w:rPr>
          <w:noProof/>
        </w:rPr>
      </w:r>
      <w:r>
        <w:rPr>
          <w:noProof/>
        </w:rPr>
        <w:fldChar w:fldCharType="separate"/>
      </w:r>
      <w:r>
        <w:rPr>
          <w:noProof/>
        </w:rPr>
        <w:t>9</w:t>
      </w:r>
      <w:r>
        <w:rPr>
          <w:noProof/>
        </w:rPr>
        <w:fldChar w:fldCharType="end"/>
      </w:r>
    </w:p>
    <w:p w14:paraId="698527C7" w14:textId="77777777" w:rsidR="002E702E" w:rsidRDefault="002E702E">
      <w:pPr>
        <w:pStyle w:val="TOC3"/>
        <w:tabs>
          <w:tab w:val="left" w:pos="1040"/>
          <w:tab w:val="right" w:leader="dot" w:pos="9015"/>
        </w:tabs>
        <w:rPr>
          <w:rFonts w:asciiTheme="minorHAnsi" w:eastAsiaTheme="minorEastAsia" w:hAnsiTheme="minorHAnsi" w:cstheme="minorBidi"/>
          <w:noProof/>
          <w:sz w:val="24"/>
          <w:szCs w:val="24"/>
          <w:lang w:val="en-US" w:eastAsia="ja-JP"/>
        </w:rPr>
      </w:pPr>
      <w:r w:rsidRPr="00E17710">
        <w:rPr>
          <w:noProof/>
          <w:lang w:val="en-GB"/>
        </w:rPr>
        <w:t>4.2.1</w:t>
      </w:r>
      <w:r>
        <w:rPr>
          <w:rFonts w:asciiTheme="minorHAnsi" w:eastAsiaTheme="minorEastAsia" w:hAnsiTheme="minorHAnsi" w:cstheme="minorBidi"/>
          <w:noProof/>
          <w:sz w:val="24"/>
          <w:szCs w:val="24"/>
          <w:lang w:val="en-US" w:eastAsia="ja-JP"/>
        </w:rPr>
        <w:tab/>
      </w:r>
      <w:r w:rsidRPr="00E17710">
        <w:rPr>
          <w:noProof/>
          <w:lang w:val="en-GB"/>
        </w:rPr>
        <w:t>Net Gain</w:t>
      </w:r>
      <w:r>
        <w:rPr>
          <w:noProof/>
        </w:rPr>
        <w:tab/>
      </w:r>
      <w:r>
        <w:rPr>
          <w:noProof/>
        </w:rPr>
        <w:fldChar w:fldCharType="begin"/>
      </w:r>
      <w:r>
        <w:rPr>
          <w:noProof/>
        </w:rPr>
        <w:instrText xml:space="preserve"> PAGEREF _Toc231357515 \h </w:instrText>
      </w:r>
      <w:r>
        <w:rPr>
          <w:noProof/>
        </w:rPr>
      </w:r>
      <w:r>
        <w:rPr>
          <w:noProof/>
        </w:rPr>
        <w:fldChar w:fldCharType="separate"/>
      </w:r>
      <w:r>
        <w:rPr>
          <w:noProof/>
        </w:rPr>
        <w:t>9</w:t>
      </w:r>
      <w:r>
        <w:rPr>
          <w:noProof/>
        </w:rPr>
        <w:fldChar w:fldCharType="end"/>
      </w:r>
    </w:p>
    <w:p w14:paraId="3453FDCC" w14:textId="77777777" w:rsidR="002E702E" w:rsidRDefault="002E702E">
      <w:pPr>
        <w:pStyle w:val="TOC3"/>
        <w:tabs>
          <w:tab w:val="left" w:pos="1040"/>
          <w:tab w:val="right" w:leader="dot" w:pos="9015"/>
        </w:tabs>
        <w:rPr>
          <w:rFonts w:asciiTheme="minorHAnsi" w:eastAsiaTheme="minorEastAsia" w:hAnsiTheme="minorHAnsi" w:cstheme="minorBidi"/>
          <w:noProof/>
          <w:sz w:val="24"/>
          <w:szCs w:val="24"/>
          <w:lang w:val="en-US" w:eastAsia="ja-JP"/>
        </w:rPr>
      </w:pPr>
      <w:r w:rsidRPr="00E17710">
        <w:rPr>
          <w:noProof/>
          <w:lang w:val="en-US"/>
        </w:rPr>
        <w:t>4.2.2</w:t>
      </w:r>
      <w:r>
        <w:rPr>
          <w:rFonts w:asciiTheme="minorHAnsi" w:eastAsiaTheme="minorEastAsia" w:hAnsiTheme="minorHAnsi" w:cstheme="minorBidi"/>
          <w:noProof/>
          <w:sz w:val="24"/>
          <w:szCs w:val="24"/>
          <w:lang w:val="en-US" w:eastAsia="ja-JP"/>
        </w:rPr>
        <w:tab/>
      </w:r>
      <w:r w:rsidRPr="00E17710">
        <w:rPr>
          <w:noProof/>
          <w:lang w:val="en-US"/>
        </w:rPr>
        <w:t>Defining and Assessing Native Vegetation</w:t>
      </w:r>
      <w:r>
        <w:rPr>
          <w:noProof/>
        </w:rPr>
        <w:tab/>
      </w:r>
      <w:r>
        <w:rPr>
          <w:noProof/>
        </w:rPr>
        <w:fldChar w:fldCharType="begin"/>
      </w:r>
      <w:r>
        <w:rPr>
          <w:noProof/>
        </w:rPr>
        <w:instrText xml:space="preserve"> PAGEREF _Toc231357516 \h </w:instrText>
      </w:r>
      <w:r>
        <w:rPr>
          <w:noProof/>
        </w:rPr>
      </w:r>
      <w:r>
        <w:rPr>
          <w:noProof/>
        </w:rPr>
        <w:fldChar w:fldCharType="separate"/>
      </w:r>
      <w:r>
        <w:rPr>
          <w:noProof/>
        </w:rPr>
        <w:t>10</w:t>
      </w:r>
      <w:r>
        <w:rPr>
          <w:noProof/>
        </w:rPr>
        <w:fldChar w:fldCharType="end"/>
      </w:r>
    </w:p>
    <w:p w14:paraId="153C424B" w14:textId="77777777" w:rsidR="002E702E" w:rsidRDefault="002E702E">
      <w:pPr>
        <w:pStyle w:val="TOC3"/>
        <w:tabs>
          <w:tab w:val="left" w:pos="1040"/>
          <w:tab w:val="right" w:leader="dot" w:pos="9015"/>
        </w:tabs>
        <w:rPr>
          <w:rFonts w:asciiTheme="minorHAnsi" w:eastAsiaTheme="minorEastAsia" w:hAnsiTheme="minorHAnsi" w:cstheme="minorBidi"/>
          <w:noProof/>
          <w:sz w:val="24"/>
          <w:szCs w:val="24"/>
          <w:lang w:val="en-US" w:eastAsia="ja-JP"/>
        </w:rPr>
      </w:pPr>
      <w:r w:rsidRPr="00E17710">
        <w:rPr>
          <w:noProof/>
          <w:lang w:val="en-US"/>
        </w:rPr>
        <w:t>4.2.3</w:t>
      </w:r>
      <w:r>
        <w:rPr>
          <w:rFonts w:asciiTheme="minorHAnsi" w:eastAsiaTheme="minorEastAsia" w:hAnsiTheme="minorHAnsi" w:cstheme="minorBidi"/>
          <w:noProof/>
          <w:sz w:val="24"/>
          <w:szCs w:val="24"/>
          <w:lang w:val="en-US" w:eastAsia="ja-JP"/>
        </w:rPr>
        <w:tab/>
      </w:r>
      <w:r w:rsidRPr="00E17710">
        <w:rPr>
          <w:noProof/>
          <w:lang w:val="en-US"/>
        </w:rPr>
        <w:t>Habitat Hectares</w:t>
      </w:r>
      <w:r>
        <w:rPr>
          <w:noProof/>
        </w:rPr>
        <w:tab/>
      </w:r>
      <w:r>
        <w:rPr>
          <w:noProof/>
        </w:rPr>
        <w:fldChar w:fldCharType="begin"/>
      </w:r>
      <w:r>
        <w:rPr>
          <w:noProof/>
        </w:rPr>
        <w:instrText xml:space="preserve"> PAGEREF _Toc231357517 \h </w:instrText>
      </w:r>
      <w:r>
        <w:rPr>
          <w:noProof/>
        </w:rPr>
      </w:r>
      <w:r>
        <w:rPr>
          <w:noProof/>
        </w:rPr>
        <w:fldChar w:fldCharType="separate"/>
      </w:r>
      <w:r>
        <w:rPr>
          <w:noProof/>
        </w:rPr>
        <w:t>10</w:t>
      </w:r>
      <w:r>
        <w:rPr>
          <w:noProof/>
        </w:rPr>
        <w:fldChar w:fldCharType="end"/>
      </w:r>
    </w:p>
    <w:p w14:paraId="43C80027" w14:textId="77777777" w:rsidR="002E702E" w:rsidRDefault="002E702E">
      <w:pPr>
        <w:pStyle w:val="TOC3"/>
        <w:tabs>
          <w:tab w:val="left" w:pos="1040"/>
          <w:tab w:val="right" w:leader="dot" w:pos="9015"/>
        </w:tabs>
        <w:rPr>
          <w:rFonts w:asciiTheme="minorHAnsi" w:eastAsiaTheme="minorEastAsia" w:hAnsiTheme="minorHAnsi" w:cstheme="minorBidi"/>
          <w:noProof/>
          <w:sz w:val="24"/>
          <w:szCs w:val="24"/>
          <w:lang w:val="en-US" w:eastAsia="ja-JP"/>
        </w:rPr>
      </w:pPr>
      <w:r w:rsidRPr="00E17710">
        <w:rPr>
          <w:noProof/>
          <w:lang w:val="en-US"/>
        </w:rPr>
        <w:t>4.2.4</w:t>
      </w:r>
      <w:r>
        <w:rPr>
          <w:rFonts w:asciiTheme="minorHAnsi" w:eastAsiaTheme="minorEastAsia" w:hAnsiTheme="minorHAnsi" w:cstheme="minorBidi"/>
          <w:noProof/>
          <w:sz w:val="24"/>
          <w:szCs w:val="24"/>
          <w:lang w:val="en-US" w:eastAsia="ja-JP"/>
        </w:rPr>
        <w:tab/>
      </w:r>
      <w:r w:rsidRPr="00E17710">
        <w:rPr>
          <w:noProof/>
          <w:lang w:val="en-US"/>
        </w:rPr>
        <w:t>Implications</w:t>
      </w:r>
      <w:r>
        <w:rPr>
          <w:noProof/>
        </w:rPr>
        <w:tab/>
      </w:r>
      <w:r>
        <w:rPr>
          <w:noProof/>
        </w:rPr>
        <w:fldChar w:fldCharType="begin"/>
      </w:r>
      <w:r>
        <w:rPr>
          <w:noProof/>
        </w:rPr>
        <w:instrText xml:space="preserve"> PAGEREF _Toc231357518 \h </w:instrText>
      </w:r>
      <w:r>
        <w:rPr>
          <w:noProof/>
        </w:rPr>
      </w:r>
      <w:r>
        <w:rPr>
          <w:noProof/>
        </w:rPr>
        <w:fldChar w:fldCharType="separate"/>
      </w:r>
      <w:r>
        <w:rPr>
          <w:noProof/>
        </w:rPr>
        <w:t>10</w:t>
      </w:r>
      <w:r>
        <w:rPr>
          <w:noProof/>
        </w:rPr>
        <w:fldChar w:fldCharType="end"/>
      </w:r>
    </w:p>
    <w:p w14:paraId="6ABAA7E4" w14:textId="77777777" w:rsidR="002E702E" w:rsidRDefault="002E702E">
      <w:pPr>
        <w:pStyle w:val="TOC1"/>
        <w:tabs>
          <w:tab w:val="left" w:pos="340"/>
          <w:tab w:val="right" w:leader="dot" w:pos="9015"/>
        </w:tabs>
        <w:rPr>
          <w:rFonts w:asciiTheme="minorHAnsi" w:eastAsiaTheme="minorEastAsia" w:hAnsiTheme="minorHAnsi" w:cstheme="minorBidi"/>
          <w:noProof/>
          <w:sz w:val="24"/>
          <w:szCs w:val="24"/>
          <w:lang w:val="en-US" w:eastAsia="ja-JP"/>
        </w:rPr>
      </w:pPr>
      <w:r w:rsidRPr="00E17710">
        <w:rPr>
          <w:noProof/>
          <w:lang w:val="en-US"/>
        </w:rPr>
        <w:t>5</w:t>
      </w:r>
      <w:r>
        <w:rPr>
          <w:rFonts w:asciiTheme="minorHAnsi" w:eastAsiaTheme="minorEastAsia" w:hAnsiTheme="minorHAnsi" w:cstheme="minorBidi"/>
          <w:noProof/>
          <w:sz w:val="24"/>
          <w:szCs w:val="24"/>
          <w:lang w:val="en-US" w:eastAsia="ja-JP"/>
        </w:rPr>
        <w:tab/>
      </w:r>
      <w:r w:rsidRPr="00E17710">
        <w:rPr>
          <w:noProof/>
          <w:lang w:val="en-US"/>
        </w:rPr>
        <w:t>CONCLUSIONS</w:t>
      </w:r>
      <w:r>
        <w:rPr>
          <w:noProof/>
        </w:rPr>
        <w:tab/>
      </w:r>
      <w:r>
        <w:rPr>
          <w:noProof/>
        </w:rPr>
        <w:fldChar w:fldCharType="begin"/>
      </w:r>
      <w:r>
        <w:rPr>
          <w:noProof/>
        </w:rPr>
        <w:instrText xml:space="preserve"> PAGEREF _Toc231357519 \h </w:instrText>
      </w:r>
      <w:r>
        <w:rPr>
          <w:noProof/>
        </w:rPr>
      </w:r>
      <w:r>
        <w:rPr>
          <w:noProof/>
        </w:rPr>
        <w:fldChar w:fldCharType="separate"/>
      </w:r>
      <w:r>
        <w:rPr>
          <w:noProof/>
        </w:rPr>
        <w:t>11</w:t>
      </w:r>
      <w:r>
        <w:rPr>
          <w:noProof/>
        </w:rPr>
        <w:fldChar w:fldCharType="end"/>
      </w:r>
    </w:p>
    <w:p w14:paraId="15C7B9DC" w14:textId="77777777" w:rsidR="002E702E" w:rsidRDefault="002E702E">
      <w:pPr>
        <w:pStyle w:val="TOC1"/>
        <w:tabs>
          <w:tab w:val="right" w:leader="dot" w:pos="9015"/>
        </w:tabs>
        <w:rPr>
          <w:rFonts w:asciiTheme="minorHAnsi" w:eastAsiaTheme="minorEastAsia" w:hAnsiTheme="minorHAnsi" w:cstheme="minorBidi"/>
          <w:noProof/>
          <w:sz w:val="24"/>
          <w:szCs w:val="24"/>
          <w:lang w:val="en-US" w:eastAsia="ja-JP"/>
        </w:rPr>
      </w:pPr>
      <w:r w:rsidRPr="00E17710">
        <w:rPr>
          <w:noProof/>
          <w:lang w:val="en-US"/>
        </w:rPr>
        <w:t>Appendix 1 - ASSESSING CONSERVATION SIGNIFICANCE</w:t>
      </w:r>
      <w:r>
        <w:rPr>
          <w:noProof/>
        </w:rPr>
        <w:tab/>
      </w:r>
      <w:r>
        <w:rPr>
          <w:noProof/>
        </w:rPr>
        <w:fldChar w:fldCharType="begin"/>
      </w:r>
      <w:r>
        <w:rPr>
          <w:noProof/>
        </w:rPr>
        <w:instrText xml:space="preserve"> PAGEREF _Toc231357520 \h </w:instrText>
      </w:r>
      <w:r>
        <w:rPr>
          <w:noProof/>
        </w:rPr>
      </w:r>
      <w:r>
        <w:rPr>
          <w:noProof/>
        </w:rPr>
        <w:fldChar w:fldCharType="separate"/>
      </w:r>
      <w:r>
        <w:rPr>
          <w:noProof/>
        </w:rPr>
        <w:t>12</w:t>
      </w:r>
      <w:r>
        <w:rPr>
          <w:noProof/>
        </w:rPr>
        <w:fldChar w:fldCharType="end"/>
      </w:r>
    </w:p>
    <w:p w14:paraId="2A31F335" w14:textId="77777777" w:rsidR="002E702E" w:rsidRDefault="002E702E">
      <w:pPr>
        <w:pStyle w:val="TOC1"/>
        <w:tabs>
          <w:tab w:val="left" w:pos="340"/>
          <w:tab w:val="right" w:leader="dot" w:pos="9015"/>
        </w:tabs>
        <w:rPr>
          <w:rFonts w:asciiTheme="minorHAnsi" w:eastAsiaTheme="minorEastAsia" w:hAnsiTheme="minorHAnsi" w:cstheme="minorBidi"/>
          <w:noProof/>
          <w:sz w:val="24"/>
          <w:szCs w:val="24"/>
          <w:lang w:val="en-US" w:eastAsia="ja-JP"/>
        </w:rPr>
      </w:pPr>
      <w:r w:rsidRPr="00E17710">
        <w:rPr>
          <w:noProof/>
          <w:lang w:val="en-US"/>
        </w:rPr>
        <w:t>6</w:t>
      </w:r>
      <w:r>
        <w:rPr>
          <w:rFonts w:asciiTheme="minorHAnsi" w:eastAsiaTheme="minorEastAsia" w:hAnsiTheme="minorHAnsi" w:cstheme="minorBidi"/>
          <w:noProof/>
          <w:sz w:val="24"/>
          <w:szCs w:val="24"/>
          <w:lang w:val="en-US" w:eastAsia="ja-JP"/>
        </w:rPr>
        <w:tab/>
      </w:r>
      <w:r w:rsidRPr="00E17710">
        <w:rPr>
          <w:noProof/>
          <w:lang w:val="en-US"/>
        </w:rPr>
        <w:t>REFERENCES</w:t>
      </w:r>
      <w:r>
        <w:rPr>
          <w:noProof/>
        </w:rPr>
        <w:tab/>
      </w:r>
      <w:r>
        <w:rPr>
          <w:noProof/>
        </w:rPr>
        <w:fldChar w:fldCharType="begin"/>
      </w:r>
      <w:r>
        <w:rPr>
          <w:noProof/>
        </w:rPr>
        <w:instrText xml:space="preserve"> PAGEREF _Toc231357521 \h </w:instrText>
      </w:r>
      <w:r>
        <w:rPr>
          <w:noProof/>
        </w:rPr>
      </w:r>
      <w:r>
        <w:rPr>
          <w:noProof/>
        </w:rPr>
        <w:fldChar w:fldCharType="separate"/>
      </w:r>
      <w:r>
        <w:rPr>
          <w:noProof/>
        </w:rPr>
        <w:t>13</w:t>
      </w:r>
      <w:r>
        <w:rPr>
          <w:noProof/>
        </w:rPr>
        <w:fldChar w:fldCharType="end"/>
      </w:r>
    </w:p>
    <w:p w14:paraId="594BFA44" w14:textId="77777777" w:rsidR="002E702E" w:rsidRDefault="002E702E">
      <w:pPr>
        <w:pStyle w:val="TOC2"/>
        <w:tabs>
          <w:tab w:val="right" w:leader="dot" w:pos="9015"/>
        </w:tabs>
        <w:rPr>
          <w:rFonts w:asciiTheme="minorHAnsi" w:eastAsiaTheme="minorEastAsia" w:hAnsiTheme="minorHAnsi" w:cstheme="minorBidi"/>
          <w:noProof/>
          <w:sz w:val="24"/>
          <w:szCs w:val="24"/>
          <w:lang w:val="en-US" w:eastAsia="ja-JP"/>
        </w:rPr>
      </w:pPr>
      <w:r w:rsidRPr="00E17710">
        <w:rPr>
          <w:noProof/>
          <w:lang w:val="en-US"/>
        </w:rPr>
        <w:t>Map 1 Study Area location</w:t>
      </w:r>
      <w:r>
        <w:rPr>
          <w:noProof/>
        </w:rPr>
        <w:tab/>
      </w:r>
      <w:r>
        <w:rPr>
          <w:noProof/>
        </w:rPr>
        <w:fldChar w:fldCharType="begin"/>
      </w:r>
      <w:r>
        <w:rPr>
          <w:noProof/>
        </w:rPr>
        <w:instrText xml:space="preserve"> PAGEREF _Toc231357522 \h </w:instrText>
      </w:r>
      <w:r>
        <w:rPr>
          <w:noProof/>
        </w:rPr>
      </w:r>
      <w:r>
        <w:rPr>
          <w:noProof/>
        </w:rPr>
        <w:fldChar w:fldCharType="separate"/>
      </w:r>
      <w:r>
        <w:rPr>
          <w:noProof/>
        </w:rPr>
        <w:t>14</w:t>
      </w:r>
      <w:r>
        <w:rPr>
          <w:noProof/>
        </w:rPr>
        <w:fldChar w:fldCharType="end"/>
      </w:r>
    </w:p>
    <w:p w14:paraId="3A8B72D6" w14:textId="77777777" w:rsidR="002E4E77" w:rsidRDefault="002E4E77" w:rsidP="002E4E77">
      <w:pPr>
        <w:rPr>
          <w:sz w:val="24"/>
          <w:szCs w:val="24"/>
          <w:lang w:val="en-GB"/>
        </w:rPr>
      </w:pPr>
      <w:r>
        <w:rPr>
          <w:sz w:val="24"/>
          <w:szCs w:val="24"/>
          <w:lang w:val="en-GB"/>
        </w:rPr>
        <w:fldChar w:fldCharType="end"/>
      </w:r>
    </w:p>
    <w:p w14:paraId="12C15955" w14:textId="77777777" w:rsidR="002E4E77" w:rsidRDefault="002E4E77" w:rsidP="002E4E77">
      <w:pPr>
        <w:pStyle w:val="E-mailSignature"/>
        <w:rPr>
          <w:rFonts w:ascii="Stylus BT" w:hAnsi="Stylus BT"/>
          <w:b/>
          <w:bCs/>
          <w:i/>
          <w:iCs/>
          <w:color w:val="3366FF"/>
          <w:sz w:val="36"/>
          <w:szCs w:val="28"/>
        </w:rPr>
      </w:pPr>
    </w:p>
    <w:p w14:paraId="1E8CC056" w14:textId="77777777" w:rsidR="002E4E77" w:rsidRPr="00F014EF" w:rsidRDefault="002E4E77" w:rsidP="002E4E77">
      <w:pPr>
        <w:pStyle w:val="E-mailSignature"/>
        <w:rPr>
          <w:rFonts w:ascii="Franklin Gothic Medium" w:hAnsi="Franklin Gothic Medium" w:cs="Gill Sans"/>
          <w:b/>
          <w:bCs/>
          <w:iCs/>
          <w:color w:val="3366FF"/>
          <w:sz w:val="32"/>
        </w:rPr>
      </w:pPr>
      <w:r w:rsidRPr="00F014EF">
        <w:rPr>
          <w:rFonts w:ascii="Franklin Gothic Medium" w:hAnsi="Franklin Gothic Medium" w:cs="Gill Sans"/>
          <w:b/>
          <w:bCs/>
          <w:i/>
          <w:iCs/>
          <w:color w:val="3366FF"/>
          <w:sz w:val="32"/>
        </w:rPr>
        <w:t>Mark Trengove</w:t>
      </w:r>
      <w:r w:rsidRPr="00F014EF">
        <w:rPr>
          <w:rFonts w:ascii="Franklin Gothic Medium" w:hAnsi="Franklin Gothic Medium" w:cs="Gill Sans"/>
          <w:b/>
          <w:bCs/>
          <w:iCs/>
          <w:color w:val="3366FF"/>
          <w:sz w:val="32"/>
        </w:rPr>
        <w:t xml:space="preserve"> </w:t>
      </w:r>
      <w:r w:rsidRPr="00F014EF">
        <w:rPr>
          <w:rFonts w:ascii="Franklin Gothic Medium" w:hAnsi="Franklin Gothic Medium" w:cs="Gill Sans"/>
          <w:b/>
          <w:bCs/>
          <w:color w:val="3366FF"/>
          <w:sz w:val="32"/>
        </w:rPr>
        <w:t>Ecological Services</w:t>
      </w:r>
    </w:p>
    <w:p w14:paraId="18BB6E66" w14:textId="77777777" w:rsidR="002E4E77" w:rsidRPr="00F014EF" w:rsidRDefault="002E4E77" w:rsidP="002E4E77">
      <w:pPr>
        <w:pStyle w:val="E-mailSignature"/>
        <w:rPr>
          <w:rFonts w:ascii="Franklin Gothic Medium" w:hAnsi="Franklin Gothic Medium" w:cs="Gill Sans"/>
          <w:b/>
          <w:color w:val="000080"/>
          <w:sz w:val="28"/>
        </w:rPr>
      </w:pPr>
      <w:r>
        <w:rPr>
          <w:rFonts w:ascii="Franklin Gothic Medium" w:hAnsi="Franklin Gothic Medium" w:cs="Gill Sans"/>
          <w:b/>
          <w:color w:val="000080"/>
          <w:sz w:val="28"/>
        </w:rPr>
        <w:t>42 Aberdeen St Geelong West</w:t>
      </w:r>
    </w:p>
    <w:p w14:paraId="6986F9A5" w14:textId="77777777" w:rsidR="002E4E77" w:rsidRPr="00F014EF" w:rsidRDefault="002E4E77" w:rsidP="002E4E77">
      <w:pPr>
        <w:pStyle w:val="E-mailSignature"/>
        <w:rPr>
          <w:rFonts w:ascii="Franklin Gothic Medium" w:hAnsi="Franklin Gothic Medium" w:cs="Gill Sans"/>
          <w:b/>
          <w:color w:val="000080"/>
          <w:sz w:val="28"/>
        </w:rPr>
      </w:pPr>
      <w:r>
        <w:rPr>
          <w:rFonts w:ascii="Franklin Gothic Medium" w:hAnsi="Franklin Gothic Medium" w:cs="Gill Sans"/>
          <w:b/>
          <w:color w:val="000080"/>
          <w:sz w:val="28"/>
        </w:rPr>
        <w:t xml:space="preserve">PO Box 1502 </w:t>
      </w:r>
      <w:r w:rsidRPr="00F014EF">
        <w:rPr>
          <w:rFonts w:ascii="Franklin Gothic Medium" w:hAnsi="Franklin Gothic Medium" w:cs="Gill Sans"/>
          <w:b/>
          <w:color w:val="000080"/>
          <w:sz w:val="28"/>
        </w:rPr>
        <w:t xml:space="preserve">Geelong </w:t>
      </w:r>
      <w:r>
        <w:rPr>
          <w:rFonts w:ascii="Franklin Gothic Medium" w:hAnsi="Franklin Gothic Medium" w:cs="Gill Sans"/>
          <w:b/>
          <w:color w:val="000080"/>
          <w:sz w:val="28"/>
        </w:rPr>
        <w:t xml:space="preserve"> </w:t>
      </w:r>
      <w:r w:rsidRPr="00F014EF">
        <w:rPr>
          <w:rFonts w:ascii="Franklin Gothic Medium" w:hAnsi="Franklin Gothic Medium" w:cs="Gill Sans"/>
          <w:b/>
          <w:color w:val="000080"/>
          <w:sz w:val="28"/>
        </w:rPr>
        <w:t>3220</w:t>
      </w:r>
    </w:p>
    <w:p w14:paraId="7A2430CA" w14:textId="77777777" w:rsidR="002E4E77" w:rsidRPr="00F014EF" w:rsidRDefault="002E4E77" w:rsidP="002E4E77">
      <w:pPr>
        <w:pStyle w:val="E-mailSignature"/>
        <w:rPr>
          <w:rFonts w:ascii="Franklin Gothic Medium" w:hAnsi="Franklin Gothic Medium" w:cs="Gill Sans"/>
          <w:b/>
          <w:color w:val="000080"/>
          <w:sz w:val="28"/>
        </w:rPr>
      </w:pPr>
      <w:r w:rsidRPr="00F014EF">
        <w:rPr>
          <w:rFonts w:ascii="Franklin Gothic Medium" w:hAnsi="Franklin Gothic Medium" w:cs="Gill Sans"/>
          <w:b/>
          <w:color w:val="000080"/>
          <w:sz w:val="28"/>
        </w:rPr>
        <w:t>mtrengove@pipeline.com.au</w:t>
      </w:r>
    </w:p>
    <w:p w14:paraId="5970AD44" w14:textId="77777777" w:rsidR="002E4E77" w:rsidRPr="00457028" w:rsidRDefault="002E4E77" w:rsidP="002E4E77">
      <w:pPr>
        <w:pStyle w:val="E-mailSignature"/>
        <w:rPr>
          <w:rFonts w:ascii="Franklin Gothic Medium" w:hAnsi="Franklin Gothic Medium" w:cs="Gill Sans"/>
          <w:b/>
          <w:color w:val="000080"/>
          <w:sz w:val="28"/>
        </w:rPr>
      </w:pPr>
      <w:r w:rsidRPr="00F014EF">
        <w:rPr>
          <w:rFonts w:ascii="Franklin Gothic Medium" w:hAnsi="Franklin Gothic Medium" w:cs="Gill Sans"/>
          <w:b/>
          <w:color w:val="000080"/>
          <w:sz w:val="28"/>
        </w:rPr>
        <w:t>ph 03 52298087</w:t>
      </w:r>
    </w:p>
    <w:p w14:paraId="52B3FB85" w14:textId="77777777" w:rsidR="002E4E77" w:rsidRDefault="002E4E77" w:rsidP="002E4E77">
      <w:pPr>
        <w:rPr>
          <w:sz w:val="24"/>
          <w:szCs w:val="24"/>
          <w:lang w:val="en-GB"/>
        </w:rPr>
      </w:pPr>
    </w:p>
    <w:p w14:paraId="5DC4F3C8" w14:textId="77777777" w:rsidR="002E4E77" w:rsidRDefault="002E4E77" w:rsidP="002E4E77">
      <w:pPr>
        <w:rPr>
          <w:sz w:val="24"/>
          <w:szCs w:val="24"/>
          <w:lang w:val="en-GB"/>
        </w:rPr>
      </w:pPr>
    </w:p>
    <w:p w14:paraId="67C93105" w14:textId="77777777" w:rsidR="002E4E77" w:rsidRDefault="002E4E77" w:rsidP="002E4E77">
      <w:pPr>
        <w:rPr>
          <w:sz w:val="24"/>
          <w:szCs w:val="24"/>
          <w:lang w:val="en-GB"/>
        </w:rPr>
      </w:pPr>
    </w:p>
    <w:p w14:paraId="2C6A8634" w14:textId="77777777" w:rsidR="002E4E77" w:rsidRDefault="002E4E77" w:rsidP="002E4E77">
      <w:pPr>
        <w:jc w:val="both"/>
        <w:rPr>
          <w:rFonts w:ascii="Arial" w:hAnsi="Arial" w:cs="Arial"/>
          <w:b/>
        </w:rPr>
      </w:pPr>
    </w:p>
    <w:p w14:paraId="7C4D52BF" w14:textId="77777777" w:rsidR="002E4E77" w:rsidRPr="008051DD" w:rsidRDefault="002E4E77" w:rsidP="002E4E77">
      <w:pPr>
        <w:jc w:val="both"/>
        <w:rPr>
          <w:rFonts w:ascii="Arial" w:hAnsi="Arial" w:cs="Arial"/>
          <w:b/>
        </w:rPr>
      </w:pPr>
      <w:r>
        <w:rPr>
          <w:rFonts w:ascii="Arial" w:hAnsi="Arial" w:cs="Arial"/>
          <w:b/>
        </w:rPr>
        <w:t xml:space="preserve">Copyright </w:t>
      </w:r>
      <w:r w:rsidRPr="008051DD">
        <w:rPr>
          <w:rFonts w:ascii="Arial" w:hAnsi="Arial" w:cs="Arial"/>
          <w:b/>
        </w:rPr>
        <w:t xml:space="preserve">© Mark Trengove Ecological Services </w:t>
      </w:r>
    </w:p>
    <w:p w14:paraId="3D6C623F" w14:textId="77777777" w:rsidR="002E4E77" w:rsidRDefault="002E4E77" w:rsidP="002E4E77">
      <w:pPr>
        <w:jc w:val="both"/>
        <w:rPr>
          <w:rFonts w:ascii="Arial" w:hAnsi="Arial" w:cs="Arial"/>
        </w:rPr>
      </w:pPr>
      <w:r w:rsidRPr="008051DD">
        <w:rPr>
          <w:rFonts w:ascii="Arial" w:hAnsi="Arial" w:cs="Arial"/>
        </w:rPr>
        <w:t>This document is subject to copyright and may only be used for the purposes for which it was commissioned. The use of this document in whole or part without the permission of Mark Trengove Ecological Services is an infringement of copyright</w:t>
      </w:r>
      <w:r>
        <w:rPr>
          <w:rFonts w:ascii="Arial" w:hAnsi="Arial" w:cs="Arial"/>
        </w:rPr>
        <w:t>.</w:t>
      </w:r>
    </w:p>
    <w:p w14:paraId="0201E448" w14:textId="77777777" w:rsidR="002E4E77" w:rsidRDefault="002E4E77" w:rsidP="002E4E77">
      <w:pPr>
        <w:jc w:val="both"/>
        <w:rPr>
          <w:rFonts w:ascii="Arial" w:hAnsi="Arial" w:cs="Arial"/>
        </w:rPr>
      </w:pPr>
    </w:p>
    <w:p w14:paraId="1D9F4605" w14:textId="77777777" w:rsidR="002E4E77" w:rsidRPr="008051DD" w:rsidRDefault="002E4E77" w:rsidP="002E4E77">
      <w:pPr>
        <w:jc w:val="both"/>
        <w:rPr>
          <w:rFonts w:ascii="Arial" w:hAnsi="Arial" w:cs="Arial"/>
          <w:b/>
        </w:rPr>
      </w:pPr>
      <w:r w:rsidRPr="008051DD">
        <w:rPr>
          <w:rFonts w:ascii="Arial" w:hAnsi="Arial" w:cs="Arial"/>
          <w:b/>
        </w:rPr>
        <w:t>Disclaimer</w:t>
      </w:r>
    </w:p>
    <w:p w14:paraId="024DF993" w14:textId="77777777" w:rsidR="002E4E77" w:rsidRPr="008051DD" w:rsidRDefault="002E4E77" w:rsidP="002E4E77">
      <w:pPr>
        <w:jc w:val="both"/>
        <w:rPr>
          <w:rFonts w:ascii="Arial" w:hAnsi="Arial" w:cs="Arial"/>
        </w:rPr>
      </w:pPr>
      <w:r>
        <w:rPr>
          <w:rFonts w:ascii="Arial" w:hAnsi="Arial" w:cs="Arial"/>
        </w:rPr>
        <w:t>Although Mark Trengove Ecological Services have taken all the necessary steps to ensure that an accurate document has been prepared, no liability is accepted for any damages or loss incurred as a result of reliance placed upon the report or its contents.</w:t>
      </w:r>
    </w:p>
    <w:p w14:paraId="046C3906" w14:textId="77777777" w:rsidR="002E4E77" w:rsidRDefault="002E4E77" w:rsidP="002E4E77">
      <w:pPr>
        <w:rPr>
          <w:sz w:val="24"/>
          <w:szCs w:val="24"/>
          <w:lang w:val="en-GB"/>
        </w:rPr>
      </w:pPr>
      <w:r>
        <w:rPr>
          <w:sz w:val="24"/>
          <w:szCs w:val="24"/>
          <w:lang w:val="en-GB"/>
        </w:rPr>
        <w:br w:type="page"/>
      </w:r>
    </w:p>
    <w:p w14:paraId="46D44CA2" w14:textId="77777777" w:rsidR="002E4E77" w:rsidRPr="001114A0" w:rsidRDefault="002E4E77" w:rsidP="002E4E77">
      <w:pPr>
        <w:pStyle w:val="Heading1"/>
        <w:rPr>
          <w:lang w:val="en-GB"/>
        </w:rPr>
      </w:pPr>
      <w:bookmarkStart w:id="1" w:name="_Toc231357493"/>
      <w:r>
        <w:rPr>
          <w:lang w:val="en-GB"/>
        </w:rPr>
        <w:lastRenderedPageBreak/>
        <w:t>1</w:t>
      </w:r>
      <w:r>
        <w:rPr>
          <w:lang w:val="en-GB"/>
        </w:rPr>
        <w:tab/>
        <w:t>INTRODUCTION</w:t>
      </w:r>
      <w:bookmarkEnd w:id="1"/>
      <w:r>
        <w:rPr>
          <w:lang w:val="en-GB"/>
        </w:rPr>
        <w:t xml:space="preserve"> </w:t>
      </w:r>
    </w:p>
    <w:p w14:paraId="598CCF30" w14:textId="77777777" w:rsidR="002E4E77" w:rsidRDefault="002E4E77" w:rsidP="002E4E77">
      <w:pPr>
        <w:pStyle w:val="Heading2"/>
        <w:rPr>
          <w:lang w:val="en-GB"/>
        </w:rPr>
      </w:pPr>
      <w:bookmarkStart w:id="2" w:name="_Toc231357494"/>
      <w:r>
        <w:rPr>
          <w:lang w:val="en-GB"/>
        </w:rPr>
        <w:t>1.1</w:t>
      </w:r>
      <w:r>
        <w:rPr>
          <w:lang w:val="en-GB"/>
        </w:rPr>
        <w:tab/>
        <w:t>Project Background</w:t>
      </w:r>
      <w:bookmarkEnd w:id="2"/>
      <w:r>
        <w:rPr>
          <w:lang w:val="en-GB"/>
        </w:rPr>
        <w:t xml:space="preserve"> </w:t>
      </w:r>
    </w:p>
    <w:p w14:paraId="09F54805" w14:textId="77777777" w:rsidR="002E4E77" w:rsidRDefault="002E4E77" w:rsidP="002E4E77">
      <w:pPr>
        <w:rPr>
          <w:sz w:val="24"/>
          <w:szCs w:val="24"/>
          <w:lang w:val="en-GB"/>
        </w:rPr>
      </w:pPr>
    </w:p>
    <w:p w14:paraId="21D8AAA8" w14:textId="634421C1" w:rsidR="002E4E77" w:rsidRDefault="00D566D6" w:rsidP="002E4E77">
      <w:pPr>
        <w:rPr>
          <w:sz w:val="24"/>
          <w:szCs w:val="24"/>
          <w:lang w:val="en-GB"/>
        </w:rPr>
      </w:pPr>
      <w:r>
        <w:rPr>
          <w:sz w:val="24"/>
          <w:szCs w:val="24"/>
          <w:lang w:val="en-GB"/>
        </w:rPr>
        <w:t xml:space="preserve">Land at </w:t>
      </w:r>
      <w:r w:rsidR="002E4E77">
        <w:rPr>
          <w:sz w:val="24"/>
          <w:szCs w:val="24"/>
          <w:lang w:val="en-GB"/>
        </w:rPr>
        <w:t>50 Canterbury Road West, Lara, is proposed to be developed for residential use.  This report was commissioned by Point Cook P/L to assess the quantity and significance of any indigenous flora and fauna habitat that might be present in the subject site.</w:t>
      </w:r>
    </w:p>
    <w:p w14:paraId="1017A369" w14:textId="77777777" w:rsidR="002E4E77" w:rsidRDefault="002E4E77" w:rsidP="002E4E77">
      <w:pPr>
        <w:rPr>
          <w:sz w:val="24"/>
          <w:szCs w:val="24"/>
          <w:lang w:val="en-GB"/>
        </w:rPr>
      </w:pPr>
    </w:p>
    <w:p w14:paraId="75E4A558" w14:textId="77777777" w:rsidR="002E4E77" w:rsidRDefault="002E4E77" w:rsidP="002E4E77">
      <w:pPr>
        <w:pStyle w:val="Heading2"/>
        <w:rPr>
          <w:lang w:val="en-GB"/>
        </w:rPr>
      </w:pPr>
      <w:bookmarkStart w:id="3" w:name="_Toc231357495"/>
      <w:r>
        <w:rPr>
          <w:lang w:val="en-GB"/>
        </w:rPr>
        <w:t>1.2</w:t>
      </w:r>
      <w:r>
        <w:rPr>
          <w:lang w:val="en-GB"/>
        </w:rPr>
        <w:tab/>
        <w:t>Objectives</w:t>
      </w:r>
      <w:bookmarkEnd w:id="3"/>
      <w:r>
        <w:rPr>
          <w:lang w:val="en-GB"/>
        </w:rPr>
        <w:t xml:space="preserve"> </w:t>
      </w:r>
    </w:p>
    <w:p w14:paraId="5FA815A1" w14:textId="77777777" w:rsidR="002E4E77" w:rsidRDefault="002E4E77" w:rsidP="002E4E77">
      <w:pPr>
        <w:rPr>
          <w:sz w:val="24"/>
          <w:szCs w:val="24"/>
          <w:lang w:val="en-GB"/>
        </w:rPr>
      </w:pPr>
    </w:p>
    <w:p w14:paraId="4E52BAA6" w14:textId="77777777" w:rsidR="002E4E77" w:rsidRDefault="002E4E77" w:rsidP="002E4E77">
      <w:pPr>
        <w:rPr>
          <w:sz w:val="24"/>
          <w:szCs w:val="24"/>
          <w:lang w:val="en-GB"/>
        </w:rPr>
      </w:pPr>
      <w:r>
        <w:rPr>
          <w:sz w:val="24"/>
          <w:szCs w:val="24"/>
          <w:lang w:val="en-GB"/>
        </w:rPr>
        <w:t>The objectives of this investigation are to:</w:t>
      </w:r>
    </w:p>
    <w:p w14:paraId="56CF4121" w14:textId="77777777" w:rsidR="002E4E77" w:rsidRDefault="002E4E77" w:rsidP="002E4E77">
      <w:pPr>
        <w:pStyle w:val="Level1"/>
        <w:tabs>
          <w:tab w:val="left" w:pos="720"/>
        </w:tabs>
        <w:ind w:left="0"/>
        <w:rPr>
          <w:lang w:val="en-GB"/>
        </w:rPr>
      </w:pPr>
    </w:p>
    <w:p w14:paraId="68026C1F" w14:textId="77777777" w:rsidR="002E4E77" w:rsidRDefault="002E4E77" w:rsidP="002E4E77">
      <w:pPr>
        <w:pStyle w:val="Level1"/>
        <w:numPr>
          <w:ilvl w:val="0"/>
          <w:numId w:val="1"/>
        </w:numPr>
        <w:tabs>
          <w:tab w:val="left" w:pos="720"/>
        </w:tabs>
        <w:ind w:left="720" w:hanging="720"/>
        <w:rPr>
          <w:lang w:val="en-GB"/>
        </w:rPr>
      </w:pPr>
      <w:r>
        <w:rPr>
          <w:lang w:val="en-GB"/>
        </w:rPr>
        <w:t>Describe the flora values of the land.</w:t>
      </w:r>
    </w:p>
    <w:p w14:paraId="3FFAD8FF" w14:textId="77777777" w:rsidR="002E4E77" w:rsidRDefault="002E4E77" w:rsidP="002E4E77">
      <w:pPr>
        <w:pStyle w:val="Level1"/>
        <w:numPr>
          <w:ilvl w:val="0"/>
          <w:numId w:val="1"/>
        </w:numPr>
        <w:tabs>
          <w:tab w:val="left" w:pos="720"/>
        </w:tabs>
        <w:ind w:left="720" w:hanging="720"/>
        <w:rPr>
          <w:lang w:val="en-GB"/>
        </w:rPr>
      </w:pPr>
      <w:r>
        <w:rPr>
          <w:lang w:val="en-GB"/>
        </w:rPr>
        <w:t>Evaluate the conservation significance of the land.</w:t>
      </w:r>
    </w:p>
    <w:p w14:paraId="15639285" w14:textId="77777777" w:rsidR="002E4E77" w:rsidRDefault="002E4E77" w:rsidP="002E4E77">
      <w:pPr>
        <w:pStyle w:val="Level1"/>
        <w:numPr>
          <w:ilvl w:val="0"/>
          <w:numId w:val="1"/>
        </w:numPr>
        <w:tabs>
          <w:tab w:val="left" w:pos="720"/>
        </w:tabs>
        <w:ind w:left="720" w:hanging="720"/>
        <w:rPr>
          <w:lang w:val="en-GB"/>
        </w:rPr>
      </w:pPr>
      <w:r>
        <w:rPr>
          <w:lang w:val="en-GB"/>
        </w:rPr>
        <w:t>Assess any potential impacts of the proposed development.</w:t>
      </w:r>
    </w:p>
    <w:p w14:paraId="27F8B0AA" w14:textId="77777777" w:rsidR="002E4E77" w:rsidRDefault="002E4E77" w:rsidP="002E4E77">
      <w:pPr>
        <w:pStyle w:val="Level1"/>
        <w:numPr>
          <w:ilvl w:val="0"/>
          <w:numId w:val="1"/>
        </w:numPr>
        <w:tabs>
          <w:tab w:val="left" w:pos="720"/>
        </w:tabs>
        <w:ind w:left="720" w:hanging="720"/>
        <w:rPr>
          <w:lang w:val="en-GB"/>
        </w:rPr>
      </w:pPr>
      <w:r>
        <w:rPr>
          <w:lang w:val="en-GB"/>
        </w:rPr>
        <w:t>Discuss the implications of relevant government policy and legislation.</w:t>
      </w:r>
    </w:p>
    <w:p w14:paraId="0A9E3404" w14:textId="77777777" w:rsidR="002E4E77" w:rsidRDefault="002E4E77" w:rsidP="002E4E77">
      <w:pPr>
        <w:numPr>
          <w:ilvl w:val="12"/>
          <w:numId w:val="0"/>
        </w:numPr>
        <w:rPr>
          <w:sz w:val="24"/>
          <w:szCs w:val="24"/>
          <w:lang w:val="en-GB"/>
        </w:rPr>
      </w:pPr>
    </w:p>
    <w:p w14:paraId="723E3127" w14:textId="77777777" w:rsidR="002E4E77" w:rsidRDefault="002E4E77" w:rsidP="002E4E77">
      <w:pPr>
        <w:pStyle w:val="Heading2"/>
        <w:rPr>
          <w:lang w:val="en-GB"/>
        </w:rPr>
      </w:pPr>
      <w:bookmarkStart w:id="4" w:name="_Toc231357496"/>
      <w:r>
        <w:rPr>
          <w:lang w:val="en-GB"/>
        </w:rPr>
        <w:t>1.3</w:t>
      </w:r>
      <w:r>
        <w:rPr>
          <w:lang w:val="en-GB"/>
        </w:rPr>
        <w:tab/>
        <w:t>Study Area</w:t>
      </w:r>
      <w:bookmarkEnd w:id="4"/>
      <w:r>
        <w:rPr>
          <w:lang w:val="en-GB"/>
        </w:rPr>
        <w:t xml:space="preserve"> </w:t>
      </w:r>
    </w:p>
    <w:p w14:paraId="56F08BBE" w14:textId="77777777" w:rsidR="002E4E77" w:rsidRDefault="002E4E77" w:rsidP="002E4E77">
      <w:pPr>
        <w:numPr>
          <w:ilvl w:val="12"/>
          <w:numId w:val="0"/>
        </w:numPr>
        <w:rPr>
          <w:sz w:val="24"/>
          <w:szCs w:val="24"/>
          <w:lang w:val="en-GB"/>
        </w:rPr>
      </w:pPr>
    </w:p>
    <w:p w14:paraId="652DEB7C" w14:textId="7AA8A85A" w:rsidR="002E4E77" w:rsidRDefault="002E4E77" w:rsidP="002E4E77">
      <w:pPr>
        <w:numPr>
          <w:ilvl w:val="12"/>
          <w:numId w:val="0"/>
        </w:numPr>
        <w:rPr>
          <w:sz w:val="24"/>
          <w:szCs w:val="24"/>
          <w:lang w:val="en-GB"/>
        </w:rPr>
      </w:pPr>
      <w:r>
        <w:rPr>
          <w:sz w:val="24"/>
          <w:szCs w:val="24"/>
          <w:lang w:val="en-GB"/>
        </w:rPr>
        <w:t xml:space="preserve">The study area is comprised of </w:t>
      </w:r>
      <w:r w:rsidR="00D566D6">
        <w:rPr>
          <w:sz w:val="24"/>
          <w:szCs w:val="24"/>
          <w:lang w:val="en-GB"/>
        </w:rPr>
        <w:t xml:space="preserve">the land at </w:t>
      </w:r>
      <w:r>
        <w:rPr>
          <w:sz w:val="24"/>
          <w:szCs w:val="24"/>
          <w:lang w:val="en-GB"/>
        </w:rPr>
        <w:t>50 Canterbury Road West, Lara</w:t>
      </w:r>
      <w:r w:rsidR="00D566D6">
        <w:rPr>
          <w:sz w:val="24"/>
          <w:szCs w:val="24"/>
          <w:lang w:val="en-GB"/>
        </w:rPr>
        <w:t xml:space="preserve"> (approximately 8.1 ha)</w:t>
      </w:r>
      <w:r>
        <w:rPr>
          <w:sz w:val="24"/>
          <w:szCs w:val="24"/>
          <w:lang w:val="en-GB"/>
        </w:rPr>
        <w:t xml:space="preserve">, located within the City of Greater Geelong. The site is within the Victorian Volcanic Plains bioregion (NRE 2002) and is located within the Corangamite Catchment Management Authority region. </w:t>
      </w:r>
    </w:p>
    <w:p w14:paraId="2DAFF0BB" w14:textId="77777777" w:rsidR="002E4E77" w:rsidRDefault="002E4E77" w:rsidP="002E4E77">
      <w:pPr>
        <w:numPr>
          <w:ilvl w:val="12"/>
          <w:numId w:val="0"/>
        </w:numPr>
        <w:rPr>
          <w:sz w:val="24"/>
          <w:szCs w:val="24"/>
          <w:lang w:val="en-GB"/>
        </w:rPr>
      </w:pPr>
    </w:p>
    <w:p w14:paraId="51B2F300" w14:textId="3B938D97" w:rsidR="002E4E77" w:rsidRDefault="002E4E77" w:rsidP="002E4E77">
      <w:pPr>
        <w:numPr>
          <w:ilvl w:val="12"/>
          <w:numId w:val="0"/>
        </w:numPr>
        <w:rPr>
          <w:sz w:val="24"/>
          <w:szCs w:val="24"/>
          <w:lang w:val="en-GB"/>
        </w:rPr>
      </w:pPr>
      <w:r>
        <w:rPr>
          <w:sz w:val="24"/>
          <w:szCs w:val="24"/>
          <w:lang w:val="en-GB"/>
        </w:rPr>
        <w:t xml:space="preserve">The site appears to have a history of </w:t>
      </w:r>
      <w:r w:rsidR="002E702E">
        <w:rPr>
          <w:sz w:val="24"/>
          <w:szCs w:val="24"/>
          <w:lang w:val="en-GB"/>
        </w:rPr>
        <w:t xml:space="preserve">agricultural </w:t>
      </w:r>
      <w:r>
        <w:rPr>
          <w:sz w:val="24"/>
          <w:szCs w:val="24"/>
          <w:lang w:val="en-GB"/>
        </w:rPr>
        <w:t>disturbance.</w:t>
      </w:r>
      <w:r w:rsidR="002E702E">
        <w:rPr>
          <w:sz w:val="24"/>
          <w:szCs w:val="24"/>
          <w:lang w:val="en-GB"/>
        </w:rPr>
        <w:t xml:space="preserve"> The site includes an existing residence and garden area.</w:t>
      </w:r>
    </w:p>
    <w:p w14:paraId="59212243" w14:textId="77777777" w:rsidR="002E4E77" w:rsidRDefault="002E4E77" w:rsidP="002E4E77">
      <w:pPr>
        <w:numPr>
          <w:ilvl w:val="12"/>
          <w:numId w:val="0"/>
        </w:numPr>
        <w:rPr>
          <w:sz w:val="24"/>
          <w:szCs w:val="24"/>
          <w:lang w:val="en-GB"/>
        </w:rPr>
      </w:pPr>
    </w:p>
    <w:p w14:paraId="672C4751" w14:textId="77777777" w:rsidR="002E4E77" w:rsidRDefault="002E4E77" w:rsidP="002E4E77">
      <w:pPr>
        <w:numPr>
          <w:ilvl w:val="12"/>
          <w:numId w:val="0"/>
        </w:numPr>
        <w:rPr>
          <w:sz w:val="24"/>
          <w:szCs w:val="24"/>
          <w:lang w:val="en-GB"/>
        </w:rPr>
      </w:pPr>
      <w:r>
        <w:rPr>
          <w:sz w:val="24"/>
          <w:szCs w:val="24"/>
          <w:lang w:val="en-GB"/>
        </w:rPr>
        <w:t>The location of the study area is shown on Map 1.</w:t>
      </w:r>
    </w:p>
    <w:p w14:paraId="28B8EC9B" w14:textId="77777777" w:rsidR="002E4E77" w:rsidRDefault="002E4E77" w:rsidP="002E4E77">
      <w:pPr>
        <w:numPr>
          <w:ilvl w:val="12"/>
          <w:numId w:val="0"/>
        </w:numPr>
        <w:rPr>
          <w:sz w:val="24"/>
          <w:szCs w:val="24"/>
          <w:lang w:val="en-GB"/>
        </w:rPr>
      </w:pPr>
    </w:p>
    <w:p w14:paraId="5959CBA7" w14:textId="77777777" w:rsidR="002E4E77" w:rsidRDefault="002E4E77" w:rsidP="002E4E77">
      <w:pPr>
        <w:pStyle w:val="Heading2"/>
        <w:rPr>
          <w:lang w:val="en-GB"/>
        </w:rPr>
      </w:pPr>
      <w:bookmarkStart w:id="5" w:name="_Toc231357497"/>
      <w:r>
        <w:rPr>
          <w:lang w:val="en-GB"/>
        </w:rPr>
        <w:t>1.4</w:t>
      </w:r>
      <w:r>
        <w:rPr>
          <w:lang w:val="en-GB"/>
        </w:rPr>
        <w:tab/>
        <w:t>Proposed Development</w:t>
      </w:r>
      <w:bookmarkEnd w:id="5"/>
      <w:r>
        <w:rPr>
          <w:lang w:val="en-GB"/>
        </w:rPr>
        <w:t xml:space="preserve"> </w:t>
      </w:r>
    </w:p>
    <w:p w14:paraId="64E69B3C" w14:textId="77777777" w:rsidR="002E4E77" w:rsidRDefault="002E4E77" w:rsidP="002E4E77">
      <w:pPr>
        <w:numPr>
          <w:ilvl w:val="12"/>
          <w:numId w:val="0"/>
        </w:numPr>
        <w:rPr>
          <w:sz w:val="24"/>
          <w:szCs w:val="24"/>
          <w:lang w:val="en-GB"/>
        </w:rPr>
      </w:pPr>
    </w:p>
    <w:p w14:paraId="7DDE3744" w14:textId="77777777" w:rsidR="002E4E77" w:rsidRDefault="002E4E77" w:rsidP="002E4E77">
      <w:pPr>
        <w:numPr>
          <w:ilvl w:val="12"/>
          <w:numId w:val="0"/>
        </w:numPr>
        <w:rPr>
          <w:sz w:val="24"/>
          <w:szCs w:val="24"/>
          <w:lang w:val="en-GB"/>
        </w:rPr>
      </w:pPr>
      <w:r>
        <w:rPr>
          <w:sz w:val="24"/>
          <w:szCs w:val="24"/>
          <w:lang w:val="en-GB"/>
        </w:rPr>
        <w:t>The proposed use is to create a residential development.  It is anticipated that the proposed use will impact upon the entire study area.</w:t>
      </w:r>
    </w:p>
    <w:p w14:paraId="50FB302D" w14:textId="77777777" w:rsidR="002E4E77" w:rsidRDefault="002E4E77" w:rsidP="002E4E77">
      <w:pPr>
        <w:numPr>
          <w:ilvl w:val="12"/>
          <w:numId w:val="0"/>
        </w:numPr>
        <w:rPr>
          <w:sz w:val="24"/>
          <w:szCs w:val="24"/>
          <w:lang w:val="en-GB"/>
        </w:rPr>
      </w:pPr>
      <w:r>
        <w:rPr>
          <w:sz w:val="24"/>
          <w:szCs w:val="24"/>
          <w:lang w:val="en-GB"/>
        </w:rPr>
        <w:br w:type="page"/>
      </w:r>
    </w:p>
    <w:p w14:paraId="4F740D95" w14:textId="77777777" w:rsidR="002E4E77" w:rsidRPr="00C80442" w:rsidRDefault="002E4E77" w:rsidP="002E4E77">
      <w:pPr>
        <w:pStyle w:val="Heading1"/>
        <w:rPr>
          <w:sz w:val="24"/>
          <w:szCs w:val="24"/>
          <w:lang w:val="en-GB"/>
        </w:rPr>
      </w:pPr>
      <w:bookmarkStart w:id="6" w:name="_Toc231357498"/>
      <w:r>
        <w:rPr>
          <w:lang w:val="en-US"/>
        </w:rPr>
        <w:lastRenderedPageBreak/>
        <w:t>2</w:t>
      </w:r>
      <w:r>
        <w:rPr>
          <w:lang w:val="en-US"/>
        </w:rPr>
        <w:tab/>
        <w:t>METHODS</w:t>
      </w:r>
      <w:bookmarkEnd w:id="6"/>
      <w:r>
        <w:rPr>
          <w:lang w:val="en-US"/>
        </w:rPr>
        <w:t xml:space="preserve"> </w:t>
      </w:r>
    </w:p>
    <w:p w14:paraId="3239E1CD" w14:textId="77777777" w:rsidR="002E4E77" w:rsidRDefault="002E4E77" w:rsidP="002E4E77">
      <w:pPr>
        <w:pStyle w:val="Heading2"/>
        <w:rPr>
          <w:lang w:val="en-US"/>
        </w:rPr>
      </w:pPr>
      <w:bookmarkStart w:id="7" w:name="_Toc231357499"/>
      <w:r>
        <w:rPr>
          <w:lang w:val="en-US"/>
        </w:rPr>
        <w:t>2.1</w:t>
      </w:r>
      <w:r>
        <w:rPr>
          <w:lang w:val="en-US"/>
        </w:rPr>
        <w:tab/>
        <w:t>Taxonomy</w:t>
      </w:r>
      <w:bookmarkEnd w:id="7"/>
    </w:p>
    <w:p w14:paraId="719832B0" w14:textId="77777777" w:rsidR="002E4E77" w:rsidRDefault="002E4E77" w:rsidP="002E4E77">
      <w:pPr>
        <w:numPr>
          <w:ilvl w:val="12"/>
          <w:numId w:val="0"/>
        </w:numPr>
        <w:rPr>
          <w:sz w:val="24"/>
          <w:szCs w:val="24"/>
          <w:lang w:val="en-US"/>
        </w:rPr>
      </w:pPr>
    </w:p>
    <w:p w14:paraId="76DD7322" w14:textId="77777777" w:rsidR="002E4E77" w:rsidRDefault="002E4E77" w:rsidP="002E4E77">
      <w:pPr>
        <w:numPr>
          <w:ilvl w:val="12"/>
          <w:numId w:val="0"/>
        </w:numPr>
        <w:rPr>
          <w:sz w:val="24"/>
          <w:szCs w:val="24"/>
          <w:lang w:val="en-US"/>
        </w:rPr>
      </w:pPr>
      <w:r>
        <w:rPr>
          <w:sz w:val="24"/>
          <w:szCs w:val="24"/>
          <w:lang w:val="en-US"/>
        </w:rPr>
        <w:t>Scientific names for plants follow the Census of Vascular Plants of Victoria (Walsh and Stasjic 2007).  Common names for plants follow the Flora of Victoria Vols 2-4 (Walsh and Entwisle 1994-1999).</w:t>
      </w:r>
    </w:p>
    <w:p w14:paraId="2896E074" w14:textId="77777777" w:rsidR="002E4E77" w:rsidRDefault="002E4E77" w:rsidP="002E4E77">
      <w:pPr>
        <w:numPr>
          <w:ilvl w:val="12"/>
          <w:numId w:val="0"/>
        </w:numPr>
        <w:rPr>
          <w:b/>
          <w:bCs/>
          <w:sz w:val="24"/>
          <w:szCs w:val="24"/>
          <w:lang w:val="en-US"/>
        </w:rPr>
      </w:pPr>
    </w:p>
    <w:p w14:paraId="3F2D9AC8" w14:textId="77777777" w:rsidR="002E4E77" w:rsidRDefault="002E4E77" w:rsidP="002E4E77">
      <w:pPr>
        <w:pStyle w:val="Heading2"/>
        <w:rPr>
          <w:lang w:val="en-US"/>
        </w:rPr>
      </w:pPr>
      <w:bookmarkStart w:id="8" w:name="_Toc231357500"/>
      <w:r>
        <w:rPr>
          <w:lang w:val="en-US"/>
        </w:rPr>
        <w:t>2.2</w:t>
      </w:r>
      <w:r>
        <w:rPr>
          <w:lang w:val="en-US"/>
        </w:rPr>
        <w:tab/>
        <w:t>Literature and Database Review</w:t>
      </w:r>
      <w:bookmarkEnd w:id="8"/>
    </w:p>
    <w:p w14:paraId="5397BFEC" w14:textId="77777777" w:rsidR="002E4E77" w:rsidRDefault="002E4E77" w:rsidP="002E4E77">
      <w:pPr>
        <w:numPr>
          <w:ilvl w:val="12"/>
          <w:numId w:val="0"/>
        </w:numPr>
        <w:rPr>
          <w:sz w:val="24"/>
          <w:szCs w:val="24"/>
          <w:lang w:val="en-US"/>
        </w:rPr>
      </w:pPr>
    </w:p>
    <w:p w14:paraId="7FAAB5B2" w14:textId="77777777" w:rsidR="002E4E77" w:rsidRDefault="002E4E77" w:rsidP="002E4E77">
      <w:pPr>
        <w:numPr>
          <w:ilvl w:val="12"/>
          <w:numId w:val="0"/>
        </w:numPr>
        <w:rPr>
          <w:sz w:val="24"/>
          <w:szCs w:val="24"/>
          <w:lang w:val="en-US"/>
        </w:rPr>
      </w:pPr>
      <w:r>
        <w:rPr>
          <w:sz w:val="24"/>
          <w:szCs w:val="24"/>
          <w:lang w:val="en-US"/>
        </w:rPr>
        <w:t>Relevant literature and databases, including data from the Department of Sustainability and Environment (DSE website i) and the Technical Support Maps for Local Government Authorities (DSE 2003) were reviewed.</w:t>
      </w:r>
    </w:p>
    <w:p w14:paraId="53095C42" w14:textId="77777777" w:rsidR="002E4E77" w:rsidRDefault="002E4E77" w:rsidP="002E4E77">
      <w:pPr>
        <w:numPr>
          <w:ilvl w:val="12"/>
          <w:numId w:val="0"/>
        </w:numPr>
        <w:rPr>
          <w:sz w:val="28"/>
          <w:szCs w:val="28"/>
          <w:lang w:val="en-GB"/>
        </w:rPr>
      </w:pPr>
    </w:p>
    <w:p w14:paraId="29252DB7" w14:textId="77777777" w:rsidR="002E4E77" w:rsidRDefault="002E4E77" w:rsidP="002E4E77">
      <w:pPr>
        <w:pStyle w:val="Heading2"/>
        <w:rPr>
          <w:lang w:val="en-GB"/>
        </w:rPr>
      </w:pPr>
      <w:bookmarkStart w:id="9" w:name="_Toc231357501"/>
      <w:r>
        <w:rPr>
          <w:lang w:val="en-GB"/>
        </w:rPr>
        <w:t>2.3</w:t>
      </w:r>
      <w:r>
        <w:rPr>
          <w:lang w:val="en-GB"/>
        </w:rPr>
        <w:tab/>
        <w:t>Field Survey</w:t>
      </w:r>
      <w:bookmarkEnd w:id="9"/>
      <w:r>
        <w:rPr>
          <w:lang w:val="en-GB"/>
        </w:rPr>
        <w:t xml:space="preserve"> </w:t>
      </w:r>
    </w:p>
    <w:p w14:paraId="125781E0" w14:textId="77777777" w:rsidR="002E4E77" w:rsidRDefault="002E4E77" w:rsidP="002E4E77">
      <w:pPr>
        <w:numPr>
          <w:ilvl w:val="12"/>
          <w:numId w:val="0"/>
        </w:numPr>
        <w:rPr>
          <w:sz w:val="24"/>
          <w:szCs w:val="24"/>
          <w:lang w:val="en-GB"/>
        </w:rPr>
      </w:pPr>
    </w:p>
    <w:p w14:paraId="421E3149" w14:textId="77777777" w:rsidR="002E4E77" w:rsidRDefault="002E4E77" w:rsidP="002E4E77">
      <w:pPr>
        <w:numPr>
          <w:ilvl w:val="12"/>
          <w:numId w:val="0"/>
        </w:numPr>
        <w:rPr>
          <w:sz w:val="24"/>
          <w:szCs w:val="24"/>
          <w:lang w:val="en-GB"/>
        </w:rPr>
      </w:pPr>
      <w:r>
        <w:rPr>
          <w:sz w:val="24"/>
          <w:szCs w:val="24"/>
          <w:lang w:val="en-GB"/>
        </w:rPr>
        <w:t>The site was inspected on foot on the 27</w:t>
      </w:r>
      <w:r w:rsidRPr="00220750">
        <w:rPr>
          <w:sz w:val="24"/>
          <w:szCs w:val="24"/>
          <w:vertAlign w:val="superscript"/>
          <w:lang w:val="en-GB"/>
        </w:rPr>
        <w:t>th</w:t>
      </w:r>
      <w:r>
        <w:rPr>
          <w:sz w:val="24"/>
          <w:szCs w:val="24"/>
          <w:lang w:val="en-GB"/>
        </w:rPr>
        <w:t xml:space="preserve"> of May 2013. The entire site was traversed. Records were made of all indigenous vascular plant species.  Records were made of the existing habitat values and dominant exotic vascular plant species.</w:t>
      </w:r>
    </w:p>
    <w:p w14:paraId="1B559F3B" w14:textId="77777777" w:rsidR="002E4E77" w:rsidRDefault="002E4E77" w:rsidP="002E4E77">
      <w:pPr>
        <w:numPr>
          <w:ilvl w:val="12"/>
          <w:numId w:val="0"/>
        </w:numPr>
        <w:rPr>
          <w:sz w:val="24"/>
          <w:szCs w:val="24"/>
          <w:lang w:val="en-GB"/>
        </w:rPr>
      </w:pPr>
    </w:p>
    <w:p w14:paraId="3ECA4884" w14:textId="77777777" w:rsidR="002E4E77" w:rsidRDefault="002E4E77" w:rsidP="002E4E77">
      <w:pPr>
        <w:pStyle w:val="Heading2"/>
        <w:rPr>
          <w:lang w:val="en-GB"/>
        </w:rPr>
      </w:pPr>
      <w:bookmarkStart w:id="10" w:name="_Toc231357502"/>
      <w:r>
        <w:rPr>
          <w:lang w:val="en-GB"/>
        </w:rPr>
        <w:t>2.4</w:t>
      </w:r>
      <w:r>
        <w:rPr>
          <w:lang w:val="en-GB"/>
        </w:rPr>
        <w:tab/>
        <w:t>Limitations</w:t>
      </w:r>
      <w:bookmarkEnd w:id="10"/>
      <w:r>
        <w:rPr>
          <w:lang w:val="en-GB"/>
        </w:rPr>
        <w:t xml:space="preserve"> </w:t>
      </w:r>
    </w:p>
    <w:p w14:paraId="714CBEA0" w14:textId="77777777" w:rsidR="002E4E77" w:rsidRDefault="002E4E77" w:rsidP="002E4E77">
      <w:pPr>
        <w:numPr>
          <w:ilvl w:val="12"/>
          <w:numId w:val="0"/>
        </w:numPr>
        <w:rPr>
          <w:sz w:val="24"/>
          <w:szCs w:val="24"/>
          <w:lang w:val="en-GB"/>
        </w:rPr>
      </w:pPr>
    </w:p>
    <w:p w14:paraId="2839F5B0" w14:textId="1640C6CD" w:rsidR="002E4E77" w:rsidRDefault="002E4E77" w:rsidP="002E4E77">
      <w:pPr>
        <w:numPr>
          <w:ilvl w:val="12"/>
          <w:numId w:val="0"/>
        </w:numPr>
        <w:rPr>
          <w:sz w:val="24"/>
          <w:szCs w:val="24"/>
          <w:lang w:val="en-GB"/>
        </w:rPr>
      </w:pPr>
      <w:r>
        <w:rPr>
          <w:sz w:val="24"/>
          <w:szCs w:val="24"/>
          <w:lang w:val="en-GB"/>
        </w:rPr>
        <w:t xml:space="preserve">The assessment was conducted during autumn, a time of year that is suitable for the detection of most but not all flora species likely to occur on site. Due to the </w:t>
      </w:r>
      <w:r w:rsidR="008A0C4A">
        <w:rPr>
          <w:sz w:val="24"/>
          <w:szCs w:val="24"/>
          <w:lang w:val="en-GB"/>
        </w:rPr>
        <w:t>overwhelmingly</w:t>
      </w:r>
      <w:r>
        <w:rPr>
          <w:sz w:val="24"/>
          <w:szCs w:val="24"/>
          <w:lang w:val="en-GB"/>
        </w:rPr>
        <w:t xml:space="preserve"> degraded nature of the study area, the site inspection is considered to be sufficient to assess the ecological values of the site.  As a result there are not considered to be any significant limitations to the study.</w:t>
      </w:r>
    </w:p>
    <w:p w14:paraId="52933AA0" w14:textId="77777777" w:rsidR="002E4E77" w:rsidRDefault="002E4E77" w:rsidP="002E4E77">
      <w:pPr>
        <w:numPr>
          <w:ilvl w:val="12"/>
          <w:numId w:val="0"/>
        </w:numPr>
        <w:rPr>
          <w:sz w:val="24"/>
          <w:szCs w:val="24"/>
          <w:lang w:val="en-GB"/>
        </w:rPr>
      </w:pPr>
    </w:p>
    <w:p w14:paraId="753CF638" w14:textId="77777777" w:rsidR="002E4E77" w:rsidRDefault="002E4E77" w:rsidP="002E4E77">
      <w:pPr>
        <w:numPr>
          <w:ilvl w:val="12"/>
          <w:numId w:val="0"/>
        </w:numPr>
        <w:rPr>
          <w:sz w:val="24"/>
          <w:szCs w:val="24"/>
          <w:lang w:val="en-GB"/>
        </w:rPr>
      </w:pPr>
      <w:r>
        <w:rPr>
          <w:sz w:val="24"/>
          <w:szCs w:val="24"/>
          <w:lang w:val="en-GB"/>
        </w:rPr>
        <w:t>The survey includes only vascular flora. As Net Gain assessments were not required (</w:t>
      </w:r>
      <w:r>
        <w:rPr>
          <w:i/>
          <w:sz w:val="24"/>
          <w:szCs w:val="24"/>
          <w:lang w:val="en-GB"/>
        </w:rPr>
        <w:t xml:space="preserve">refer to </w:t>
      </w:r>
      <w:r>
        <w:rPr>
          <w:sz w:val="24"/>
          <w:szCs w:val="24"/>
          <w:lang w:val="en-GB"/>
        </w:rPr>
        <w:t>4.2.4) non-vascular flora (mosses, lichens, fungi, etc) were not recorded. Fauna was not surveyed.</w:t>
      </w:r>
    </w:p>
    <w:p w14:paraId="3EBECA57" w14:textId="77777777" w:rsidR="002E4E77" w:rsidRDefault="002E4E77" w:rsidP="002E4E77">
      <w:pPr>
        <w:numPr>
          <w:ilvl w:val="12"/>
          <w:numId w:val="0"/>
        </w:numPr>
        <w:rPr>
          <w:sz w:val="24"/>
          <w:szCs w:val="24"/>
          <w:lang w:val="en-GB"/>
        </w:rPr>
      </w:pPr>
    </w:p>
    <w:p w14:paraId="38653928" w14:textId="77777777" w:rsidR="002E4E77" w:rsidRDefault="002E4E77" w:rsidP="002E4E77">
      <w:pPr>
        <w:pStyle w:val="Heading2"/>
        <w:rPr>
          <w:lang w:val="en-US"/>
        </w:rPr>
      </w:pPr>
      <w:bookmarkStart w:id="11" w:name="_Toc231357503"/>
      <w:r>
        <w:rPr>
          <w:lang w:val="en-US"/>
        </w:rPr>
        <w:t>2.5</w:t>
      </w:r>
      <w:r>
        <w:rPr>
          <w:lang w:val="en-US"/>
        </w:rPr>
        <w:tab/>
        <w:t>Defining Significance</w:t>
      </w:r>
      <w:bookmarkEnd w:id="11"/>
      <w:r>
        <w:rPr>
          <w:lang w:val="en-US"/>
        </w:rPr>
        <w:t xml:space="preserve"> </w:t>
      </w:r>
    </w:p>
    <w:p w14:paraId="1E4E8D4C" w14:textId="77777777" w:rsidR="002E4E77" w:rsidRDefault="002E4E77" w:rsidP="002E4E77">
      <w:pPr>
        <w:numPr>
          <w:ilvl w:val="12"/>
          <w:numId w:val="0"/>
        </w:numPr>
        <w:rPr>
          <w:sz w:val="24"/>
          <w:szCs w:val="24"/>
          <w:lang w:val="en-US"/>
        </w:rPr>
      </w:pPr>
    </w:p>
    <w:p w14:paraId="468F6750" w14:textId="77777777" w:rsidR="002E4E77" w:rsidRDefault="002E4E77" w:rsidP="002E4E77">
      <w:pPr>
        <w:numPr>
          <w:ilvl w:val="12"/>
          <w:numId w:val="0"/>
        </w:numPr>
        <w:rPr>
          <w:sz w:val="24"/>
          <w:szCs w:val="24"/>
          <w:lang w:val="en-US"/>
        </w:rPr>
      </w:pPr>
      <w:r>
        <w:rPr>
          <w:sz w:val="24"/>
          <w:szCs w:val="24"/>
          <w:lang w:val="en-US"/>
        </w:rPr>
        <w:t>A number of criteria are applied in order to assess the significance of flora species and vegetation communities.  The definition of the criteria is detailed in Appendix 1.</w:t>
      </w:r>
    </w:p>
    <w:p w14:paraId="067B4594" w14:textId="77777777" w:rsidR="002E4E77" w:rsidRDefault="002E4E77" w:rsidP="002E4E77">
      <w:pPr>
        <w:numPr>
          <w:ilvl w:val="12"/>
          <w:numId w:val="0"/>
        </w:numPr>
        <w:rPr>
          <w:sz w:val="24"/>
          <w:szCs w:val="24"/>
          <w:lang w:val="en-US"/>
        </w:rPr>
      </w:pPr>
      <w:r>
        <w:rPr>
          <w:sz w:val="24"/>
          <w:szCs w:val="24"/>
          <w:lang w:val="en-US"/>
        </w:rPr>
        <w:br w:type="page"/>
      </w:r>
    </w:p>
    <w:p w14:paraId="4228E641" w14:textId="77777777" w:rsidR="002E4E77" w:rsidRPr="00C80442" w:rsidRDefault="002E4E77" w:rsidP="002E4E77">
      <w:pPr>
        <w:pStyle w:val="Heading1"/>
        <w:rPr>
          <w:lang w:val="en-US"/>
        </w:rPr>
      </w:pPr>
      <w:bookmarkStart w:id="12" w:name="_Toc231357504"/>
      <w:r>
        <w:rPr>
          <w:lang w:val="en-US"/>
        </w:rPr>
        <w:lastRenderedPageBreak/>
        <w:t>3</w:t>
      </w:r>
      <w:r>
        <w:rPr>
          <w:lang w:val="en-US"/>
        </w:rPr>
        <w:tab/>
        <w:t>RESULTS</w:t>
      </w:r>
      <w:bookmarkEnd w:id="12"/>
      <w:r>
        <w:rPr>
          <w:lang w:val="en-US"/>
        </w:rPr>
        <w:t xml:space="preserve"> </w:t>
      </w:r>
    </w:p>
    <w:p w14:paraId="36161AE3" w14:textId="77777777" w:rsidR="002E4E77" w:rsidRDefault="002E4E77" w:rsidP="002E4E77">
      <w:pPr>
        <w:pStyle w:val="Heading2"/>
        <w:rPr>
          <w:lang w:val="en-US"/>
        </w:rPr>
      </w:pPr>
      <w:bookmarkStart w:id="13" w:name="_Toc231357505"/>
      <w:r>
        <w:rPr>
          <w:lang w:val="en-US"/>
        </w:rPr>
        <w:t>3.1</w:t>
      </w:r>
      <w:r>
        <w:rPr>
          <w:lang w:val="en-US"/>
        </w:rPr>
        <w:tab/>
        <w:t>Ecological Vegetation Class</w:t>
      </w:r>
      <w:bookmarkEnd w:id="13"/>
      <w:r>
        <w:rPr>
          <w:lang w:val="en-US"/>
        </w:rPr>
        <w:t xml:space="preserve"> </w:t>
      </w:r>
    </w:p>
    <w:p w14:paraId="0912570D" w14:textId="77777777" w:rsidR="002E4E77" w:rsidRDefault="002E4E77" w:rsidP="002E4E77">
      <w:pPr>
        <w:numPr>
          <w:ilvl w:val="12"/>
          <w:numId w:val="0"/>
        </w:numPr>
        <w:rPr>
          <w:sz w:val="24"/>
          <w:szCs w:val="24"/>
          <w:lang w:val="en-US"/>
        </w:rPr>
      </w:pPr>
    </w:p>
    <w:p w14:paraId="1FA2465F" w14:textId="77777777" w:rsidR="002E4E77" w:rsidRDefault="002E4E77" w:rsidP="002E4E77">
      <w:pPr>
        <w:numPr>
          <w:ilvl w:val="12"/>
          <w:numId w:val="0"/>
        </w:numPr>
        <w:rPr>
          <w:sz w:val="24"/>
          <w:szCs w:val="24"/>
          <w:lang w:val="en-US"/>
        </w:rPr>
      </w:pPr>
      <w:r>
        <w:rPr>
          <w:sz w:val="24"/>
          <w:szCs w:val="24"/>
          <w:lang w:val="en-US"/>
        </w:rPr>
        <w:t xml:space="preserve">Ecological Vegetation Classes (EVCs) are the primary level of classification of vegetation communities within Victoria. An EVC contains one or more plant (floristic) community, and represents a grouping of vegetation communities with broadly similar ecological attributes.  Classification of EVCs in this report follows Oates and Taranto (2002). </w:t>
      </w:r>
    </w:p>
    <w:p w14:paraId="2F726A47" w14:textId="77777777" w:rsidR="002E4E77" w:rsidRDefault="002E4E77" w:rsidP="002E4E77">
      <w:pPr>
        <w:numPr>
          <w:ilvl w:val="12"/>
          <w:numId w:val="0"/>
        </w:numPr>
        <w:rPr>
          <w:sz w:val="24"/>
          <w:szCs w:val="24"/>
          <w:lang w:val="en-US"/>
        </w:rPr>
      </w:pPr>
    </w:p>
    <w:p w14:paraId="5363EF5F" w14:textId="6757B101" w:rsidR="002E4E77" w:rsidRDefault="002E4E77" w:rsidP="002E4E77">
      <w:pPr>
        <w:numPr>
          <w:ilvl w:val="12"/>
          <w:numId w:val="0"/>
        </w:numPr>
        <w:rPr>
          <w:sz w:val="24"/>
          <w:szCs w:val="24"/>
          <w:lang w:val="en-US"/>
        </w:rPr>
      </w:pPr>
      <w:r>
        <w:rPr>
          <w:sz w:val="24"/>
          <w:szCs w:val="24"/>
          <w:lang w:val="en-US"/>
        </w:rPr>
        <w:t>The pre-1750 EVC mapping of the study area undertaken by DSE (DSE website i) indicates that the stud</w:t>
      </w:r>
      <w:r w:rsidR="008A0C4A">
        <w:rPr>
          <w:sz w:val="24"/>
          <w:szCs w:val="24"/>
          <w:lang w:val="en-US"/>
        </w:rPr>
        <w:t>y area was comprised of EVC 132</w:t>
      </w:r>
      <w:r>
        <w:rPr>
          <w:sz w:val="24"/>
          <w:szCs w:val="24"/>
          <w:lang w:val="en-US"/>
        </w:rPr>
        <w:t xml:space="preserve"> Plains Grassland and ECV 125 </w:t>
      </w:r>
      <w:r w:rsidR="008A0C4A">
        <w:rPr>
          <w:sz w:val="24"/>
          <w:szCs w:val="24"/>
          <w:lang w:val="en-US"/>
        </w:rPr>
        <w:t>Plains Grassy Wetland.  EVC 132</w:t>
      </w:r>
      <w:r>
        <w:rPr>
          <w:sz w:val="24"/>
          <w:szCs w:val="24"/>
          <w:lang w:val="en-US"/>
        </w:rPr>
        <w:t xml:space="preserve"> Plains Grassland and ECV 125 Plains Grassy Wetland are both currently listed as ‘Endangered’ in the Victorian Volcanic Plain bioregion (DSE website ii-</w:t>
      </w:r>
      <w:r w:rsidRPr="0011732D">
        <w:rPr>
          <w:sz w:val="24"/>
          <w:szCs w:val="24"/>
          <w:lang w:val="en-US"/>
        </w:rPr>
        <w:t xml:space="preserve"> </w:t>
      </w:r>
      <w:r>
        <w:rPr>
          <w:sz w:val="24"/>
          <w:szCs w:val="24"/>
          <w:lang w:val="en-US"/>
        </w:rPr>
        <w:t>EVC Benchmarks -Victorian Volcanic Plains Bioregion). The current study records vegetation that accords with EVC</w:t>
      </w:r>
      <w:r w:rsidR="008A0C4A">
        <w:rPr>
          <w:sz w:val="24"/>
          <w:szCs w:val="24"/>
          <w:lang w:val="en-US"/>
        </w:rPr>
        <w:t xml:space="preserve"> 132 Plains Grassland</w:t>
      </w:r>
      <w:r>
        <w:rPr>
          <w:sz w:val="24"/>
          <w:szCs w:val="24"/>
          <w:lang w:val="en-US"/>
        </w:rPr>
        <w:t xml:space="preserve">. </w:t>
      </w:r>
    </w:p>
    <w:p w14:paraId="3BE2F796" w14:textId="77777777" w:rsidR="002E4E77" w:rsidRDefault="002E4E77" w:rsidP="002E4E77">
      <w:pPr>
        <w:numPr>
          <w:ilvl w:val="12"/>
          <w:numId w:val="0"/>
        </w:numPr>
        <w:rPr>
          <w:sz w:val="24"/>
          <w:szCs w:val="24"/>
          <w:lang w:val="en-US"/>
        </w:rPr>
      </w:pPr>
    </w:p>
    <w:p w14:paraId="0D411ACC" w14:textId="77777777" w:rsidR="002E4E77" w:rsidRPr="008110DB" w:rsidRDefault="002E4E77" w:rsidP="002E4E77">
      <w:pPr>
        <w:pStyle w:val="Heading2"/>
        <w:rPr>
          <w:lang w:val="en-US"/>
        </w:rPr>
      </w:pPr>
      <w:bookmarkStart w:id="14" w:name="_Toc231357506"/>
      <w:r>
        <w:rPr>
          <w:lang w:val="en-US"/>
        </w:rPr>
        <w:t>3.2</w:t>
      </w:r>
      <w:r>
        <w:rPr>
          <w:lang w:val="en-US"/>
        </w:rPr>
        <w:tab/>
        <w:t>Flora</w:t>
      </w:r>
      <w:bookmarkEnd w:id="14"/>
      <w:r>
        <w:rPr>
          <w:lang w:val="en-US"/>
        </w:rPr>
        <w:t xml:space="preserve"> </w:t>
      </w:r>
    </w:p>
    <w:p w14:paraId="15ADCDC4" w14:textId="77777777" w:rsidR="002E4E77" w:rsidRPr="007B7465" w:rsidRDefault="002E4E77" w:rsidP="002E4E77">
      <w:pPr>
        <w:pStyle w:val="Heading3"/>
      </w:pPr>
      <w:bookmarkStart w:id="15" w:name="_Toc231357507"/>
      <w:r w:rsidRPr="007B7465">
        <w:t>3.2.1</w:t>
      </w:r>
      <w:r w:rsidRPr="007B7465">
        <w:tab/>
        <w:t>Indigenous Species</w:t>
      </w:r>
      <w:bookmarkEnd w:id="15"/>
      <w:r w:rsidRPr="007B7465">
        <w:t xml:space="preserve"> </w:t>
      </w:r>
    </w:p>
    <w:p w14:paraId="47BBA0E2" w14:textId="77777777" w:rsidR="002E4E77" w:rsidRDefault="002E4E77" w:rsidP="002E4E77">
      <w:pPr>
        <w:numPr>
          <w:ilvl w:val="12"/>
          <w:numId w:val="0"/>
        </w:numPr>
        <w:rPr>
          <w:sz w:val="24"/>
          <w:szCs w:val="24"/>
          <w:lang w:val="en-US"/>
        </w:rPr>
      </w:pPr>
    </w:p>
    <w:p w14:paraId="36816FF8" w14:textId="2B1FC2A1" w:rsidR="00192E70" w:rsidRDefault="00192E70" w:rsidP="00192E70">
      <w:pPr>
        <w:numPr>
          <w:ilvl w:val="12"/>
          <w:numId w:val="0"/>
        </w:numPr>
        <w:rPr>
          <w:sz w:val="24"/>
          <w:szCs w:val="24"/>
          <w:lang w:val="en-US"/>
        </w:rPr>
      </w:pPr>
      <w:r>
        <w:rPr>
          <w:sz w:val="24"/>
          <w:szCs w:val="24"/>
          <w:lang w:val="en-US"/>
        </w:rPr>
        <w:t xml:space="preserve">A total of </w:t>
      </w:r>
      <w:r w:rsidR="00616989">
        <w:rPr>
          <w:sz w:val="24"/>
          <w:szCs w:val="24"/>
          <w:lang w:val="en-US"/>
        </w:rPr>
        <w:t>two</w:t>
      </w:r>
      <w:r>
        <w:rPr>
          <w:sz w:val="24"/>
          <w:szCs w:val="24"/>
          <w:lang w:val="en-US"/>
        </w:rPr>
        <w:t xml:space="preserve"> indigenous plant species, were recorded from the study area. These plant species are of Local conservation significance. </w:t>
      </w:r>
    </w:p>
    <w:p w14:paraId="1EB15FDA" w14:textId="77777777" w:rsidR="00192E70" w:rsidRDefault="00192E70" w:rsidP="00192E70">
      <w:pPr>
        <w:numPr>
          <w:ilvl w:val="12"/>
          <w:numId w:val="0"/>
        </w:numPr>
        <w:rPr>
          <w:sz w:val="24"/>
          <w:szCs w:val="24"/>
          <w:lang w:val="en-US"/>
        </w:rPr>
      </w:pPr>
    </w:p>
    <w:p w14:paraId="15B6F11C" w14:textId="528A598E" w:rsidR="00192E70" w:rsidRDefault="00192E70" w:rsidP="00192E70">
      <w:pPr>
        <w:numPr>
          <w:ilvl w:val="12"/>
          <w:numId w:val="0"/>
        </w:numPr>
        <w:rPr>
          <w:sz w:val="24"/>
          <w:szCs w:val="24"/>
          <w:lang w:val="en-US"/>
        </w:rPr>
      </w:pPr>
      <w:r>
        <w:rPr>
          <w:sz w:val="24"/>
          <w:szCs w:val="24"/>
          <w:lang w:val="en-US"/>
        </w:rPr>
        <w:t>Refer to Table 1 for a list of indigenous vascular plant species recorded during this survey.</w:t>
      </w:r>
      <w:r w:rsidR="00246003">
        <w:rPr>
          <w:sz w:val="24"/>
          <w:szCs w:val="24"/>
          <w:lang w:val="en-US"/>
        </w:rPr>
        <w:t xml:space="preserve"> Refer to Table 2 for a list of dominant exotic </w:t>
      </w:r>
      <w:r w:rsidR="008A0C4A">
        <w:rPr>
          <w:sz w:val="24"/>
          <w:szCs w:val="24"/>
          <w:lang w:val="en-US"/>
        </w:rPr>
        <w:t xml:space="preserve">vascular </w:t>
      </w:r>
      <w:r w:rsidR="00246003">
        <w:rPr>
          <w:sz w:val="24"/>
          <w:szCs w:val="24"/>
          <w:lang w:val="en-US"/>
        </w:rPr>
        <w:t xml:space="preserve">plant species recorded </w:t>
      </w:r>
      <w:r w:rsidR="008A0C4A">
        <w:rPr>
          <w:sz w:val="24"/>
          <w:szCs w:val="24"/>
          <w:lang w:val="en-US"/>
        </w:rPr>
        <w:t xml:space="preserve">during </w:t>
      </w:r>
      <w:r w:rsidR="00246003">
        <w:rPr>
          <w:sz w:val="24"/>
          <w:szCs w:val="24"/>
          <w:lang w:val="en-US"/>
        </w:rPr>
        <w:t>this survey.</w:t>
      </w:r>
    </w:p>
    <w:p w14:paraId="264C7A84" w14:textId="77777777" w:rsidR="00192E70" w:rsidRDefault="00192E70" w:rsidP="00192E70">
      <w:pPr>
        <w:numPr>
          <w:ilvl w:val="12"/>
          <w:numId w:val="0"/>
        </w:numPr>
        <w:rPr>
          <w:b/>
          <w:sz w:val="24"/>
          <w:szCs w:val="24"/>
          <w:lang w:val="en-US"/>
        </w:rPr>
      </w:pPr>
    </w:p>
    <w:p w14:paraId="5F04EE65" w14:textId="77777777" w:rsidR="00192E70" w:rsidRPr="003F18CB" w:rsidRDefault="00192E70" w:rsidP="00192E70">
      <w:pPr>
        <w:numPr>
          <w:ilvl w:val="12"/>
          <w:numId w:val="0"/>
        </w:numPr>
        <w:rPr>
          <w:b/>
          <w:sz w:val="24"/>
          <w:szCs w:val="24"/>
          <w:lang w:val="en-US"/>
        </w:rPr>
      </w:pPr>
      <w:r w:rsidRPr="003F18CB">
        <w:rPr>
          <w:b/>
          <w:sz w:val="24"/>
          <w:szCs w:val="24"/>
          <w:lang w:val="en-US"/>
        </w:rPr>
        <w:t>Table 1</w:t>
      </w:r>
      <w:r>
        <w:rPr>
          <w:b/>
          <w:sz w:val="24"/>
          <w:szCs w:val="24"/>
          <w:lang w:val="en-US"/>
        </w:rPr>
        <w:t xml:space="preserve"> Indigenous Species and Conservation Significance</w:t>
      </w:r>
    </w:p>
    <w:p w14:paraId="5B3A8DBA" w14:textId="77777777" w:rsidR="00192E70" w:rsidRDefault="00192E70" w:rsidP="00192E70">
      <w:pPr>
        <w:numPr>
          <w:ilvl w:val="12"/>
          <w:numId w:val="0"/>
        </w:numPr>
        <w:rPr>
          <w:sz w:val="24"/>
          <w:szCs w:val="24"/>
          <w:lang w:val="en-US"/>
        </w:rPr>
      </w:pPr>
    </w:p>
    <w:tbl>
      <w:tblPr>
        <w:tblStyle w:val="LightList"/>
        <w:tblW w:w="0" w:type="auto"/>
        <w:tblLook w:val="00A0" w:firstRow="1" w:lastRow="0" w:firstColumn="1" w:lastColumn="0" w:noHBand="0" w:noVBand="0"/>
      </w:tblPr>
      <w:tblGrid>
        <w:gridCol w:w="3652"/>
        <w:gridCol w:w="2693"/>
        <w:gridCol w:w="1418"/>
      </w:tblGrid>
      <w:tr w:rsidR="00192E70" w:rsidRPr="005C702A" w14:paraId="5A31EAAC" w14:textId="77777777" w:rsidTr="00192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shd w:val="clear" w:color="auto" w:fill="F2F2F2" w:themeFill="background1" w:themeFillShade="F2"/>
          </w:tcPr>
          <w:p w14:paraId="705C0E21" w14:textId="77777777" w:rsidR="00192E70" w:rsidRPr="005C702A" w:rsidRDefault="00192E70" w:rsidP="00192E70">
            <w:pPr>
              <w:numPr>
                <w:ilvl w:val="12"/>
                <w:numId w:val="0"/>
              </w:numPr>
              <w:rPr>
                <w:rFonts w:ascii="Arial Narrow" w:hAnsi="Arial Narrow"/>
                <w:color w:val="auto"/>
                <w:sz w:val="24"/>
                <w:szCs w:val="24"/>
                <w:lang w:val="en-US"/>
              </w:rPr>
            </w:pPr>
            <w:r w:rsidRPr="005C702A">
              <w:rPr>
                <w:rFonts w:ascii="Arial Narrow" w:hAnsi="Arial Narrow"/>
                <w:color w:val="auto"/>
                <w:sz w:val="24"/>
                <w:szCs w:val="24"/>
                <w:lang w:val="en-US"/>
              </w:rPr>
              <w:t>Botanical Name</w:t>
            </w:r>
          </w:p>
        </w:tc>
        <w:tc>
          <w:tcPr>
            <w:cnfStyle w:val="000010000000" w:firstRow="0" w:lastRow="0" w:firstColumn="0" w:lastColumn="0" w:oddVBand="1" w:evenVBand="0" w:oddHBand="0" w:evenHBand="0" w:firstRowFirstColumn="0" w:firstRowLastColumn="0" w:lastRowFirstColumn="0" w:lastRowLastColumn="0"/>
            <w:tcW w:w="2693" w:type="dxa"/>
            <w:shd w:val="clear" w:color="auto" w:fill="F2F2F2" w:themeFill="background1" w:themeFillShade="F2"/>
          </w:tcPr>
          <w:p w14:paraId="169707F8" w14:textId="77777777" w:rsidR="00192E70" w:rsidRPr="005C702A" w:rsidRDefault="00192E70" w:rsidP="00192E70">
            <w:pPr>
              <w:numPr>
                <w:ilvl w:val="12"/>
                <w:numId w:val="0"/>
              </w:numPr>
              <w:rPr>
                <w:rFonts w:ascii="Arial Narrow" w:hAnsi="Arial Narrow"/>
                <w:color w:val="auto"/>
                <w:sz w:val="24"/>
                <w:szCs w:val="24"/>
                <w:lang w:val="en-US"/>
              </w:rPr>
            </w:pPr>
            <w:r w:rsidRPr="005C702A">
              <w:rPr>
                <w:rFonts w:ascii="Arial Narrow" w:hAnsi="Arial Narrow"/>
                <w:color w:val="auto"/>
                <w:sz w:val="24"/>
                <w:szCs w:val="24"/>
                <w:lang w:val="en-US"/>
              </w:rPr>
              <w:t>Common Name</w:t>
            </w:r>
          </w:p>
        </w:tc>
        <w:tc>
          <w:tcPr>
            <w:tcW w:w="1418" w:type="dxa"/>
            <w:shd w:val="clear" w:color="auto" w:fill="F2F2F2" w:themeFill="background1" w:themeFillShade="F2"/>
          </w:tcPr>
          <w:p w14:paraId="3B1971DC" w14:textId="77777777" w:rsidR="00192E70" w:rsidRPr="005C702A" w:rsidRDefault="00192E70" w:rsidP="00192E70">
            <w:pPr>
              <w:numPr>
                <w:ilvl w:val="12"/>
                <w:numId w:val="0"/>
              </w:numP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4"/>
                <w:szCs w:val="24"/>
                <w:lang w:val="en-US"/>
              </w:rPr>
            </w:pPr>
            <w:r w:rsidRPr="005C702A">
              <w:rPr>
                <w:rFonts w:ascii="Arial Narrow" w:hAnsi="Arial Narrow"/>
                <w:color w:val="auto"/>
                <w:sz w:val="24"/>
                <w:szCs w:val="24"/>
                <w:lang w:val="en-US"/>
              </w:rPr>
              <w:t>Significance</w:t>
            </w:r>
          </w:p>
        </w:tc>
      </w:tr>
      <w:tr w:rsidR="00192E70" w:rsidRPr="005C702A" w14:paraId="737164A4" w14:textId="77777777" w:rsidTr="0019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804BBF3" w14:textId="77777777" w:rsidR="00192E70" w:rsidRPr="005C702A" w:rsidRDefault="00192E70" w:rsidP="00192E70">
            <w:pPr>
              <w:numPr>
                <w:ilvl w:val="12"/>
                <w:numId w:val="0"/>
              </w:numPr>
              <w:rPr>
                <w:rFonts w:ascii="Arial Narrow" w:hAnsi="Arial Narrow"/>
                <w:b w:val="0"/>
                <w:i/>
                <w:sz w:val="24"/>
                <w:szCs w:val="24"/>
                <w:lang w:val="en-US"/>
              </w:rPr>
            </w:pPr>
            <w:r>
              <w:rPr>
                <w:rFonts w:ascii="Arial Narrow" w:hAnsi="Arial Narrow"/>
                <w:b w:val="0"/>
                <w:i/>
                <w:sz w:val="24"/>
                <w:szCs w:val="24"/>
                <w:lang w:val="en-US"/>
              </w:rPr>
              <w:t>Rytidospermum caespitosum</w:t>
            </w:r>
          </w:p>
        </w:tc>
        <w:tc>
          <w:tcPr>
            <w:cnfStyle w:val="000010000000" w:firstRow="0" w:lastRow="0" w:firstColumn="0" w:lastColumn="0" w:oddVBand="1" w:evenVBand="0" w:oddHBand="0" w:evenHBand="0" w:firstRowFirstColumn="0" w:firstRowLastColumn="0" w:lastRowFirstColumn="0" w:lastRowLastColumn="0"/>
            <w:tcW w:w="2693" w:type="dxa"/>
          </w:tcPr>
          <w:p w14:paraId="78AB2F97" w14:textId="77777777" w:rsidR="00192E70" w:rsidRPr="005C702A" w:rsidRDefault="00192E70" w:rsidP="00192E70">
            <w:pPr>
              <w:numPr>
                <w:ilvl w:val="12"/>
                <w:numId w:val="0"/>
              </w:numPr>
              <w:rPr>
                <w:rFonts w:ascii="Arial Narrow" w:hAnsi="Arial Narrow"/>
                <w:sz w:val="24"/>
                <w:szCs w:val="24"/>
                <w:lang w:val="en-US"/>
              </w:rPr>
            </w:pPr>
            <w:r>
              <w:rPr>
                <w:rFonts w:ascii="Arial Narrow" w:hAnsi="Arial Narrow"/>
                <w:sz w:val="24"/>
                <w:szCs w:val="24"/>
                <w:lang w:val="en-US"/>
              </w:rPr>
              <w:t>Common Wallaby-grass</w:t>
            </w:r>
          </w:p>
        </w:tc>
        <w:tc>
          <w:tcPr>
            <w:tcW w:w="1418" w:type="dxa"/>
          </w:tcPr>
          <w:p w14:paraId="5A4DBDA6" w14:textId="77777777" w:rsidR="00192E70" w:rsidRPr="005C702A" w:rsidRDefault="00192E70" w:rsidP="00192E70">
            <w:pPr>
              <w:numPr>
                <w:ilvl w:val="12"/>
                <w:numId w:val="0"/>
              </w:num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lang w:val="en-US"/>
              </w:rPr>
            </w:pPr>
            <w:r w:rsidRPr="005C702A">
              <w:rPr>
                <w:rFonts w:ascii="Arial Narrow" w:hAnsi="Arial Narrow"/>
                <w:sz w:val="24"/>
                <w:szCs w:val="24"/>
                <w:lang w:val="en-US"/>
              </w:rPr>
              <w:t>Local</w:t>
            </w:r>
          </w:p>
        </w:tc>
      </w:tr>
      <w:tr w:rsidR="00192E70" w:rsidRPr="005C702A" w14:paraId="4F07CA37" w14:textId="77777777" w:rsidTr="00192E70">
        <w:tc>
          <w:tcPr>
            <w:cnfStyle w:val="001000000000" w:firstRow="0" w:lastRow="0" w:firstColumn="1" w:lastColumn="0" w:oddVBand="0" w:evenVBand="0" w:oddHBand="0" w:evenHBand="0" w:firstRowFirstColumn="0" w:firstRowLastColumn="0" w:lastRowFirstColumn="0" w:lastRowLastColumn="0"/>
            <w:tcW w:w="3652" w:type="dxa"/>
          </w:tcPr>
          <w:p w14:paraId="602ED186" w14:textId="77777777" w:rsidR="00192E70" w:rsidRDefault="00192E70" w:rsidP="00192E70">
            <w:pPr>
              <w:numPr>
                <w:ilvl w:val="12"/>
                <w:numId w:val="0"/>
              </w:numPr>
              <w:rPr>
                <w:rFonts w:ascii="Arial Narrow" w:hAnsi="Arial Narrow"/>
                <w:b w:val="0"/>
                <w:i/>
                <w:sz w:val="24"/>
                <w:szCs w:val="24"/>
                <w:lang w:val="en-US"/>
              </w:rPr>
            </w:pPr>
            <w:r>
              <w:rPr>
                <w:rFonts w:ascii="Arial Narrow" w:hAnsi="Arial Narrow"/>
                <w:b w:val="0"/>
                <w:i/>
                <w:sz w:val="24"/>
                <w:szCs w:val="24"/>
                <w:lang w:val="en-US"/>
              </w:rPr>
              <w:t>Rytidospermum racemosum</w:t>
            </w:r>
          </w:p>
        </w:tc>
        <w:tc>
          <w:tcPr>
            <w:cnfStyle w:val="000010000000" w:firstRow="0" w:lastRow="0" w:firstColumn="0" w:lastColumn="0" w:oddVBand="1" w:evenVBand="0" w:oddHBand="0" w:evenHBand="0" w:firstRowFirstColumn="0" w:firstRowLastColumn="0" w:lastRowFirstColumn="0" w:lastRowLastColumn="0"/>
            <w:tcW w:w="2693" w:type="dxa"/>
          </w:tcPr>
          <w:p w14:paraId="7F28FBE2" w14:textId="77777777" w:rsidR="00192E70" w:rsidRDefault="00192E70" w:rsidP="00192E70">
            <w:pPr>
              <w:numPr>
                <w:ilvl w:val="12"/>
                <w:numId w:val="0"/>
              </w:numPr>
              <w:rPr>
                <w:rFonts w:ascii="Arial Narrow" w:hAnsi="Arial Narrow"/>
                <w:sz w:val="24"/>
                <w:szCs w:val="24"/>
                <w:lang w:val="en-US"/>
              </w:rPr>
            </w:pPr>
            <w:r>
              <w:rPr>
                <w:rFonts w:ascii="Arial Narrow" w:hAnsi="Arial Narrow"/>
                <w:sz w:val="24"/>
                <w:szCs w:val="24"/>
                <w:lang w:val="en-US"/>
              </w:rPr>
              <w:t>Slender Wallaby-grass</w:t>
            </w:r>
          </w:p>
        </w:tc>
        <w:tc>
          <w:tcPr>
            <w:tcW w:w="1418" w:type="dxa"/>
          </w:tcPr>
          <w:p w14:paraId="6254171E" w14:textId="77777777" w:rsidR="00192E70" w:rsidRPr="005C702A" w:rsidRDefault="00192E70" w:rsidP="00192E70">
            <w:pPr>
              <w:numPr>
                <w:ilvl w:val="12"/>
                <w:numId w:val="0"/>
              </w:num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lang w:val="en-US"/>
              </w:rPr>
            </w:pPr>
            <w:r>
              <w:rPr>
                <w:rFonts w:ascii="Arial Narrow" w:hAnsi="Arial Narrow"/>
                <w:sz w:val="24"/>
                <w:szCs w:val="24"/>
                <w:lang w:val="en-US"/>
              </w:rPr>
              <w:t>Local</w:t>
            </w:r>
          </w:p>
        </w:tc>
      </w:tr>
    </w:tbl>
    <w:p w14:paraId="22DDBD8D" w14:textId="0F23722E" w:rsidR="002E4E77" w:rsidRDefault="002E4E77" w:rsidP="002E4E77">
      <w:pPr>
        <w:numPr>
          <w:ilvl w:val="12"/>
          <w:numId w:val="0"/>
        </w:numPr>
        <w:rPr>
          <w:sz w:val="24"/>
          <w:szCs w:val="24"/>
          <w:lang w:val="en-US"/>
        </w:rPr>
      </w:pPr>
    </w:p>
    <w:p w14:paraId="5DDFF7D8" w14:textId="77777777" w:rsidR="00246003" w:rsidRDefault="00246003" w:rsidP="002E4E77">
      <w:pPr>
        <w:numPr>
          <w:ilvl w:val="12"/>
          <w:numId w:val="0"/>
        </w:numPr>
        <w:rPr>
          <w:sz w:val="24"/>
          <w:szCs w:val="24"/>
          <w:lang w:val="en-US"/>
        </w:rPr>
      </w:pPr>
    </w:p>
    <w:p w14:paraId="285F9C95" w14:textId="77777777" w:rsidR="00246003" w:rsidRPr="002E4E77" w:rsidRDefault="00246003" w:rsidP="00246003">
      <w:pPr>
        <w:autoSpaceDE/>
        <w:autoSpaceDN/>
        <w:adjustRightInd/>
        <w:rPr>
          <w:b/>
          <w:sz w:val="24"/>
          <w:szCs w:val="24"/>
          <w:lang w:val="en-US"/>
        </w:rPr>
      </w:pPr>
      <w:r>
        <w:rPr>
          <w:b/>
          <w:sz w:val="24"/>
          <w:szCs w:val="24"/>
          <w:lang w:val="en-US"/>
        </w:rPr>
        <w:t>Table 2</w:t>
      </w:r>
      <w:r w:rsidRPr="002E4E77">
        <w:rPr>
          <w:b/>
          <w:sz w:val="24"/>
          <w:szCs w:val="24"/>
          <w:lang w:val="en-US"/>
        </w:rPr>
        <w:t xml:space="preserve"> Dominant Exotic </w:t>
      </w:r>
      <w:r>
        <w:rPr>
          <w:b/>
          <w:sz w:val="24"/>
          <w:szCs w:val="24"/>
          <w:lang w:val="en-US"/>
        </w:rPr>
        <w:t>Plant Species Recorded May 27</w:t>
      </w:r>
      <w:r w:rsidRPr="002E4E77">
        <w:rPr>
          <w:b/>
          <w:sz w:val="24"/>
          <w:szCs w:val="24"/>
          <w:lang w:val="en-US"/>
        </w:rPr>
        <w:t xml:space="preserve"> </w:t>
      </w:r>
      <w:r w:rsidRPr="002E4E77">
        <w:rPr>
          <w:b/>
          <w:sz w:val="24"/>
          <w:szCs w:val="24"/>
          <w:lang w:val="en-GB"/>
        </w:rPr>
        <w:t>50 Canterbury Road West</w:t>
      </w:r>
    </w:p>
    <w:p w14:paraId="7706C0CA" w14:textId="77777777" w:rsidR="00246003" w:rsidRDefault="00246003" w:rsidP="00246003">
      <w:pPr>
        <w:autoSpaceDE/>
        <w:autoSpaceDN/>
        <w:adjustRightInd/>
        <w:rPr>
          <w:b/>
          <w:sz w:val="24"/>
          <w:szCs w:val="24"/>
          <w:lang w:val="en-US"/>
        </w:rPr>
      </w:pPr>
    </w:p>
    <w:tbl>
      <w:tblPr>
        <w:tblStyle w:val="TableGrid"/>
        <w:tblW w:w="0" w:type="auto"/>
        <w:tblLook w:val="04A0" w:firstRow="1" w:lastRow="0" w:firstColumn="1" w:lastColumn="0" w:noHBand="0" w:noVBand="1"/>
      </w:tblPr>
      <w:tblGrid>
        <w:gridCol w:w="3085"/>
        <w:gridCol w:w="2977"/>
      </w:tblGrid>
      <w:tr w:rsidR="00246003" w14:paraId="76DDB90D" w14:textId="77777777" w:rsidTr="00246003">
        <w:tc>
          <w:tcPr>
            <w:tcW w:w="3085" w:type="dxa"/>
          </w:tcPr>
          <w:p w14:paraId="591EFC38" w14:textId="77777777" w:rsidR="00246003" w:rsidRDefault="00246003" w:rsidP="00246003">
            <w:pPr>
              <w:autoSpaceDE/>
              <w:autoSpaceDN/>
              <w:adjustRightInd/>
              <w:rPr>
                <w:b/>
                <w:sz w:val="24"/>
                <w:szCs w:val="24"/>
                <w:lang w:val="en-US"/>
              </w:rPr>
            </w:pPr>
            <w:r>
              <w:rPr>
                <w:b/>
                <w:sz w:val="24"/>
                <w:szCs w:val="24"/>
                <w:lang w:val="en-US"/>
              </w:rPr>
              <w:t>Botanical Name</w:t>
            </w:r>
          </w:p>
        </w:tc>
        <w:tc>
          <w:tcPr>
            <w:tcW w:w="2977" w:type="dxa"/>
          </w:tcPr>
          <w:p w14:paraId="14BECD7C" w14:textId="77777777" w:rsidR="00246003" w:rsidRDefault="00246003" w:rsidP="00246003">
            <w:pPr>
              <w:autoSpaceDE/>
              <w:autoSpaceDN/>
              <w:adjustRightInd/>
              <w:rPr>
                <w:b/>
                <w:sz w:val="24"/>
                <w:szCs w:val="24"/>
                <w:lang w:val="en-US"/>
              </w:rPr>
            </w:pPr>
            <w:r>
              <w:rPr>
                <w:b/>
                <w:sz w:val="24"/>
                <w:szCs w:val="24"/>
                <w:lang w:val="en-US"/>
              </w:rPr>
              <w:t>Common Name</w:t>
            </w:r>
          </w:p>
        </w:tc>
      </w:tr>
      <w:tr w:rsidR="00246003" w:rsidRPr="004D1EA6" w14:paraId="3C782C2D" w14:textId="77777777" w:rsidTr="00246003">
        <w:tc>
          <w:tcPr>
            <w:tcW w:w="3085" w:type="dxa"/>
          </w:tcPr>
          <w:p w14:paraId="331131F7" w14:textId="77777777" w:rsidR="00246003" w:rsidRPr="004D1EA6" w:rsidRDefault="00246003" w:rsidP="00246003">
            <w:pPr>
              <w:autoSpaceDE/>
              <w:autoSpaceDN/>
              <w:adjustRightInd/>
              <w:rPr>
                <w:i/>
                <w:sz w:val="24"/>
                <w:szCs w:val="24"/>
                <w:lang w:val="en-US"/>
              </w:rPr>
            </w:pPr>
            <w:r w:rsidRPr="004D1EA6">
              <w:rPr>
                <w:i/>
                <w:sz w:val="24"/>
                <w:szCs w:val="24"/>
                <w:lang w:val="en-US"/>
              </w:rPr>
              <w:t>Cynodon dactylon</w:t>
            </w:r>
          </w:p>
        </w:tc>
        <w:tc>
          <w:tcPr>
            <w:tcW w:w="2977" w:type="dxa"/>
          </w:tcPr>
          <w:p w14:paraId="35B6AF84" w14:textId="77777777" w:rsidR="00246003" w:rsidRPr="004D1EA6" w:rsidRDefault="00246003" w:rsidP="00246003">
            <w:pPr>
              <w:autoSpaceDE/>
              <w:autoSpaceDN/>
              <w:adjustRightInd/>
              <w:rPr>
                <w:sz w:val="24"/>
                <w:szCs w:val="24"/>
                <w:lang w:val="en-US"/>
              </w:rPr>
            </w:pPr>
            <w:r w:rsidRPr="004D1EA6">
              <w:rPr>
                <w:sz w:val="24"/>
                <w:szCs w:val="24"/>
                <w:lang w:val="en-US"/>
              </w:rPr>
              <w:t>Couch Grass</w:t>
            </w:r>
          </w:p>
        </w:tc>
      </w:tr>
      <w:tr w:rsidR="00246003" w:rsidRPr="004D1EA6" w14:paraId="79CDD43E" w14:textId="77777777" w:rsidTr="00246003">
        <w:tc>
          <w:tcPr>
            <w:tcW w:w="3085" w:type="dxa"/>
          </w:tcPr>
          <w:p w14:paraId="6943904A" w14:textId="22EE92CA" w:rsidR="00246003" w:rsidRPr="004D1EA6" w:rsidRDefault="00246003" w:rsidP="002E702E">
            <w:pPr>
              <w:autoSpaceDE/>
              <w:autoSpaceDN/>
              <w:adjustRightInd/>
              <w:rPr>
                <w:i/>
                <w:sz w:val="24"/>
                <w:szCs w:val="24"/>
                <w:lang w:val="en-US"/>
              </w:rPr>
            </w:pPr>
            <w:r w:rsidRPr="004D1EA6">
              <w:rPr>
                <w:i/>
                <w:sz w:val="24"/>
                <w:szCs w:val="24"/>
                <w:lang w:val="en-US"/>
              </w:rPr>
              <w:t xml:space="preserve">Eucalyptus </w:t>
            </w:r>
            <w:r w:rsidR="002E702E">
              <w:rPr>
                <w:i/>
                <w:sz w:val="24"/>
                <w:szCs w:val="24"/>
                <w:lang w:val="en-US"/>
              </w:rPr>
              <w:t>globulus</w:t>
            </w:r>
          </w:p>
        </w:tc>
        <w:tc>
          <w:tcPr>
            <w:tcW w:w="2977" w:type="dxa"/>
          </w:tcPr>
          <w:p w14:paraId="60034DD5" w14:textId="58A038FD" w:rsidR="00246003" w:rsidRPr="004D1EA6" w:rsidRDefault="002E702E" w:rsidP="00246003">
            <w:pPr>
              <w:autoSpaceDE/>
              <w:autoSpaceDN/>
              <w:adjustRightInd/>
              <w:rPr>
                <w:sz w:val="24"/>
                <w:szCs w:val="24"/>
                <w:lang w:val="en-US"/>
              </w:rPr>
            </w:pPr>
            <w:r>
              <w:rPr>
                <w:sz w:val="24"/>
                <w:szCs w:val="24"/>
                <w:lang w:val="en-US"/>
              </w:rPr>
              <w:t>Blue</w:t>
            </w:r>
            <w:r w:rsidR="00246003" w:rsidRPr="004D1EA6">
              <w:rPr>
                <w:sz w:val="24"/>
                <w:szCs w:val="24"/>
                <w:lang w:val="en-US"/>
              </w:rPr>
              <w:t xml:space="preserve"> Gum</w:t>
            </w:r>
          </w:p>
        </w:tc>
      </w:tr>
      <w:tr w:rsidR="00246003" w:rsidRPr="004D1EA6" w14:paraId="2599CE4F" w14:textId="77777777" w:rsidTr="00246003">
        <w:tc>
          <w:tcPr>
            <w:tcW w:w="3085" w:type="dxa"/>
          </w:tcPr>
          <w:p w14:paraId="685455FE" w14:textId="77777777" w:rsidR="00246003" w:rsidRPr="004D1EA6" w:rsidRDefault="00246003" w:rsidP="00246003">
            <w:pPr>
              <w:autoSpaceDE/>
              <w:autoSpaceDN/>
              <w:adjustRightInd/>
              <w:rPr>
                <w:i/>
                <w:sz w:val="24"/>
                <w:szCs w:val="24"/>
                <w:lang w:val="en-US"/>
              </w:rPr>
            </w:pPr>
            <w:r>
              <w:rPr>
                <w:i/>
                <w:sz w:val="24"/>
                <w:szCs w:val="24"/>
                <w:lang w:val="en-US"/>
              </w:rPr>
              <w:t>Nassella neesiana</w:t>
            </w:r>
          </w:p>
        </w:tc>
        <w:tc>
          <w:tcPr>
            <w:tcW w:w="2977" w:type="dxa"/>
          </w:tcPr>
          <w:p w14:paraId="0673DAB4" w14:textId="77777777" w:rsidR="00246003" w:rsidRPr="004D1EA6" w:rsidRDefault="00246003" w:rsidP="00246003">
            <w:pPr>
              <w:autoSpaceDE/>
              <w:autoSpaceDN/>
              <w:adjustRightInd/>
              <w:rPr>
                <w:sz w:val="24"/>
                <w:szCs w:val="24"/>
                <w:lang w:val="en-US"/>
              </w:rPr>
            </w:pPr>
            <w:r>
              <w:rPr>
                <w:sz w:val="24"/>
                <w:szCs w:val="24"/>
                <w:lang w:val="en-US"/>
              </w:rPr>
              <w:t>Chilean Needle-grass</w:t>
            </w:r>
          </w:p>
        </w:tc>
      </w:tr>
      <w:tr w:rsidR="00246003" w:rsidRPr="004D1EA6" w14:paraId="0864C921" w14:textId="77777777" w:rsidTr="00246003">
        <w:tc>
          <w:tcPr>
            <w:tcW w:w="3085" w:type="dxa"/>
          </w:tcPr>
          <w:p w14:paraId="188C78E7" w14:textId="77777777" w:rsidR="00246003" w:rsidRPr="004D1EA6" w:rsidRDefault="00246003" w:rsidP="00246003">
            <w:pPr>
              <w:autoSpaceDE/>
              <w:autoSpaceDN/>
              <w:adjustRightInd/>
              <w:rPr>
                <w:i/>
                <w:sz w:val="24"/>
                <w:szCs w:val="24"/>
                <w:lang w:val="en-US"/>
              </w:rPr>
            </w:pPr>
            <w:r>
              <w:rPr>
                <w:i/>
                <w:sz w:val="24"/>
                <w:szCs w:val="24"/>
                <w:lang w:val="en-US"/>
              </w:rPr>
              <w:t>Plantago lanceolata</w:t>
            </w:r>
          </w:p>
        </w:tc>
        <w:tc>
          <w:tcPr>
            <w:tcW w:w="2977" w:type="dxa"/>
          </w:tcPr>
          <w:p w14:paraId="60070557" w14:textId="77777777" w:rsidR="00246003" w:rsidRPr="004D1EA6" w:rsidRDefault="00246003" w:rsidP="00246003">
            <w:pPr>
              <w:autoSpaceDE/>
              <w:autoSpaceDN/>
              <w:adjustRightInd/>
              <w:rPr>
                <w:sz w:val="24"/>
                <w:szCs w:val="24"/>
                <w:lang w:val="en-US"/>
              </w:rPr>
            </w:pPr>
            <w:r>
              <w:rPr>
                <w:sz w:val="24"/>
                <w:szCs w:val="24"/>
                <w:lang w:val="en-US"/>
              </w:rPr>
              <w:t>Ribwort</w:t>
            </w:r>
          </w:p>
        </w:tc>
      </w:tr>
      <w:tr w:rsidR="00246003" w:rsidRPr="004D1EA6" w14:paraId="4D5A49CA" w14:textId="77777777" w:rsidTr="00246003">
        <w:tc>
          <w:tcPr>
            <w:tcW w:w="3085" w:type="dxa"/>
          </w:tcPr>
          <w:p w14:paraId="1D84A765" w14:textId="77777777" w:rsidR="00246003" w:rsidRPr="004D1EA6" w:rsidRDefault="00246003" w:rsidP="00246003">
            <w:pPr>
              <w:autoSpaceDE/>
              <w:autoSpaceDN/>
              <w:adjustRightInd/>
              <w:rPr>
                <w:i/>
                <w:sz w:val="24"/>
                <w:szCs w:val="24"/>
                <w:lang w:val="en-US"/>
              </w:rPr>
            </w:pPr>
            <w:r>
              <w:rPr>
                <w:i/>
                <w:sz w:val="24"/>
                <w:szCs w:val="24"/>
                <w:lang w:val="en-US"/>
              </w:rPr>
              <w:t>Phalaris aquatica</w:t>
            </w:r>
          </w:p>
        </w:tc>
        <w:tc>
          <w:tcPr>
            <w:tcW w:w="2977" w:type="dxa"/>
          </w:tcPr>
          <w:p w14:paraId="05168E35" w14:textId="77777777" w:rsidR="00246003" w:rsidRPr="004D1EA6" w:rsidRDefault="00246003" w:rsidP="00246003">
            <w:pPr>
              <w:autoSpaceDE/>
              <w:autoSpaceDN/>
              <w:adjustRightInd/>
              <w:rPr>
                <w:sz w:val="24"/>
                <w:szCs w:val="24"/>
                <w:lang w:val="en-US"/>
              </w:rPr>
            </w:pPr>
            <w:r>
              <w:rPr>
                <w:sz w:val="24"/>
                <w:szCs w:val="24"/>
                <w:lang w:val="en-US"/>
              </w:rPr>
              <w:t>Canary-grass</w:t>
            </w:r>
          </w:p>
        </w:tc>
      </w:tr>
      <w:tr w:rsidR="00246003" w:rsidRPr="004D1EA6" w14:paraId="19DE7203" w14:textId="77777777" w:rsidTr="00246003">
        <w:tc>
          <w:tcPr>
            <w:tcW w:w="3085" w:type="dxa"/>
          </w:tcPr>
          <w:p w14:paraId="1BCDAF9D" w14:textId="77777777" w:rsidR="00246003" w:rsidRPr="004D1EA6" w:rsidRDefault="00246003" w:rsidP="00246003">
            <w:pPr>
              <w:autoSpaceDE/>
              <w:autoSpaceDN/>
              <w:adjustRightInd/>
              <w:rPr>
                <w:i/>
                <w:sz w:val="24"/>
                <w:szCs w:val="24"/>
                <w:lang w:val="en-US"/>
              </w:rPr>
            </w:pPr>
            <w:r>
              <w:rPr>
                <w:i/>
                <w:sz w:val="24"/>
                <w:szCs w:val="24"/>
                <w:lang w:val="en-US"/>
              </w:rPr>
              <w:t>Lycium ferrocisimum</w:t>
            </w:r>
          </w:p>
        </w:tc>
        <w:tc>
          <w:tcPr>
            <w:tcW w:w="2977" w:type="dxa"/>
          </w:tcPr>
          <w:p w14:paraId="3CD6DCB9" w14:textId="77777777" w:rsidR="00246003" w:rsidRPr="004D1EA6" w:rsidRDefault="00246003" w:rsidP="00246003">
            <w:pPr>
              <w:autoSpaceDE/>
              <w:autoSpaceDN/>
              <w:adjustRightInd/>
              <w:rPr>
                <w:sz w:val="24"/>
                <w:szCs w:val="24"/>
                <w:lang w:val="en-US"/>
              </w:rPr>
            </w:pPr>
            <w:r>
              <w:rPr>
                <w:sz w:val="24"/>
                <w:szCs w:val="24"/>
                <w:lang w:val="en-US"/>
              </w:rPr>
              <w:t>Boxthorn</w:t>
            </w:r>
          </w:p>
        </w:tc>
      </w:tr>
      <w:tr w:rsidR="00246003" w:rsidRPr="004D1EA6" w14:paraId="33CC938E" w14:textId="77777777" w:rsidTr="00246003">
        <w:tc>
          <w:tcPr>
            <w:tcW w:w="3085" w:type="dxa"/>
          </w:tcPr>
          <w:p w14:paraId="05C8978A" w14:textId="77777777" w:rsidR="00246003" w:rsidRPr="004D1EA6" w:rsidRDefault="00246003" w:rsidP="00246003">
            <w:pPr>
              <w:autoSpaceDE/>
              <w:autoSpaceDN/>
              <w:adjustRightInd/>
              <w:rPr>
                <w:i/>
                <w:sz w:val="24"/>
                <w:szCs w:val="24"/>
                <w:lang w:val="en-US"/>
              </w:rPr>
            </w:pPr>
            <w:r>
              <w:rPr>
                <w:i/>
                <w:sz w:val="24"/>
                <w:szCs w:val="24"/>
                <w:lang w:val="en-US"/>
              </w:rPr>
              <w:t>Galenia pubescens</w:t>
            </w:r>
          </w:p>
        </w:tc>
        <w:tc>
          <w:tcPr>
            <w:tcW w:w="2977" w:type="dxa"/>
          </w:tcPr>
          <w:p w14:paraId="7B6A3051" w14:textId="77777777" w:rsidR="00246003" w:rsidRPr="004D1EA6" w:rsidRDefault="00246003" w:rsidP="00246003">
            <w:pPr>
              <w:autoSpaceDE/>
              <w:autoSpaceDN/>
              <w:adjustRightInd/>
              <w:rPr>
                <w:sz w:val="24"/>
                <w:szCs w:val="24"/>
                <w:lang w:val="en-US"/>
              </w:rPr>
            </w:pPr>
            <w:r>
              <w:rPr>
                <w:sz w:val="24"/>
                <w:szCs w:val="24"/>
                <w:lang w:val="en-US"/>
              </w:rPr>
              <w:t>Blanket Weed</w:t>
            </w:r>
          </w:p>
        </w:tc>
      </w:tr>
    </w:tbl>
    <w:p w14:paraId="4A457970" w14:textId="73AF8AA1" w:rsidR="00246003" w:rsidRDefault="00246003" w:rsidP="002E4E77">
      <w:pPr>
        <w:numPr>
          <w:ilvl w:val="12"/>
          <w:numId w:val="0"/>
        </w:numPr>
        <w:rPr>
          <w:sz w:val="24"/>
          <w:szCs w:val="24"/>
          <w:lang w:val="en-US"/>
        </w:rPr>
      </w:pPr>
    </w:p>
    <w:p w14:paraId="30662ED6" w14:textId="77777777" w:rsidR="00246003" w:rsidRDefault="00246003">
      <w:pPr>
        <w:autoSpaceDE/>
        <w:autoSpaceDN/>
        <w:adjustRightInd/>
        <w:rPr>
          <w:sz w:val="24"/>
          <w:szCs w:val="24"/>
          <w:lang w:val="en-US"/>
        </w:rPr>
      </w:pPr>
      <w:r>
        <w:rPr>
          <w:sz w:val="24"/>
          <w:szCs w:val="24"/>
          <w:lang w:val="en-US"/>
        </w:rPr>
        <w:br w:type="page"/>
      </w:r>
    </w:p>
    <w:p w14:paraId="0C2E9FA7" w14:textId="77777777" w:rsidR="00246003" w:rsidRDefault="00246003" w:rsidP="002E4E77">
      <w:pPr>
        <w:numPr>
          <w:ilvl w:val="12"/>
          <w:numId w:val="0"/>
        </w:numPr>
        <w:rPr>
          <w:sz w:val="24"/>
          <w:szCs w:val="24"/>
          <w:lang w:val="en-US"/>
        </w:rPr>
      </w:pPr>
    </w:p>
    <w:p w14:paraId="2FBD8F62" w14:textId="77777777" w:rsidR="002E4E77" w:rsidRPr="00B2651E" w:rsidRDefault="002E4E77" w:rsidP="002E4E77">
      <w:pPr>
        <w:pStyle w:val="Heading2"/>
        <w:rPr>
          <w:sz w:val="24"/>
          <w:szCs w:val="24"/>
          <w:lang w:val="en-US"/>
        </w:rPr>
      </w:pPr>
      <w:bookmarkStart w:id="16" w:name="_Toc231357508"/>
      <w:r>
        <w:rPr>
          <w:lang w:val="en-US"/>
        </w:rPr>
        <w:t>3.3</w:t>
      </w:r>
      <w:r>
        <w:rPr>
          <w:lang w:val="en-US"/>
        </w:rPr>
        <w:tab/>
        <w:t>Vegetation Condition</w:t>
      </w:r>
      <w:bookmarkEnd w:id="16"/>
      <w:r>
        <w:rPr>
          <w:lang w:val="en-US"/>
        </w:rPr>
        <w:t xml:space="preserve"> </w:t>
      </w:r>
    </w:p>
    <w:p w14:paraId="16326F2E" w14:textId="77777777" w:rsidR="002E4E77" w:rsidRPr="001114A0" w:rsidRDefault="002E4E77" w:rsidP="002E4E77">
      <w:pPr>
        <w:rPr>
          <w:lang w:val="en-US"/>
        </w:rPr>
      </w:pPr>
    </w:p>
    <w:p w14:paraId="5682D48B" w14:textId="57CBBCC8" w:rsidR="00192E70" w:rsidRDefault="00192E70" w:rsidP="00192E70">
      <w:pPr>
        <w:numPr>
          <w:ilvl w:val="12"/>
          <w:numId w:val="0"/>
        </w:numPr>
        <w:rPr>
          <w:sz w:val="24"/>
          <w:szCs w:val="24"/>
          <w:lang w:val="en-US"/>
        </w:rPr>
      </w:pPr>
      <w:r>
        <w:rPr>
          <w:sz w:val="24"/>
          <w:szCs w:val="24"/>
          <w:lang w:val="en-US"/>
        </w:rPr>
        <w:t xml:space="preserve">The majority of the site carries </w:t>
      </w:r>
      <w:r w:rsidR="00616989">
        <w:rPr>
          <w:sz w:val="24"/>
          <w:szCs w:val="24"/>
          <w:lang w:val="en-US"/>
        </w:rPr>
        <w:t>exotic vegetation</w:t>
      </w:r>
      <w:r>
        <w:rPr>
          <w:sz w:val="24"/>
          <w:szCs w:val="24"/>
          <w:lang w:val="en-US"/>
        </w:rPr>
        <w:t xml:space="preserve">. The cover value of </w:t>
      </w:r>
      <w:r w:rsidR="00616989">
        <w:rPr>
          <w:sz w:val="24"/>
          <w:szCs w:val="24"/>
          <w:lang w:val="en-US"/>
        </w:rPr>
        <w:t>the indigenous vegetation is negligible (&lt; 1%)</w:t>
      </w:r>
      <w:r>
        <w:rPr>
          <w:sz w:val="24"/>
          <w:szCs w:val="24"/>
          <w:lang w:val="en-US"/>
        </w:rPr>
        <w:t xml:space="preserve">. The </w:t>
      </w:r>
      <w:r w:rsidR="00A35F1A">
        <w:rPr>
          <w:sz w:val="24"/>
          <w:szCs w:val="24"/>
          <w:lang w:val="en-US"/>
        </w:rPr>
        <w:t>majority of the</w:t>
      </w:r>
      <w:r>
        <w:rPr>
          <w:sz w:val="24"/>
          <w:szCs w:val="24"/>
          <w:lang w:val="en-US"/>
        </w:rPr>
        <w:t xml:space="preserve"> study area appears to have been de-rocked and disturbed at some time in the past and is currently </w:t>
      </w:r>
      <w:r w:rsidR="00616989">
        <w:rPr>
          <w:sz w:val="24"/>
          <w:szCs w:val="24"/>
          <w:lang w:val="en-US"/>
        </w:rPr>
        <w:t>fallow and lightly grazed</w:t>
      </w:r>
      <w:r>
        <w:rPr>
          <w:sz w:val="24"/>
          <w:szCs w:val="24"/>
          <w:lang w:val="en-US"/>
        </w:rPr>
        <w:t xml:space="preserve">. </w:t>
      </w:r>
      <w:r w:rsidR="00A35F1A">
        <w:rPr>
          <w:sz w:val="24"/>
          <w:szCs w:val="24"/>
          <w:lang w:val="en-US"/>
        </w:rPr>
        <w:t>The remaining area (the existing residence and gardens) consists of exotic lawn and garden specimens.</w:t>
      </w:r>
    </w:p>
    <w:p w14:paraId="7420AEBC" w14:textId="77777777" w:rsidR="00192E70" w:rsidRDefault="00192E70" w:rsidP="00192E70">
      <w:pPr>
        <w:numPr>
          <w:ilvl w:val="12"/>
          <w:numId w:val="0"/>
        </w:numPr>
        <w:rPr>
          <w:sz w:val="24"/>
          <w:szCs w:val="24"/>
          <w:lang w:val="en-US"/>
        </w:rPr>
      </w:pPr>
    </w:p>
    <w:p w14:paraId="24DC6520" w14:textId="60E6BE67" w:rsidR="00192E70" w:rsidRDefault="00192E70" w:rsidP="00192E70">
      <w:pPr>
        <w:rPr>
          <w:sz w:val="24"/>
          <w:szCs w:val="24"/>
        </w:rPr>
      </w:pPr>
      <w:r w:rsidRPr="005C702A">
        <w:rPr>
          <w:sz w:val="24"/>
          <w:szCs w:val="24"/>
        </w:rPr>
        <w:t xml:space="preserve">This vegetation is </w:t>
      </w:r>
      <w:r w:rsidR="00246003">
        <w:rPr>
          <w:sz w:val="24"/>
          <w:szCs w:val="24"/>
        </w:rPr>
        <w:t>assessed</w:t>
      </w:r>
      <w:r w:rsidRPr="005C702A">
        <w:rPr>
          <w:sz w:val="24"/>
          <w:szCs w:val="24"/>
        </w:rPr>
        <w:t xml:space="preserve"> to </w:t>
      </w:r>
      <w:r w:rsidR="00246003">
        <w:rPr>
          <w:sz w:val="24"/>
          <w:szCs w:val="24"/>
        </w:rPr>
        <w:t>be</w:t>
      </w:r>
      <w:r w:rsidRPr="005C702A">
        <w:rPr>
          <w:sz w:val="24"/>
          <w:szCs w:val="24"/>
        </w:rPr>
        <w:t xml:space="preserve"> substantially modified as a result of repeated cultivation and</w:t>
      </w:r>
      <w:r w:rsidR="00616989">
        <w:rPr>
          <w:sz w:val="24"/>
          <w:szCs w:val="24"/>
        </w:rPr>
        <w:t xml:space="preserve"> grazing </w:t>
      </w:r>
      <w:r w:rsidRPr="005C702A">
        <w:rPr>
          <w:sz w:val="24"/>
          <w:szCs w:val="24"/>
        </w:rPr>
        <w:t>and is considered to be of low ecological value.</w:t>
      </w:r>
    </w:p>
    <w:p w14:paraId="0422260F" w14:textId="77777777" w:rsidR="00616989" w:rsidRDefault="00616989" w:rsidP="00192E70">
      <w:pPr>
        <w:rPr>
          <w:sz w:val="24"/>
          <w:szCs w:val="24"/>
        </w:rPr>
      </w:pPr>
    </w:p>
    <w:p w14:paraId="2D1AC1D3" w14:textId="6192BBB3" w:rsidR="00616989" w:rsidRPr="005C702A" w:rsidRDefault="00616989" w:rsidP="00192E70">
      <w:pPr>
        <w:rPr>
          <w:sz w:val="24"/>
          <w:szCs w:val="24"/>
        </w:rPr>
      </w:pPr>
      <w:r>
        <w:rPr>
          <w:sz w:val="24"/>
          <w:szCs w:val="24"/>
        </w:rPr>
        <w:t>Several non</w:t>
      </w:r>
      <w:r w:rsidR="008A0C4A">
        <w:rPr>
          <w:sz w:val="24"/>
          <w:szCs w:val="24"/>
        </w:rPr>
        <w:t>-</w:t>
      </w:r>
      <w:r>
        <w:rPr>
          <w:sz w:val="24"/>
          <w:szCs w:val="24"/>
        </w:rPr>
        <w:t>indigenous trees have been planted. The house area consists of exotic lawn and garden specimens</w:t>
      </w:r>
      <w:r w:rsidR="008A0C4A">
        <w:rPr>
          <w:sz w:val="24"/>
          <w:szCs w:val="24"/>
        </w:rPr>
        <w:t>.</w:t>
      </w:r>
    </w:p>
    <w:p w14:paraId="4232B0CB" w14:textId="77777777" w:rsidR="002E4E77" w:rsidRDefault="002E4E77" w:rsidP="002E4E77">
      <w:pPr>
        <w:autoSpaceDE/>
        <w:autoSpaceDN/>
        <w:adjustRightInd/>
        <w:rPr>
          <w:b/>
          <w:sz w:val="24"/>
          <w:szCs w:val="24"/>
          <w:lang w:val="en-US"/>
        </w:rPr>
      </w:pPr>
    </w:p>
    <w:p w14:paraId="2DB53703" w14:textId="55379D5D" w:rsidR="002E4E77" w:rsidRPr="005D1340" w:rsidRDefault="002E4E77" w:rsidP="002E4E77">
      <w:pPr>
        <w:autoSpaceDE/>
        <w:autoSpaceDN/>
        <w:adjustRightInd/>
        <w:rPr>
          <w:sz w:val="24"/>
          <w:szCs w:val="24"/>
          <w:lang w:val="en-US"/>
        </w:rPr>
      </w:pPr>
      <w:r w:rsidRPr="005D1340">
        <w:rPr>
          <w:sz w:val="24"/>
          <w:szCs w:val="24"/>
          <w:lang w:val="en-US"/>
        </w:rPr>
        <w:t xml:space="preserve">Note that </w:t>
      </w:r>
      <w:r>
        <w:rPr>
          <w:sz w:val="24"/>
          <w:szCs w:val="24"/>
          <w:lang w:val="en-US"/>
        </w:rPr>
        <w:t xml:space="preserve">the adjacent </w:t>
      </w:r>
      <w:r w:rsidRPr="005D1340">
        <w:rPr>
          <w:sz w:val="24"/>
          <w:szCs w:val="24"/>
          <w:lang w:val="en-US"/>
        </w:rPr>
        <w:t xml:space="preserve">Canterbury Rd West </w:t>
      </w:r>
      <w:r w:rsidR="00246003">
        <w:rPr>
          <w:sz w:val="24"/>
          <w:szCs w:val="24"/>
          <w:lang w:val="en-US"/>
        </w:rPr>
        <w:t>roadside reserve</w:t>
      </w:r>
      <w:r>
        <w:rPr>
          <w:sz w:val="24"/>
          <w:szCs w:val="24"/>
          <w:lang w:val="en-US"/>
        </w:rPr>
        <w:t xml:space="preserve"> </w:t>
      </w:r>
      <w:r w:rsidR="00246003">
        <w:rPr>
          <w:sz w:val="24"/>
          <w:szCs w:val="24"/>
          <w:lang w:val="en-US"/>
        </w:rPr>
        <w:t>was also inspected and was</w:t>
      </w:r>
      <w:r w:rsidRPr="005D1340">
        <w:rPr>
          <w:sz w:val="24"/>
          <w:szCs w:val="24"/>
          <w:lang w:val="en-US"/>
        </w:rPr>
        <w:t xml:space="preserve"> found to carry entirely exotic vegetation, comprised of s</w:t>
      </w:r>
      <w:r w:rsidR="00246003">
        <w:rPr>
          <w:sz w:val="24"/>
          <w:szCs w:val="24"/>
          <w:lang w:val="en-US"/>
        </w:rPr>
        <w:t>pecies recorded in Table 2</w:t>
      </w:r>
      <w:r w:rsidRPr="005D1340">
        <w:rPr>
          <w:sz w:val="24"/>
          <w:szCs w:val="24"/>
          <w:lang w:val="en-US"/>
        </w:rPr>
        <w:t>.</w:t>
      </w:r>
    </w:p>
    <w:p w14:paraId="1C0C2AB6" w14:textId="77777777" w:rsidR="002E4E77" w:rsidRPr="004D1EA6" w:rsidRDefault="002E4E77" w:rsidP="002E4E77">
      <w:pPr>
        <w:autoSpaceDE/>
        <w:autoSpaceDN/>
        <w:adjustRightInd/>
        <w:rPr>
          <w:b/>
          <w:sz w:val="24"/>
          <w:szCs w:val="24"/>
          <w:lang w:val="en-US"/>
        </w:rPr>
      </w:pPr>
      <w:r w:rsidRPr="004D1EA6">
        <w:rPr>
          <w:b/>
          <w:sz w:val="24"/>
          <w:szCs w:val="24"/>
          <w:lang w:val="en-US"/>
        </w:rPr>
        <w:br w:type="page"/>
      </w:r>
    </w:p>
    <w:p w14:paraId="19CF3993" w14:textId="77777777" w:rsidR="002E4E77" w:rsidRDefault="002E4E77" w:rsidP="002E4E77">
      <w:pPr>
        <w:numPr>
          <w:ilvl w:val="12"/>
          <w:numId w:val="0"/>
        </w:numPr>
        <w:rPr>
          <w:sz w:val="24"/>
          <w:szCs w:val="24"/>
          <w:lang w:val="en-US"/>
        </w:rPr>
      </w:pPr>
    </w:p>
    <w:p w14:paraId="3DE06B62" w14:textId="77777777" w:rsidR="002E4E77" w:rsidRDefault="002E4E77" w:rsidP="002E4E77">
      <w:pPr>
        <w:pStyle w:val="Heading2"/>
        <w:rPr>
          <w:lang w:val="en-US"/>
        </w:rPr>
      </w:pPr>
      <w:bookmarkStart w:id="17" w:name="_Toc231357509"/>
      <w:r>
        <w:rPr>
          <w:lang w:val="en-US"/>
        </w:rPr>
        <w:t>3.4</w:t>
      </w:r>
      <w:r>
        <w:rPr>
          <w:lang w:val="en-US"/>
        </w:rPr>
        <w:tab/>
        <w:t>Listed Significant Species</w:t>
      </w:r>
      <w:bookmarkEnd w:id="17"/>
    </w:p>
    <w:p w14:paraId="6584642B" w14:textId="77777777" w:rsidR="002E4E77" w:rsidRDefault="002E4E77" w:rsidP="002E4E77">
      <w:pPr>
        <w:numPr>
          <w:ilvl w:val="12"/>
          <w:numId w:val="0"/>
        </w:numPr>
        <w:rPr>
          <w:sz w:val="24"/>
          <w:szCs w:val="24"/>
          <w:lang w:val="en-US"/>
        </w:rPr>
      </w:pPr>
    </w:p>
    <w:p w14:paraId="2303B019" w14:textId="77777777" w:rsidR="002E4E77" w:rsidRDefault="002E4E77" w:rsidP="002E4E77">
      <w:pPr>
        <w:numPr>
          <w:ilvl w:val="12"/>
          <w:numId w:val="0"/>
        </w:numPr>
        <w:rPr>
          <w:sz w:val="24"/>
        </w:rPr>
      </w:pPr>
      <w:r w:rsidRPr="00B2651E">
        <w:rPr>
          <w:sz w:val="24"/>
        </w:rPr>
        <w:t xml:space="preserve">The DSE database </w:t>
      </w:r>
      <w:r>
        <w:rPr>
          <w:sz w:val="24"/>
        </w:rPr>
        <w:t xml:space="preserve">(DSE Website i, ii) </w:t>
      </w:r>
      <w:r w:rsidRPr="00B2651E">
        <w:rPr>
          <w:sz w:val="24"/>
        </w:rPr>
        <w:t>lists one significant plant species</w:t>
      </w:r>
      <w:r>
        <w:rPr>
          <w:sz w:val="24"/>
        </w:rPr>
        <w:t xml:space="preserve"> and two significant fauna</w:t>
      </w:r>
      <w:r w:rsidRPr="00B2651E">
        <w:rPr>
          <w:sz w:val="24"/>
        </w:rPr>
        <w:t xml:space="preserve"> species as occurring within the immediate vicinity of the study area</w:t>
      </w:r>
      <w:r>
        <w:rPr>
          <w:sz w:val="24"/>
        </w:rPr>
        <w:t xml:space="preserve"> (i.e. within 5 kilometres)</w:t>
      </w:r>
      <w:r w:rsidRPr="00B2651E">
        <w:rPr>
          <w:sz w:val="24"/>
        </w:rPr>
        <w:t xml:space="preserve">. </w:t>
      </w:r>
    </w:p>
    <w:p w14:paraId="5F8766D4" w14:textId="77777777" w:rsidR="002E4E77" w:rsidRDefault="002E4E77" w:rsidP="002E4E77">
      <w:pPr>
        <w:numPr>
          <w:ilvl w:val="12"/>
          <w:numId w:val="0"/>
        </w:numPr>
        <w:rPr>
          <w:sz w:val="24"/>
        </w:rPr>
      </w:pPr>
    </w:p>
    <w:p w14:paraId="6880B23F" w14:textId="77777777" w:rsidR="002E4E77" w:rsidRDefault="002E4E77" w:rsidP="002E4E77">
      <w:pPr>
        <w:numPr>
          <w:ilvl w:val="12"/>
          <w:numId w:val="0"/>
        </w:numPr>
        <w:rPr>
          <w:sz w:val="24"/>
        </w:rPr>
      </w:pPr>
      <w:r>
        <w:rPr>
          <w:sz w:val="24"/>
        </w:rPr>
        <w:t xml:space="preserve">Due to the highly degraded and fragmented nature of the study area none of these three species are considered likely to occur within the study area (i.e. remaining 50 % quality habitat). </w:t>
      </w:r>
    </w:p>
    <w:p w14:paraId="2C4315EC" w14:textId="77777777" w:rsidR="002E4E77" w:rsidRDefault="002E4E77" w:rsidP="002E4E77">
      <w:pPr>
        <w:numPr>
          <w:ilvl w:val="12"/>
          <w:numId w:val="0"/>
        </w:numPr>
        <w:rPr>
          <w:sz w:val="24"/>
        </w:rPr>
      </w:pPr>
    </w:p>
    <w:p w14:paraId="24ACBBF4" w14:textId="77777777" w:rsidR="002E4E77" w:rsidRDefault="002E4E77" w:rsidP="002E4E77">
      <w:pPr>
        <w:numPr>
          <w:ilvl w:val="12"/>
          <w:numId w:val="0"/>
        </w:numPr>
        <w:rPr>
          <w:sz w:val="24"/>
        </w:rPr>
      </w:pPr>
      <w:r>
        <w:rPr>
          <w:sz w:val="24"/>
        </w:rPr>
        <w:t>Refer to Table 2 for the listed significant species including a discussion of preferred habitat, likelihood of occurrence and response to the Framework requirements.</w:t>
      </w:r>
    </w:p>
    <w:p w14:paraId="11B3427B" w14:textId="77777777" w:rsidR="002E4E77" w:rsidRDefault="002E4E77" w:rsidP="002E4E77">
      <w:pPr>
        <w:numPr>
          <w:ilvl w:val="12"/>
          <w:numId w:val="0"/>
        </w:numPr>
        <w:rPr>
          <w:sz w:val="24"/>
        </w:rPr>
      </w:pPr>
    </w:p>
    <w:p w14:paraId="250A1D0F" w14:textId="77777777" w:rsidR="002E4E77" w:rsidRDefault="002E4E77" w:rsidP="002E4E77">
      <w:pPr>
        <w:numPr>
          <w:ilvl w:val="12"/>
          <w:numId w:val="0"/>
        </w:numPr>
        <w:rPr>
          <w:sz w:val="24"/>
        </w:rPr>
      </w:pPr>
    </w:p>
    <w:p w14:paraId="1009A105" w14:textId="77777777" w:rsidR="002E4E77" w:rsidRDefault="002E4E77" w:rsidP="002E4E77">
      <w:pPr>
        <w:numPr>
          <w:ilvl w:val="12"/>
          <w:numId w:val="0"/>
        </w:numPr>
        <w:rPr>
          <w:sz w:val="24"/>
        </w:rPr>
      </w:pPr>
      <w:r w:rsidRPr="00C06503">
        <w:rPr>
          <w:b/>
          <w:sz w:val="24"/>
        </w:rPr>
        <w:t xml:space="preserve">Table </w:t>
      </w:r>
      <w:r>
        <w:rPr>
          <w:b/>
          <w:sz w:val="24"/>
        </w:rPr>
        <w:t>2</w:t>
      </w:r>
      <w:r w:rsidRPr="00FA6F76">
        <w:rPr>
          <w:sz w:val="24"/>
        </w:rPr>
        <w:t xml:space="preserve"> </w:t>
      </w:r>
      <w:r w:rsidRPr="00FA6F76">
        <w:rPr>
          <w:b/>
          <w:sz w:val="24"/>
        </w:rPr>
        <w:t>Listed Significant F</w:t>
      </w:r>
      <w:r>
        <w:rPr>
          <w:b/>
          <w:sz w:val="24"/>
        </w:rPr>
        <w:t>lora and Fauna Species and the Likelihood of O</w:t>
      </w:r>
      <w:r w:rsidRPr="00FA6F76">
        <w:rPr>
          <w:b/>
          <w:sz w:val="24"/>
        </w:rPr>
        <w:t>ccurrence</w:t>
      </w:r>
    </w:p>
    <w:p w14:paraId="5C72E4C0" w14:textId="77777777" w:rsidR="002E4E77" w:rsidRDefault="002E4E77" w:rsidP="002E4E77">
      <w:pPr>
        <w:numPr>
          <w:ilvl w:val="12"/>
          <w:numId w:val="0"/>
        </w:numPr>
        <w:rPr>
          <w:sz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1123"/>
        <w:gridCol w:w="850"/>
        <w:gridCol w:w="851"/>
        <w:gridCol w:w="850"/>
        <w:gridCol w:w="1134"/>
        <w:gridCol w:w="1287"/>
        <w:gridCol w:w="1843"/>
      </w:tblGrid>
      <w:tr w:rsidR="002E4E77" w:rsidRPr="003D6B5C" w14:paraId="3D2A3016" w14:textId="77777777" w:rsidTr="00192E70">
        <w:tc>
          <w:tcPr>
            <w:tcW w:w="1384" w:type="dxa"/>
            <w:shd w:val="clear" w:color="auto" w:fill="D9D9D9"/>
          </w:tcPr>
          <w:p w14:paraId="3EBE92D6" w14:textId="77777777" w:rsidR="002E4E77" w:rsidRPr="003D6B5C" w:rsidRDefault="002E4E77" w:rsidP="00192E70">
            <w:pPr>
              <w:rPr>
                <w:rFonts w:ascii="Arial Narrow" w:hAnsi="Arial Narrow"/>
                <w:b/>
                <w:sz w:val="22"/>
              </w:rPr>
            </w:pPr>
            <w:r w:rsidRPr="003D6B5C">
              <w:rPr>
                <w:rFonts w:ascii="Arial Narrow" w:hAnsi="Arial Narrow"/>
                <w:b/>
                <w:sz w:val="22"/>
              </w:rPr>
              <w:t>Scientific Name</w:t>
            </w:r>
          </w:p>
        </w:tc>
        <w:tc>
          <w:tcPr>
            <w:tcW w:w="1123" w:type="dxa"/>
            <w:shd w:val="clear" w:color="auto" w:fill="D9D9D9"/>
          </w:tcPr>
          <w:p w14:paraId="3013E39A" w14:textId="77777777" w:rsidR="002E4E77" w:rsidRPr="003D6B5C" w:rsidRDefault="002E4E77" w:rsidP="00192E70">
            <w:pPr>
              <w:rPr>
                <w:rFonts w:ascii="Arial Narrow" w:hAnsi="Arial Narrow"/>
                <w:b/>
                <w:sz w:val="22"/>
              </w:rPr>
            </w:pPr>
            <w:r w:rsidRPr="003D6B5C">
              <w:rPr>
                <w:rFonts w:ascii="Arial Narrow" w:hAnsi="Arial Narrow"/>
                <w:b/>
                <w:sz w:val="22"/>
              </w:rPr>
              <w:t>Common Name</w:t>
            </w:r>
          </w:p>
        </w:tc>
        <w:tc>
          <w:tcPr>
            <w:tcW w:w="850" w:type="dxa"/>
            <w:shd w:val="clear" w:color="auto" w:fill="D9D9D9"/>
          </w:tcPr>
          <w:p w14:paraId="060F45D8" w14:textId="77777777" w:rsidR="002E4E77" w:rsidRPr="003D6B5C" w:rsidRDefault="002E4E77" w:rsidP="00192E70">
            <w:pPr>
              <w:rPr>
                <w:rFonts w:ascii="Arial Narrow" w:hAnsi="Arial Narrow"/>
                <w:b/>
                <w:sz w:val="22"/>
              </w:rPr>
            </w:pPr>
            <w:r w:rsidRPr="003D6B5C">
              <w:rPr>
                <w:rFonts w:ascii="Arial Narrow" w:hAnsi="Arial Narrow"/>
                <w:b/>
                <w:sz w:val="22"/>
              </w:rPr>
              <w:t>Record this survey</w:t>
            </w:r>
          </w:p>
        </w:tc>
        <w:tc>
          <w:tcPr>
            <w:tcW w:w="851" w:type="dxa"/>
            <w:shd w:val="clear" w:color="auto" w:fill="D9D9D9"/>
          </w:tcPr>
          <w:p w14:paraId="12F71A1B" w14:textId="77777777" w:rsidR="002E4E77" w:rsidRPr="003D6B5C" w:rsidRDefault="002E4E77" w:rsidP="00192E70">
            <w:pPr>
              <w:rPr>
                <w:rFonts w:ascii="Arial Narrow" w:hAnsi="Arial Narrow"/>
                <w:b/>
                <w:sz w:val="22"/>
              </w:rPr>
            </w:pPr>
            <w:r w:rsidRPr="003D6B5C">
              <w:rPr>
                <w:rFonts w:ascii="Arial Narrow" w:hAnsi="Arial Narrow"/>
                <w:b/>
                <w:sz w:val="22"/>
              </w:rPr>
              <w:t>Status</w:t>
            </w:r>
          </w:p>
        </w:tc>
        <w:tc>
          <w:tcPr>
            <w:tcW w:w="850" w:type="dxa"/>
            <w:shd w:val="clear" w:color="auto" w:fill="D9D9D9"/>
          </w:tcPr>
          <w:p w14:paraId="2CB13ED9" w14:textId="77777777" w:rsidR="002E4E77" w:rsidRPr="003D6B5C" w:rsidRDefault="002E4E77" w:rsidP="00192E70">
            <w:pPr>
              <w:rPr>
                <w:rFonts w:ascii="Arial Narrow" w:hAnsi="Arial Narrow"/>
                <w:b/>
                <w:sz w:val="22"/>
              </w:rPr>
            </w:pPr>
            <w:r w:rsidRPr="003D6B5C">
              <w:rPr>
                <w:rFonts w:ascii="Arial Narrow" w:hAnsi="Arial Narrow"/>
                <w:b/>
                <w:sz w:val="22"/>
              </w:rPr>
              <w:t>Steps</w:t>
            </w:r>
          </w:p>
        </w:tc>
        <w:tc>
          <w:tcPr>
            <w:tcW w:w="1134" w:type="dxa"/>
            <w:shd w:val="clear" w:color="auto" w:fill="D9D9D9"/>
          </w:tcPr>
          <w:p w14:paraId="26C4D7C9" w14:textId="77777777" w:rsidR="002E4E77" w:rsidRPr="003D6B5C" w:rsidRDefault="002E4E77" w:rsidP="00192E70">
            <w:pPr>
              <w:rPr>
                <w:rFonts w:ascii="Arial Narrow" w:hAnsi="Arial Narrow"/>
                <w:b/>
                <w:sz w:val="22"/>
              </w:rPr>
            </w:pPr>
            <w:r w:rsidRPr="003D6B5C">
              <w:rPr>
                <w:rFonts w:ascii="Arial Narrow" w:hAnsi="Arial Narrow"/>
                <w:b/>
                <w:sz w:val="22"/>
              </w:rPr>
              <w:t>Best 50%</w:t>
            </w:r>
          </w:p>
        </w:tc>
        <w:tc>
          <w:tcPr>
            <w:tcW w:w="1287" w:type="dxa"/>
            <w:shd w:val="clear" w:color="auto" w:fill="D9D9D9"/>
          </w:tcPr>
          <w:p w14:paraId="68970266" w14:textId="77777777" w:rsidR="002E4E77" w:rsidRPr="003D6B5C" w:rsidRDefault="002E4E77" w:rsidP="00192E70">
            <w:pPr>
              <w:rPr>
                <w:rFonts w:ascii="Arial Narrow" w:hAnsi="Arial Narrow"/>
                <w:b/>
                <w:sz w:val="22"/>
              </w:rPr>
            </w:pPr>
            <w:r w:rsidRPr="003D6B5C">
              <w:rPr>
                <w:rFonts w:ascii="Arial Narrow" w:hAnsi="Arial Narrow"/>
                <w:b/>
                <w:sz w:val="22"/>
              </w:rPr>
              <w:t xml:space="preserve">Preferred Habitat </w:t>
            </w:r>
          </w:p>
        </w:tc>
        <w:tc>
          <w:tcPr>
            <w:tcW w:w="1843" w:type="dxa"/>
            <w:shd w:val="clear" w:color="auto" w:fill="D9D9D9"/>
          </w:tcPr>
          <w:p w14:paraId="0443EEBB" w14:textId="77777777" w:rsidR="002E4E77" w:rsidRPr="003D6B5C" w:rsidRDefault="002E4E77" w:rsidP="00192E70">
            <w:pPr>
              <w:rPr>
                <w:rFonts w:ascii="Arial Narrow" w:hAnsi="Arial Narrow"/>
                <w:b/>
                <w:sz w:val="22"/>
              </w:rPr>
            </w:pPr>
            <w:r w:rsidRPr="003D6B5C">
              <w:rPr>
                <w:rFonts w:ascii="Arial Narrow" w:hAnsi="Arial Narrow"/>
                <w:b/>
                <w:sz w:val="22"/>
              </w:rPr>
              <w:t>Likelihood of occurrence</w:t>
            </w:r>
          </w:p>
        </w:tc>
      </w:tr>
      <w:tr w:rsidR="002E4E77" w:rsidRPr="003D6B5C" w14:paraId="53DB0339" w14:textId="77777777" w:rsidTr="00192E70">
        <w:tc>
          <w:tcPr>
            <w:tcW w:w="1384" w:type="dxa"/>
          </w:tcPr>
          <w:p w14:paraId="16837FA8" w14:textId="77777777" w:rsidR="002E4E77" w:rsidRPr="003D6B5C" w:rsidRDefault="002E4E77" w:rsidP="00192E70">
            <w:pPr>
              <w:rPr>
                <w:rFonts w:ascii="Arial Narrow" w:hAnsi="Arial Narrow"/>
                <w:i/>
                <w:sz w:val="22"/>
              </w:rPr>
            </w:pPr>
            <w:r w:rsidRPr="003D6B5C">
              <w:rPr>
                <w:rFonts w:ascii="Arial Narrow" w:hAnsi="Arial Narrow"/>
                <w:i/>
                <w:sz w:val="22"/>
              </w:rPr>
              <w:t>Tripogon lolliformis</w:t>
            </w:r>
          </w:p>
        </w:tc>
        <w:tc>
          <w:tcPr>
            <w:tcW w:w="1123" w:type="dxa"/>
          </w:tcPr>
          <w:p w14:paraId="4DC50455" w14:textId="77777777" w:rsidR="002E4E77" w:rsidRPr="003D6B5C" w:rsidRDefault="002E4E77" w:rsidP="00192E70">
            <w:pPr>
              <w:rPr>
                <w:rFonts w:ascii="Arial Narrow" w:hAnsi="Arial Narrow"/>
                <w:sz w:val="22"/>
              </w:rPr>
            </w:pPr>
            <w:r w:rsidRPr="003D6B5C">
              <w:rPr>
                <w:rFonts w:ascii="Arial Narrow" w:hAnsi="Arial Narrow"/>
                <w:sz w:val="22"/>
              </w:rPr>
              <w:t>Rye Beetle-grass</w:t>
            </w:r>
          </w:p>
        </w:tc>
        <w:tc>
          <w:tcPr>
            <w:tcW w:w="850" w:type="dxa"/>
          </w:tcPr>
          <w:p w14:paraId="1A44027A" w14:textId="77777777" w:rsidR="002E4E77" w:rsidRPr="003D6B5C" w:rsidRDefault="002E4E77" w:rsidP="00192E70">
            <w:pPr>
              <w:rPr>
                <w:rFonts w:ascii="Arial Narrow" w:hAnsi="Arial Narrow"/>
                <w:sz w:val="22"/>
              </w:rPr>
            </w:pPr>
            <w:r w:rsidRPr="003D6B5C">
              <w:rPr>
                <w:rFonts w:ascii="Arial Narrow" w:hAnsi="Arial Narrow"/>
                <w:sz w:val="22"/>
              </w:rPr>
              <w:t>No</w:t>
            </w:r>
          </w:p>
        </w:tc>
        <w:tc>
          <w:tcPr>
            <w:tcW w:w="851" w:type="dxa"/>
          </w:tcPr>
          <w:p w14:paraId="3E1FD4BE" w14:textId="77777777" w:rsidR="002E4E77" w:rsidRPr="003D6B5C" w:rsidRDefault="002E4E77" w:rsidP="00192E70">
            <w:pPr>
              <w:rPr>
                <w:rFonts w:ascii="Arial Narrow" w:hAnsi="Arial Narrow"/>
                <w:sz w:val="22"/>
              </w:rPr>
            </w:pPr>
            <w:r w:rsidRPr="003D6B5C">
              <w:rPr>
                <w:rFonts w:ascii="Arial Narrow" w:hAnsi="Arial Narrow"/>
                <w:sz w:val="22"/>
              </w:rPr>
              <w:t>r</w:t>
            </w:r>
          </w:p>
        </w:tc>
        <w:tc>
          <w:tcPr>
            <w:tcW w:w="850" w:type="dxa"/>
          </w:tcPr>
          <w:p w14:paraId="66314F5E" w14:textId="77777777" w:rsidR="002E4E77" w:rsidRPr="003D6B5C" w:rsidRDefault="002E4E77" w:rsidP="00192E70">
            <w:pPr>
              <w:rPr>
                <w:rFonts w:ascii="Arial Narrow" w:hAnsi="Arial Narrow"/>
                <w:sz w:val="22"/>
              </w:rPr>
            </w:pPr>
            <w:r w:rsidRPr="003D6B5C">
              <w:rPr>
                <w:rFonts w:ascii="Arial Narrow" w:hAnsi="Arial Narrow"/>
                <w:sz w:val="22"/>
              </w:rPr>
              <w:t>A-D-No</w:t>
            </w:r>
          </w:p>
        </w:tc>
        <w:tc>
          <w:tcPr>
            <w:tcW w:w="1134" w:type="dxa"/>
          </w:tcPr>
          <w:p w14:paraId="0CBEBAE5" w14:textId="77777777" w:rsidR="002E4E77" w:rsidRPr="003D6B5C" w:rsidRDefault="002E4E77" w:rsidP="00192E70">
            <w:pPr>
              <w:rPr>
                <w:rFonts w:ascii="Arial Narrow" w:hAnsi="Arial Narrow"/>
                <w:sz w:val="22"/>
              </w:rPr>
            </w:pPr>
            <w:r w:rsidRPr="003D6B5C">
              <w:rPr>
                <w:rFonts w:ascii="Arial Narrow" w:hAnsi="Arial Narrow"/>
                <w:sz w:val="22"/>
              </w:rPr>
              <w:t>Remaining</w:t>
            </w:r>
          </w:p>
        </w:tc>
        <w:tc>
          <w:tcPr>
            <w:tcW w:w="1287" w:type="dxa"/>
          </w:tcPr>
          <w:p w14:paraId="0C148C55" w14:textId="77777777" w:rsidR="002E4E77" w:rsidRPr="003D6B5C" w:rsidRDefault="002E4E77" w:rsidP="00192E70">
            <w:pPr>
              <w:rPr>
                <w:rFonts w:ascii="Arial Narrow" w:hAnsi="Arial Narrow"/>
                <w:sz w:val="22"/>
              </w:rPr>
            </w:pPr>
            <w:r w:rsidRPr="003D6B5C">
              <w:rPr>
                <w:rFonts w:ascii="Arial Narrow" w:hAnsi="Arial Narrow"/>
                <w:sz w:val="22"/>
              </w:rPr>
              <w:t xml:space="preserve">grasslands </w:t>
            </w:r>
          </w:p>
        </w:tc>
        <w:tc>
          <w:tcPr>
            <w:tcW w:w="1843" w:type="dxa"/>
          </w:tcPr>
          <w:p w14:paraId="0B5841A5" w14:textId="77777777" w:rsidR="002E4E77" w:rsidRPr="003D6B5C" w:rsidRDefault="002E4E77" w:rsidP="00192E70">
            <w:pPr>
              <w:rPr>
                <w:rFonts w:ascii="Arial Narrow" w:hAnsi="Arial Narrow"/>
                <w:sz w:val="22"/>
              </w:rPr>
            </w:pPr>
            <w:r w:rsidRPr="003D6B5C">
              <w:rPr>
                <w:rFonts w:ascii="Arial Narrow" w:hAnsi="Arial Narrow"/>
                <w:sz w:val="22"/>
              </w:rPr>
              <w:t xml:space="preserve">Highly modified habitat – Unlikely to occur </w:t>
            </w:r>
          </w:p>
        </w:tc>
      </w:tr>
      <w:tr w:rsidR="002E4E77" w:rsidRPr="003D6B5C" w14:paraId="74A96442" w14:textId="77777777" w:rsidTr="00192E70">
        <w:tc>
          <w:tcPr>
            <w:tcW w:w="1384" w:type="dxa"/>
          </w:tcPr>
          <w:p w14:paraId="141788F6" w14:textId="77777777" w:rsidR="002E4E77" w:rsidRPr="003D6B5C" w:rsidRDefault="002E4E77" w:rsidP="00192E70">
            <w:pPr>
              <w:rPr>
                <w:rFonts w:ascii="Arial Narrow" w:hAnsi="Arial Narrow"/>
                <w:i/>
                <w:sz w:val="22"/>
              </w:rPr>
            </w:pPr>
            <w:r w:rsidRPr="003D6B5C">
              <w:rPr>
                <w:rFonts w:ascii="Arial Narrow" w:hAnsi="Arial Narrow"/>
                <w:i/>
                <w:sz w:val="22"/>
              </w:rPr>
              <w:t>Perameles gunnii</w:t>
            </w:r>
          </w:p>
        </w:tc>
        <w:tc>
          <w:tcPr>
            <w:tcW w:w="1123" w:type="dxa"/>
          </w:tcPr>
          <w:p w14:paraId="65EE0461" w14:textId="77777777" w:rsidR="002E4E77" w:rsidRPr="003D6B5C" w:rsidRDefault="002E4E77" w:rsidP="00192E70">
            <w:pPr>
              <w:rPr>
                <w:rFonts w:ascii="Arial Narrow" w:hAnsi="Arial Narrow"/>
                <w:sz w:val="22"/>
              </w:rPr>
            </w:pPr>
            <w:r w:rsidRPr="003D6B5C">
              <w:rPr>
                <w:rFonts w:ascii="Arial Narrow" w:hAnsi="Arial Narrow"/>
                <w:sz w:val="22"/>
              </w:rPr>
              <w:t>Eastern Barred Bandicoot</w:t>
            </w:r>
          </w:p>
        </w:tc>
        <w:tc>
          <w:tcPr>
            <w:tcW w:w="850" w:type="dxa"/>
          </w:tcPr>
          <w:p w14:paraId="772AF439" w14:textId="77777777" w:rsidR="002E4E77" w:rsidRPr="003D6B5C" w:rsidRDefault="002E4E77" w:rsidP="00192E70">
            <w:pPr>
              <w:rPr>
                <w:rFonts w:ascii="Arial Narrow" w:hAnsi="Arial Narrow"/>
                <w:sz w:val="22"/>
              </w:rPr>
            </w:pPr>
            <w:r w:rsidRPr="003D6B5C">
              <w:rPr>
                <w:rFonts w:ascii="Arial Narrow" w:hAnsi="Arial Narrow"/>
                <w:sz w:val="22"/>
              </w:rPr>
              <w:t>No</w:t>
            </w:r>
          </w:p>
        </w:tc>
        <w:tc>
          <w:tcPr>
            <w:tcW w:w="851" w:type="dxa"/>
          </w:tcPr>
          <w:p w14:paraId="45E819A1" w14:textId="77777777" w:rsidR="002E4E77" w:rsidRPr="003D6B5C" w:rsidRDefault="002E4E77" w:rsidP="00192E70">
            <w:pPr>
              <w:rPr>
                <w:rFonts w:ascii="Arial Narrow" w:hAnsi="Arial Narrow"/>
                <w:sz w:val="22"/>
              </w:rPr>
            </w:pPr>
            <w:r w:rsidRPr="003D6B5C">
              <w:rPr>
                <w:rFonts w:ascii="Arial Narrow" w:hAnsi="Arial Narrow"/>
                <w:sz w:val="22"/>
              </w:rPr>
              <w:t>e,E,</w:t>
            </w:r>
          </w:p>
          <w:p w14:paraId="742C171E" w14:textId="77777777" w:rsidR="002E4E77" w:rsidRPr="003D6B5C" w:rsidRDefault="002E4E77" w:rsidP="00192E70">
            <w:pPr>
              <w:rPr>
                <w:rFonts w:ascii="Arial Narrow" w:hAnsi="Arial Narrow"/>
                <w:sz w:val="22"/>
              </w:rPr>
            </w:pPr>
            <w:r w:rsidRPr="003D6B5C">
              <w:rPr>
                <w:rFonts w:ascii="Arial Narrow" w:hAnsi="Arial Narrow"/>
                <w:sz w:val="22"/>
              </w:rPr>
              <w:t>ffga</w:t>
            </w:r>
          </w:p>
        </w:tc>
        <w:tc>
          <w:tcPr>
            <w:tcW w:w="850" w:type="dxa"/>
          </w:tcPr>
          <w:p w14:paraId="5A7FCDBC" w14:textId="77777777" w:rsidR="002E4E77" w:rsidRPr="003D6B5C" w:rsidRDefault="002E4E77" w:rsidP="00192E70">
            <w:pPr>
              <w:rPr>
                <w:rFonts w:ascii="Arial Narrow" w:hAnsi="Arial Narrow"/>
                <w:sz w:val="22"/>
              </w:rPr>
            </w:pPr>
            <w:r w:rsidRPr="003D6B5C">
              <w:rPr>
                <w:rFonts w:ascii="Arial Narrow" w:hAnsi="Arial Narrow"/>
                <w:sz w:val="22"/>
              </w:rPr>
              <w:t>A-D-No</w:t>
            </w:r>
          </w:p>
        </w:tc>
        <w:tc>
          <w:tcPr>
            <w:tcW w:w="1134" w:type="dxa"/>
          </w:tcPr>
          <w:p w14:paraId="74049E9A" w14:textId="77777777" w:rsidR="002E4E77" w:rsidRPr="003D6B5C" w:rsidRDefault="002E4E77" w:rsidP="00192E70">
            <w:pPr>
              <w:rPr>
                <w:rFonts w:ascii="Arial Narrow" w:hAnsi="Arial Narrow"/>
                <w:sz w:val="22"/>
              </w:rPr>
            </w:pPr>
            <w:r w:rsidRPr="003D6B5C">
              <w:rPr>
                <w:rFonts w:ascii="Arial Narrow" w:hAnsi="Arial Narrow"/>
                <w:sz w:val="22"/>
              </w:rPr>
              <w:t>Remaining</w:t>
            </w:r>
          </w:p>
        </w:tc>
        <w:tc>
          <w:tcPr>
            <w:tcW w:w="1287" w:type="dxa"/>
          </w:tcPr>
          <w:p w14:paraId="70457D11" w14:textId="77777777" w:rsidR="002E4E77" w:rsidRPr="003D6B5C" w:rsidRDefault="002E4E77" w:rsidP="00192E70">
            <w:pPr>
              <w:rPr>
                <w:rFonts w:ascii="Arial Narrow" w:hAnsi="Arial Narrow"/>
                <w:sz w:val="22"/>
              </w:rPr>
            </w:pPr>
            <w:r w:rsidRPr="003D6B5C">
              <w:rPr>
                <w:rFonts w:ascii="Arial Narrow" w:hAnsi="Arial Narrow"/>
                <w:sz w:val="22"/>
              </w:rPr>
              <w:t>grasslands</w:t>
            </w:r>
          </w:p>
        </w:tc>
        <w:tc>
          <w:tcPr>
            <w:tcW w:w="1843" w:type="dxa"/>
          </w:tcPr>
          <w:p w14:paraId="34DBF095" w14:textId="77777777" w:rsidR="002E4E77" w:rsidRPr="003D6B5C" w:rsidRDefault="002E4E77" w:rsidP="00192E70">
            <w:pPr>
              <w:rPr>
                <w:rFonts w:ascii="Arial Narrow" w:hAnsi="Arial Narrow"/>
                <w:sz w:val="22"/>
              </w:rPr>
            </w:pPr>
            <w:r w:rsidRPr="003D6B5C">
              <w:rPr>
                <w:rFonts w:ascii="Arial Narrow" w:hAnsi="Arial Narrow"/>
                <w:sz w:val="22"/>
              </w:rPr>
              <w:t xml:space="preserve">Highly modified habitat – Unlikely to occur </w:t>
            </w:r>
          </w:p>
        </w:tc>
      </w:tr>
      <w:tr w:rsidR="002E4E77" w:rsidRPr="003D6B5C" w14:paraId="4A82E88D" w14:textId="77777777" w:rsidTr="00192E70">
        <w:tc>
          <w:tcPr>
            <w:tcW w:w="1384" w:type="dxa"/>
          </w:tcPr>
          <w:p w14:paraId="217839E8" w14:textId="77777777" w:rsidR="002E4E77" w:rsidRPr="003D6B5C" w:rsidRDefault="002E4E77" w:rsidP="00192E70">
            <w:pPr>
              <w:rPr>
                <w:rFonts w:ascii="Arial Narrow" w:hAnsi="Arial Narrow"/>
                <w:i/>
                <w:sz w:val="22"/>
              </w:rPr>
            </w:pPr>
            <w:r w:rsidRPr="003D6B5C">
              <w:rPr>
                <w:rFonts w:ascii="Arial Narrow" w:hAnsi="Arial Narrow"/>
                <w:i/>
                <w:sz w:val="22"/>
              </w:rPr>
              <w:t>Sminthopsis crassicaudata</w:t>
            </w:r>
          </w:p>
        </w:tc>
        <w:tc>
          <w:tcPr>
            <w:tcW w:w="1123" w:type="dxa"/>
          </w:tcPr>
          <w:p w14:paraId="1C522B90" w14:textId="77777777" w:rsidR="002E4E77" w:rsidRPr="003D6B5C" w:rsidRDefault="002E4E77" w:rsidP="00192E70">
            <w:pPr>
              <w:rPr>
                <w:rFonts w:ascii="Arial Narrow" w:hAnsi="Arial Narrow"/>
                <w:sz w:val="22"/>
              </w:rPr>
            </w:pPr>
            <w:r w:rsidRPr="003D6B5C">
              <w:rPr>
                <w:rFonts w:ascii="Arial Narrow" w:hAnsi="Arial Narrow"/>
                <w:sz w:val="22"/>
              </w:rPr>
              <w:t>Fat-tailed Dunnart</w:t>
            </w:r>
          </w:p>
        </w:tc>
        <w:tc>
          <w:tcPr>
            <w:tcW w:w="850" w:type="dxa"/>
          </w:tcPr>
          <w:p w14:paraId="175DE238" w14:textId="77777777" w:rsidR="002E4E77" w:rsidRPr="003D6B5C" w:rsidRDefault="002E4E77" w:rsidP="00192E70">
            <w:pPr>
              <w:rPr>
                <w:rFonts w:ascii="Arial Narrow" w:hAnsi="Arial Narrow"/>
                <w:sz w:val="22"/>
              </w:rPr>
            </w:pPr>
            <w:r w:rsidRPr="003D6B5C">
              <w:rPr>
                <w:rFonts w:ascii="Arial Narrow" w:hAnsi="Arial Narrow"/>
                <w:sz w:val="22"/>
              </w:rPr>
              <w:t>No</w:t>
            </w:r>
          </w:p>
        </w:tc>
        <w:tc>
          <w:tcPr>
            <w:tcW w:w="851" w:type="dxa"/>
          </w:tcPr>
          <w:p w14:paraId="07BC4CF3" w14:textId="77777777" w:rsidR="002E4E77" w:rsidRPr="003D6B5C" w:rsidRDefault="002E4E77" w:rsidP="00192E70">
            <w:pPr>
              <w:rPr>
                <w:rFonts w:ascii="Arial Narrow" w:hAnsi="Arial Narrow"/>
                <w:sz w:val="22"/>
              </w:rPr>
            </w:pPr>
            <w:r w:rsidRPr="003D6B5C">
              <w:rPr>
                <w:rFonts w:ascii="Arial Narrow" w:hAnsi="Arial Narrow"/>
                <w:sz w:val="22"/>
              </w:rPr>
              <w:t>n</w:t>
            </w:r>
          </w:p>
        </w:tc>
        <w:tc>
          <w:tcPr>
            <w:tcW w:w="850" w:type="dxa"/>
          </w:tcPr>
          <w:p w14:paraId="5DE0A825" w14:textId="77777777" w:rsidR="002E4E77" w:rsidRPr="003D6B5C" w:rsidRDefault="002E4E77" w:rsidP="00192E70">
            <w:pPr>
              <w:rPr>
                <w:rFonts w:ascii="Arial Narrow" w:hAnsi="Arial Narrow"/>
                <w:sz w:val="22"/>
              </w:rPr>
            </w:pPr>
            <w:r w:rsidRPr="003D6B5C">
              <w:rPr>
                <w:rFonts w:ascii="Arial Narrow" w:hAnsi="Arial Narrow"/>
                <w:sz w:val="22"/>
              </w:rPr>
              <w:t>A-D-No</w:t>
            </w:r>
          </w:p>
        </w:tc>
        <w:tc>
          <w:tcPr>
            <w:tcW w:w="1134" w:type="dxa"/>
          </w:tcPr>
          <w:p w14:paraId="0E9F712E" w14:textId="77777777" w:rsidR="002E4E77" w:rsidRPr="003D6B5C" w:rsidRDefault="002E4E77" w:rsidP="00192E70">
            <w:pPr>
              <w:rPr>
                <w:rFonts w:ascii="Arial Narrow" w:hAnsi="Arial Narrow"/>
                <w:sz w:val="22"/>
              </w:rPr>
            </w:pPr>
            <w:r w:rsidRPr="003D6B5C">
              <w:rPr>
                <w:rFonts w:ascii="Arial Narrow" w:hAnsi="Arial Narrow"/>
                <w:sz w:val="22"/>
              </w:rPr>
              <w:t>Remaining</w:t>
            </w:r>
          </w:p>
        </w:tc>
        <w:tc>
          <w:tcPr>
            <w:tcW w:w="1287" w:type="dxa"/>
          </w:tcPr>
          <w:p w14:paraId="15C5AE1B" w14:textId="77777777" w:rsidR="002E4E77" w:rsidRPr="003D6B5C" w:rsidRDefault="002E4E77" w:rsidP="00192E70">
            <w:pPr>
              <w:rPr>
                <w:rFonts w:ascii="Arial Narrow" w:hAnsi="Arial Narrow"/>
                <w:sz w:val="22"/>
              </w:rPr>
            </w:pPr>
            <w:r w:rsidRPr="003D6B5C">
              <w:rPr>
                <w:rFonts w:ascii="Arial Narrow" w:hAnsi="Arial Narrow"/>
                <w:sz w:val="22"/>
              </w:rPr>
              <w:t>grasslands</w:t>
            </w:r>
          </w:p>
        </w:tc>
        <w:tc>
          <w:tcPr>
            <w:tcW w:w="1843" w:type="dxa"/>
          </w:tcPr>
          <w:p w14:paraId="5BB504B8" w14:textId="77777777" w:rsidR="002E4E77" w:rsidRPr="003D6B5C" w:rsidRDefault="002E4E77" w:rsidP="00192E70">
            <w:pPr>
              <w:rPr>
                <w:rFonts w:ascii="Arial Narrow" w:hAnsi="Arial Narrow"/>
                <w:sz w:val="22"/>
              </w:rPr>
            </w:pPr>
            <w:r w:rsidRPr="003D6B5C">
              <w:rPr>
                <w:rFonts w:ascii="Arial Narrow" w:hAnsi="Arial Narrow"/>
                <w:sz w:val="22"/>
              </w:rPr>
              <w:t xml:space="preserve">Highly modified habitat – Unlikely to occur </w:t>
            </w:r>
          </w:p>
        </w:tc>
      </w:tr>
    </w:tbl>
    <w:p w14:paraId="1B203DAB" w14:textId="77777777" w:rsidR="002E4E77" w:rsidRDefault="002E4E77" w:rsidP="002E4E77">
      <w:pPr>
        <w:numPr>
          <w:ilvl w:val="12"/>
          <w:numId w:val="0"/>
        </w:numPr>
        <w:rPr>
          <w:sz w:val="24"/>
          <w:szCs w:val="24"/>
          <w:lang w:val="en-US"/>
        </w:rPr>
      </w:pPr>
    </w:p>
    <w:p w14:paraId="3EEA97CC" w14:textId="77777777" w:rsidR="002E4E77" w:rsidRPr="005E4C5A" w:rsidRDefault="002E4E77" w:rsidP="002E4E77">
      <w:pPr>
        <w:rPr>
          <w:sz w:val="24"/>
        </w:rPr>
      </w:pPr>
      <w:r w:rsidRPr="005E4C5A">
        <w:rPr>
          <w:sz w:val="24"/>
        </w:rPr>
        <w:t>r – rare (Victoria)</w:t>
      </w:r>
    </w:p>
    <w:p w14:paraId="48CE3C4F" w14:textId="77777777" w:rsidR="002E4E77" w:rsidRPr="005E4C5A" w:rsidRDefault="002E4E77" w:rsidP="002E4E77">
      <w:pPr>
        <w:rPr>
          <w:sz w:val="24"/>
        </w:rPr>
      </w:pPr>
      <w:r w:rsidRPr="005E4C5A">
        <w:rPr>
          <w:sz w:val="24"/>
        </w:rPr>
        <w:t>n – near threatened (Victoria)</w:t>
      </w:r>
    </w:p>
    <w:p w14:paraId="2AEC7C51" w14:textId="77777777" w:rsidR="002E4E77" w:rsidRPr="005E4C5A" w:rsidRDefault="002E4E77" w:rsidP="002E4E77">
      <w:pPr>
        <w:rPr>
          <w:sz w:val="24"/>
        </w:rPr>
      </w:pPr>
      <w:r w:rsidRPr="005E4C5A">
        <w:rPr>
          <w:sz w:val="24"/>
        </w:rPr>
        <w:t>e – endangered (Victoria)</w:t>
      </w:r>
    </w:p>
    <w:p w14:paraId="4D69EC31" w14:textId="77777777" w:rsidR="002E4E77" w:rsidRPr="005E4C5A" w:rsidRDefault="002E4E77" w:rsidP="002E4E77">
      <w:pPr>
        <w:rPr>
          <w:sz w:val="24"/>
        </w:rPr>
      </w:pPr>
      <w:r w:rsidRPr="005E4C5A">
        <w:rPr>
          <w:sz w:val="24"/>
        </w:rPr>
        <w:t>E – endangered (Australia)</w:t>
      </w:r>
    </w:p>
    <w:p w14:paraId="7396F98D" w14:textId="77777777" w:rsidR="002E4E77" w:rsidRPr="005E4C5A" w:rsidRDefault="002E4E77" w:rsidP="002E4E77">
      <w:pPr>
        <w:rPr>
          <w:sz w:val="24"/>
        </w:rPr>
      </w:pPr>
      <w:r w:rsidRPr="005E4C5A">
        <w:rPr>
          <w:sz w:val="24"/>
        </w:rPr>
        <w:t>ffga – Flora and Fauna Guarantee Act listed (DSE website iii)</w:t>
      </w:r>
    </w:p>
    <w:p w14:paraId="01F089B1" w14:textId="77777777" w:rsidR="002E4E77" w:rsidRPr="00FA6F76" w:rsidRDefault="002E4E77" w:rsidP="002E4E77">
      <w:pPr>
        <w:numPr>
          <w:ilvl w:val="12"/>
          <w:numId w:val="0"/>
        </w:numPr>
        <w:rPr>
          <w:sz w:val="24"/>
          <w:szCs w:val="24"/>
          <w:lang w:val="en-US"/>
        </w:rPr>
      </w:pPr>
      <w:r>
        <w:rPr>
          <w:sz w:val="24"/>
          <w:szCs w:val="24"/>
          <w:lang w:val="en-US"/>
        </w:rPr>
        <w:br w:type="page"/>
      </w:r>
    </w:p>
    <w:p w14:paraId="03DEFB55" w14:textId="77777777" w:rsidR="002E4E77" w:rsidRPr="00C80442" w:rsidRDefault="002E4E77" w:rsidP="002E4E77">
      <w:pPr>
        <w:pStyle w:val="Heading1"/>
        <w:rPr>
          <w:lang w:val="en-US"/>
        </w:rPr>
      </w:pPr>
      <w:bookmarkStart w:id="18" w:name="_Toc231357510"/>
      <w:r>
        <w:rPr>
          <w:lang w:val="en-US"/>
        </w:rPr>
        <w:lastRenderedPageBreak/>
        <w:t>4</w:t>
      </w:r>
      <w:r>
        <w:rPr>
          <w:lang w:val="en-US"/>
        </w:rPr>
        <w:tab/>
        <w:t>LEGISLATION AND GOVERNMENT POLICY</w:t>
      </w:r>
      <w:bookmarkEnd w:id="18"/>
      <w:r>
        <w:rPr>
          <w:lang w:val="en-US"/>
        </w:rPr>
        <w:t xml:space="preserve"> </w:t>
      </w:r>
    </w:p>
    <w:p w14:paraId="1C5CAFEB" w14:textId="77777777" w:rsidR="002E4E77" w:rsidRDefault="002E4E77" w:rsidP="002E4E77">
      <w:pPr>
        <w:pStyle w:val="Heading2"/>
        <w:rPr>
          <w:lang w:val="en-US"/>
        </w:rPr>
      </w:pPr>
      <w:bookmarkStart w:id="19" w:name="_Toc231357511"/>
      <w:r>
        <w:rPr>
          <w:lang w:val="en-US"/>
        </w:rPr>
        <w:t>4.1</w:t>
      </w:r>
      <w:r>
        <w:rPr>
          <w:lang w:val="en-US"/>
        </w:rPr>
        <w:tab/>
        <w:t>Commonwealth</w:t>
      </w:r>
      <w:bookmarkEnd w:id="19"/>
      <w:r>
        <w:rPr>
          <w:lang w:val="en-US"/>
        </w:rPr>
        <w:t xml:space="preserve"> </w:t>
      </w:r>
    </w:p>
    <w:p w14:paraId="2AD59225" w14:textId="77777777" w:rsidR="002E4E77" w:rsidRDefault="002E4E77" w:rsidP="002E4E77">
      <w:pPr>
        <w:pStyle w:val="Heading3"/>
      </w:pPr>
      <w:bookmarkStart w:id="20" w:name="_Toc231357512"/>
      <w:r>
        <w:t>4.1.1</w:t>
      </w:r>
      <w:r>
        <w:tab/>
        <w:t>Environment Protection and Biodiversity Conservation Act (1999)</w:t>
      </w:r>
      <w:bookmarkEnd w:id="20"/>
    </w:p>
    <w:p w14:paraId="5E54607B" w14:textId="77777777" w:rsidR="002E4E77" w:rsidRDefault="002E4E77" w:rsidP="002E4E77">
      <w:pPr>
        <w:numPr>
          <w:ilvl w:val="12"/>
          <w:numId w:val="0"/>
        </w:numPr>
        <w:rPr>
          <w:sz w:val="24"/>
          <w:szCs w:val="24"/>
        </w:rPr>
      </w:pPr>
    </w:p>
    <w:p w14:paraId="6606385E" w14:textId="77777777" w:rsidR="002E4E77" w:rsidRDefault="002E4E77" w:rsidP="002E4E77">
      <w:pPr>
        <w:numPr>
          <w:ilvl w:val="12"/>
          <w:numId w:val="0"/>
        </w:numPr>
        <w:rPr>
          <w:sz w:val="24"/>
          <w:szCs w:val="24"/>
        </w:rPr>
      </w:pPr>
      <w:r>
        <w:rPr>
          <w:sz w:val="24"/>
          <w:szCs w:val="24"/>
        </w:rPr>
        <w:t xml:space="preserve">The </w:t>
      </w:r>
      <w:r w:rsidRPr="00601775">
        <w:rPr>
          <w:bCs/>
          <w:sz w:val="24"/>
          <w:szCs w:val="24"/>
        </w:rPr>
        <w:t>Environment Protection and Biodiversity Conservation (EPBC) Act (1999) was</w:t>
      </w:r>
      <w:r>
        <w:rPr>
          <w:b/>
          <w:bCs/>
          <w:sz w:val="24"/>
          <w:szCs w:val="24"/>
        </w:rPr>
        <w:t xml:space="preserve"> e</w:t>
      </w:r>
      <w:r>
        <w:rPr>
          <w:sz w:val="24"/>
          <w:szCs w:val="24"/>
        </w:rPr>
        <w:t>stablished to ‘promote the conservation of biodiversity by providing strong protection for listed species and communities in the Commonwealth and for protected areas, Ramsar sites, Commonwealth Reserves, conservation zones and World Heritage sites, etc’.</w:t>
      </w:r>
    </w:p>
    <w:p w14:paraId="17AD630A" w14:textId="77777777" w:rsidR="002E4E77" w:rsidRDefault="002E4E77" w:rsidP="002E4E77">
      <w:pPr>
        <w:numPr>
          <w:ilvl w:val="12"/>
          <w:numId w:val="0"/>
        </w:numPr>
        <w:rPr>
          <w:sz w:val="24"/>
          <w:szCs w:val="24"/>
          <w:lang w:val="en-US"/>
        </w:rPr>
      </w:pPr>
    </w:p>
    <w:p w14:paraId="71BD37E5" w14:textId="77777777" w:rsidR="002E4E77" w:rsidRPr="0092486C" w:rsidRDefault="002E4E77" w:rsidP="002E4E77">
      <w:pPr>
        <w:rPr>
          <w:sz w:val="24"/>
          <w:szCs w:val="24"/>
        </w:rPr>
      </w:pPr>
      <w:bookmarkStart w:id="21" w:name="top"/>
      <w:r w:rsidRPr="0092486C">
        <w:rPr>
          <w:sz w:val="24"/>
          <w:szCs w:val="24"/>
        </w:rPr>
        <w:t xml:space="preserve">Natural Temperate Grassland of the Victorian Volcanic Plain </w:t>
      </w:r>
      <w:bookmarkEnd w:id="21"/>
      <w:r>
        <w:rPr>
          <w:sz w:val="24"/>
          <w:szCs w:val="24"/>
          <w:lang w:val="en-US"/>
        </w:rPr>
        <w:t>is an ecological community that is listed as ‘Critically Endangered’ under the EPBC Act (</w:t>
      </w:r>
      <w:r w:rsidRPr="00601775">
        <w:rPr>
          <w:bCs/>
          <w:sz w:val="24"/>
          <w:szCs w:val="24"/>
        </w:rPr>
        <w:t>EPBC</w:t>
      </w:r>
      <w:r>
        <w:rPr>
          <w:sz w:val="24"/>
          <w:szCs w:val="24"/>
          <w:lang w:val="en-US"/>
        </w:rPr>
        <w:t xml:space="preserve"> Website i).  The study area once carried vegetation that would have been considered part of this community.</w:t>
      </w:r>
    </w:p>
    <w:p w14:paraId="03162E0D" w14:textId="77777777" w:rsidR="002E4E77" w:rsidRDefault="002E4E77" w:rsidP="002E4E77">
      <w:pPr>
        <w:numPr>
          <w:ilvl w:val="12"/>
          <w:numId w:val="0"/>
        </w:numPr>
        <w:rPr>
          <w:sz w:val="24"/>
          <w:szCs w:val="24"/>
          <w:lang w:val="en-US"/>
        </w:rPr>
      </w:pPr>
    </w:p>
    <w:p w14:paraId="04F164E5" w14:textId="77777777" w:rsidR="002E4E77" w:rsidRDefault="002E4E77" w:rsidP="002E4E77">
      <w:pPr>
        <w:pStyle w:val="Heading3"/>
        <w:rPr>
          <w:lang w:val="en-US"/>
        </w:rPr>
      </w:pPr>
      <w:bookmarkStart w:id="22" w:name="_Toc231357513"/>
      <w:r>
        <w:rPr>
          <w:lang w:val="en-US"/>
        </w:rPr>
        <w:t>4.1.2</w:t>
      </w:r>
      <w:r>
        <w:rPr>
          <w:lang w:val="en-US"/>
        </w:rPr>
        <w:tab/>
        <w:t>Implications</w:t>
      </w:r>
      <w:bookmarkEnd w:id="22"/>
      <w:r>
        <w:rPr>
          <w:lang w:val="en-US"/>
        </w:rPr>
        <w:t xml:space="preserve"> </w:t>
      </w:r>
    </w:p>
    <w:p w14:paraId="3BB85333" w14:textId="77777777" w:rsidR="002E4E77" w:rsidRDefault="002E4E77" w:rsidP="002E4E77">
      <w:pPr>
        <w:numPr>
          <w:ilvl w:val="12"/>
          <w:numId w:val="0"/>
        </w:numPr>
        <w:rPr>
          <w:sz w:val="24"/>
          <w:szCs w:val="24"/>
          <w:lang w:val="en-US"/>
        </w:rPr>
      </w:pPr>
    </w:p>
    <w:p w14:paraId="295CAA3B" w14:textId="77777777" w:rsidR="002E4E77" w:rsidRDefault="002E4E77" w:rsidP="002E4E77">
      <w:pPr>
        <w:numPr>
          <w:ilvl w:val="12"/>
          <w:numId w:val="0"/>
        </w:numPr>
        <w:rPr>
          <w:sz w:val="24"/>
          <w:szCs w:val="24"/>
          <w:lang w:val="en-US"/>
        </w:rPr>
      </w:pPr>
      <w:r>
        <w:rPr>
          <w:sz w:val="24"/>
          <w:szCs w:val="24"/>
          <w:lang w:val="en-US"/>
        </w:rPr>
        <w:t>Due to the degraded nature of the study area (i.e. less than 50% cover value) there are not considered to be any implications for the current proposal under the EPBC Act.</w:t>
      </w:r>
    </w:p>
    <w:p w14:paraId="62FB5466" w14:textId="77777777" w:rsidR="002E4E77" w:rsidRDefault="002E4E77" w:rsidP="002E4E77">
      <w:pPr>
        <w:numPr>
          <w:ilvl w:val="12"/>
          <w:numId w:val="0"/>
        </w:numPr>
        <w:rPr>
          <w:sz w:val="24"/>
          <w:szCs w:val="24"/>
          <w:lang w:val="en-GB"/>
        </w:rPr>
      </w:pPr>
    </w:p>
    <w:p w14:paraId="5EE1CB62" w14:textId="77777777" w:rsidR="002E4E77" w:rsidRDefault="002E4E77" w:rsidP="002E4E77">
      <w:pPr>
        <w:pStyle w:val="Heading2"/>
        <w:rPr>
          <w:lang w:val="en-GB"/>
        </w:rPr>
      </w:pPr>
      <w:bookmarkStart w:id="23" w:name="_Toc231357514"/>
      <w:r>
        <w:rPr>
          <w:lang w:val="en-GB"/>
        </w:rPr>
        <w:t>4.2</w:t>
      </w:r>
      <w:r>
        <w:rPr>
          <w:lang w:val="en-GB"/>
        </w:rPr>
        <w:tab/>
        <w:t>Native Vegetation Management Framework</w:t>
      </w:r>
      <w:bookmarkEnd w:id="23"/>
      <w:r>
        <w:rPr>
          <w:lang w:val="en-GB"/>
        </w:rPr>
        <w:t xml:space="preserve"> </w:t>
      </w:r>
    </w:p>
    <w:p w14:paraId="174451E2" w14:textId="77777777" w:rsidR="002E4E77" w:rsidRDefault="002E4E77" w:rsidP="002E4E77">
      <w:pPr>
        <w:pStyle w:val="Heading3"/>
        <w:rPr>
          <w:lang w:val="en-GB"/>
        </w:rPr>
      </w:pPr>
      <w:bookmarkStart w:id="24" w:name="_Toc231357515"/>
      <w:r>
        <w:rPr>
          <w:lang w:val="en-GB"/>
        </w:rPr>
        <w:t>4.2.1</w:t>
      </w:r>
      <w:r>
        <w:rPr>
          <w:lang w:val="en-GB"/>
        </w:rPr>
        <w:tab/>
        <w:t>Net Gain</w:t>
      </w:r>
      <w:bookmarkEnd w:id="24"/>
      <w:r>
        <w:rPr>
          <w:lang w:val="en-GB"/>
        </w:rPr>
        <w:t xml:space="preserve"> </w:t>
      </w:r>
    </w:p>
    <w:p w14:paraId="3306186E" w14:textId="77777777" w:rsidR="002E4E77" w:rsidRDefault="002E4E77" w:rsidP="002E4E77">
      <w:pPr>
        <w:numPr>
          <w:ilvl w:val="12"/>
          <w:numId w:val="0"/>
        </w:numPr>
        <w:rPr>
          <w:sz w:val="24"/>
          <w:szCs w:val="24"/>
          <w:lang w:val="en-US"/>
        </w:rPr>
      </w:pPr>
    </w:p>
    <w:p w14:paraId="0BE3F8D3" w14:textId="77777777" w:rsidR="002E4E77" w:rsidRDefault="002E4E77" w:rsidP="002E4E77">
      <w:pPr>
        <w:numPr>
          <w:ilvl w:val="12"/>
          <w:numId w:val="0"/>
        </w:numPr>
        <w:rPr>
          <w:sz w:val="24"/>
          <w:szCs w:val="24"/>
        </w:rPr>
      </w:pPr>
      <w:r>
        <w:rPr>
          <w:i/>
          <w:iCs/>
          <w:sz w:val="24"/>
          <w:szCs w:val="24"/>
        </w:rPr>
        <w:t xml:space="preserve">Net Gain </w:t>
      </w:r>
      <w:r>
        <w:rPr>
          <w:sz w:val="24"/>
          <w:szCs w:val="24"/>
        </w:rPr>
        <w:t>is the Victorian Government’s framework for achieving native vegetation ‘gains’ across the state. The framework is defined in the document ‘Victorian Native Vegetation Management - A Framework for Action the Framework)’ (DNRE 2002) and is achieved in conjunction with the Native Vegetation Plan for the Port Phillip and Westernport Region (Port Phillip and Western Port Native Draft Vegetation Plan -Port Phillip and Westernport Catchment Management Authority 2006). Net Gain is described as ‘the outcome for native vegetation and habitat where overall gains are greater than overall losses and where individual losses are avoided where possible. Losses and gains are determined by a combined quality/quantity measure and over a specified period of time. Gains may be either required offsets for permitted clearing actions or as a result of land holder and Government assisted efforts that are not associated with clearing’ (DNRE 2002).</w:t>
      </w:r>
    </w:p>
    <w:p w14:paraId="43CD675B" w14:textId="77777777" w:rsidR="002E4E77" w:rsidRDefault="002E4E77" w:rsidP="002E4E77">
      <w:pPr>
        <w:numPr>
          <w:ilvl w:val="12"/>
          <w:numId w:val="0"/>
        </w:numPr>
        <w:rPr>
          <w:sz w:val="24"/>
          <w:szCs w:val="24"/>
        </w:rPr>
      </w:pPr>
    </w:p>
    <w:p w14:paraId="3A02EA72" w14:textId="77777777" w:rsidR="002E4E77" w:rsidRDefault="002E4E77" w:rsidP="002E4E77">
      <w:pPr>
        <w:numPr>
          <w:ilvl w:val="12"/>
          <w:numId w:val="0"/>
        </w:numPr>
        <w:rPr>
          <w:sz w:val="24"/>
          <w:szCs w:val="24"/>
        </w:rPr>
      </w:pPr>
      <w:r>
        <w:rPr>
          <w:sz w:val="24"/>
          <w:szCs w:val="24"/>
        </w:rPr>
        <w:t>The stated goal of the framework is to achieve:</w:t>
      </w:r>
    </w:p>
    <w:p w14:paraId="1CE8EFD5" w14:textId="77777777" w:rsidR="002E4E77" w:rsidRDefault="002E4E77" w:rsidP="002E4E77">
      <w:pPr>
        <w:numPr>
          <w:ilvl w:val="12"/>
          <w:numId w:val="0"/>
        </w:numPr>
        <w:ind w:left="720"/>
        <w:rPr>
          <w:sz w:val="24"/>
          <w:szCs w:val="24"/>
        </w:rPr>
      </w:pPr>
      <w:r>
        <w:rPr>
          <w:i/>
          <w:iCs/>
          <w:sz w:val="24"/>
          <w:szCs w:val="24"/>
        </w:rPr>
        <w:t xml:space="preserve">A reversal, across the whole landscape, of the long-term decline in the extent and quality of native vegetation, leading to a Net Gain </w:t>
      </w:r>
      <w:r>
        <w:rPr>
          <w:sz w:val="24"/>
          <w:szCs w:val="24"/>
        </w:rPr>
        <w:t>(DNRE 2002).</w:t>
      </w:r>
    </w:p>
    <w:p w14:paraId="2F457EBE" w14:textId="77777777" w:rsidR="002E4E77" w:rsidRDefault="002E4E77" w:rsidP="002E4E77">
      <w:pPr>
        <w:numPr>
          <w:ilvl w:val="12"/>
          <w:numId w:val="0"/>
        </w:numPr>
        <w:rPr>
          <w:sz w:val="24"/>
          <w:szCs w:val="24"/>
          <w:lang w:val="en-US"/>
        </w:rPr>
      </w:pPr>
    </w:p>
    <w:p w14:paraId="181C19FD" w14:textId="77777777" w:rsidR="002E4E77" w:rsidRDefault="002E4E77" w:rsidP="002E4E77">
      <w:pPr>
        <w:numPr>
          <w:ilvl w:val="12"/>
          <w:numId w:val="0"/>
        </w:numPr>
        <w:rPr>
          <w:sz w:val="24"/>
          <w:szCs w:val="24"/>
          <w:lang w:val="en-US"/>
        </w:rPr>
      </w:pPr>
      <w:r>
        <w:rPr>
          <w:sz w:val="24"/>
          <w:szCs w:val="24"/>
          <w:lang w:val="en-US"/>
        </w:rPr>
        <w:t>The three-step approach to net gain is to:</w:t>
      </w:r>
    </w:p>
    <w:p w14:paraId="091DC605" w14:textId="77777777" w:rsidR="002E4E77" w:rsidRDefault="002E4E77" w:rsidP="002E4E77">
      <w:pPr>
        <w:pStyle w:val="Level1"/>
        <w:numPr>
          <w:ilvl w:val="0"/>
          <w:numId w:val="1"/>
        </w:numPr>
        <w:tabs>
          <w:tab w:val="left" w:pos="720"/>
        </w:tabs>
        <w:ind w:left="720" w:hanging="720"/>
        <w:rPr>
          <w:lang w:val="en-US"/>
        </w:rPr>
      </w:pPr>
      <w:r>
        <w:rPr>
          <w:lang w:val="en-US"/>
        </w:rPr>
        <w:t>avoid adverse impacts, particularly through vegetation clearance</w:t>
      </w:r>
    </w:p>
    <w:p w14:paraId="56426FC1" w14:textId="77777777" w:rsidR="002E4E77" w:rsidRDefault="002E4E77" w:rsidP="002E4E77">
      <w:pPr>
        <w:pStyle w:val="Level1"/>
        <w:numPr>
          <w:ilvl w:val="0"/>
          <w:numId w:val="1"/>
        </w:numPr>
        <w:tabs>
          <w:tab w:val="left" w:pos="720"/>
        </w:tabs>
        <w:ind w:left="720" w:hanging="720"/>
        <w:rPr>
          <w:lang w:val="en-US"/>
        </w:rPr>
      </w:pPr>
      <w:r>
        <w:rPr>
          <w:lang w:val="en-US"/>
        </w:rPr>
        <w:t>if impacts cannot be avoided, minimize impacts through appropriate consideration in the planning process</w:t>
      </w:r>
    </w:p>
    <w:p w14:paraId="4DC612F5" w14:textId="77777777" w:rsidR="002E4E77" w:rsidRDefault="002E4E77" w:rsidP="002E4E77">
      <w:pPr>
        <w:pStyle w:val="Level1"/>
        <w:numPr>
          <w:ilvl w:val="0"/>
          <w:numId w:val="1"/>
        </w:numPr>
        <w:tabs>
          <w:tab w:val="left" w:pos="720"/>
        </w:tabs>
        <w:ind w:left="720" w:hanging="720"/>
        <w:rPr>
          <w:lang w:val="en-US"/>
        </w:rPr>
      </w:pPr>
      <w:r>
        <w:rPr>
          <w:lang w:val="en-US"/>
        </w:rPr>
        <w:t>identify appropriate offset options.</w:t>
      </w:r>
    </w:p>
    <w:p w14:paraId="42D224A9" w14:textId="77777777" w:rsidR="002E4E77" w:rsidRDefault="002E4E77" w:rsidP="002E4E77">
      <w:pPr>
        <w:numPr>
          <w:ilvl w:val="12"/>
          <w:numId w:val="0"/>
        </w:numPr>
        <w:rPr>
          <w:sz w:val="24"/>
          <w:szCs w:val="24"/>
          <w:lang w:val="en-US"/>
        </w:rPr>
      </w:pPr>
    </w:p>
    <w:p w14:paraId="12D53134" w14:textId="77777777" w:rsidR="002E4E77" w:rsidRDefault="002E4E77" w:rsidP="002E4E77">
      <w:pPr>
        <w:pStyle w:val="Heading3"/>
        <w:rPr>
          <w:lang w:val="en-US"/>
        </w:rPr>
      </w:pPr>
      <w:bookmarkStart w:id="25" w:name="_Toc135900007"/>
      <w:bookmarkStart w:id="26" w:name="_Toc231357516"/>
      <w:r>
        <w:rPr>
          <w:lang w:val="en-US"/>
        </w:rPr>
        <w:lastRenderedPageBreak/>
        <w:t>4.2.2</w:t>
      </w:r>
      <w:r>
        <w:rPr>
          <w:lang w:val="en-US"/>
        </w:rPr>
        <w:tab/>
        <w:t>Defining and Assessing Native Vegetation</w:t>
      </w:r>
      <w:bookmarkEnd w:id="25"/>
      <w:bookmarkEnd w:id="26"/>
    </w:p>
    <w:p w14:paraId="17CD4826" w14:textId="77777777" w:rsidR="002E4E77" w:rsidRDefault="002E4E77" w:rsidP="002E4E77">
      <w:pPr>
        <w:rPr>
          <w:sz w:val="24"/>
        </w:rPr>
      </w:pPr>
    </w:p>
    <w:p w14:paraId="39558C62" w14:textId="77777777" w:rsidR="002E4E77" w:rsidRPr="00DF7B5C" w:rsidRDefault="002E4E77" w:rsidP="002E4E77">
      <w:pPr>
        <w:rPr>
          <w:sz w:val="24"/>
        </w:rPr>
      </w:pPr>
      <w:r w:rsidRPr="00DF7B5C">
        <w:rPr>
          <w:sz w:val="24"/>
        </w:rPr>
        <w:t>Native vegetation in Victoria has been defined by DSE as belonging to three categories. These are:</w:t>
      </w:r>
    </w:p>
    <w:p w14:paraId="21F75662" w14:textId="77777777" w:rsidR="002E4E77" w:rsidRPr="00DF7B5C" w:rsidRDefault="002E4E77" w:rsidP="002E4E77">
      <w:pPr>
        <w:rPr>
          <w:sz w:val="24"/>
        </w:rPr>
      </w:pPr>
    </w:p>
    <w:p w14:paraId="28B9ABB8" w14:textId="77777777" w:rsidR="002E4E77" w:rsidRPr="00DF7B5C" w:rsidRDefault="002E4E77" w:rsidP="002E4E77">
      <w:pPr>
        <w:rPr>
          <w:b/>
          <w:sz w:val="24"/>
        </w:rPr>
      </w:pPr>
      <w:r w:rsidRPr="00DF7B5C">
        <w:rPr>
          <w:b/>
          <w:sz w:val="24"/>
        </w:rPr>
        <w:t>Remnant Patch</w:t>
      </w:r>
    </w:p>
    <w:p w14:paraId="75FD7B92" w14:textId="77777777" w:rsidR="002E4E77" w:rsidRPr="00DF7B5C" w:rsidRDefault="002E4E77" w:rsidP="002E4E77">
      <w:pPr>
        <w:rPr>
          <w:sz w:val="24"/>
        </w:rPr>
      </w:pPr>
      <w:r w:rsidRPr="00DF7B5C">
        <w:rPr>
          <w:sz w:val="24"/>
        </w:rPr>
        <w:t>Remnant patches of remnant native vegetation are composed of indig</w:t>
      </w:r>
      <w:r>
        <w:rPr>
          <w:sz w:val="24"/>
        </w:rPr>
        <w:t>enous plant species considered p</w:t>
      </w:r>
      <w:r w:rsidRPr="00DF7B5C">
        <w:rPr>
          <w:sz w:val="24"/>
        </w:rPr>
        <w:t>art of a clearly definable EVC. Such vegetation includes understorey species of greater than 25% total understorey cover (excluding bare ground), and/or indigenous canopy trees with at least 20% projected foliage canopy cover. Assessment of remnant patch vegetation utilized the Habitat Hectare method (</w:t>
      </w:r>
      <w:r w:rsidRPr="00DF7B5C">
        <w:rPr>
          <w:i/>
          <w:sz w:val="24"/>
        </w:rPr>
        <w:t>see below</w:t>
      </w:r>
      <w:r w:rsidRPr="00DF7B5C">
        <w:rPr>
          <w:sz w:val="24"/>
        </w:rPr>
        <w:t>).</w:t>
      </w:r>
    </w:p>
    <w:p w14:paraId="187A860E" w14:textId="77777777" w:rsidR="002E4E77" w:rsidRPr="00DF7B5C" w:rsidRDefault="002E4E77" w:rsidP="002E4E77">
      <w:pPr>
        <w:rPr>
          <w:sz w:val="24"/>
        </w:rPr>
      </w:pPr>
    </w:p>
    <w:p w14:paraId="2F757DDC" w14:textId="77777777" w:rsidR="002E4E77" w:rsidRPr="00DF7B5C" w:rsidRDefault="002E4E77" w:rsidP="002E4E77">
      <w:pPr>
        <w:rPr>
          <w:b/>
          <w:sz w:val="24"/>
        </w:rPr>
      </w:pPr>
      <w:r w:rsidRPr="00DF7B5C">
        <w:rPr>
          <w:b/>
          <w:sz w:val="24"/>
        </w:rPr>
        <w:t>Scattered Trees</w:t>
      </w:r>
    </w:p>
    <w:p w14:paraId="496A324B" w14:textId="77777777" w:rsidR="002E4E77" w:rsidRPr="00DF7B5C" w:rsidRDefault="002E4E77" w:rsidP="002E4E77">
      <w:pPr>
        <w:rPr>
          <w:sz w:val="24"/>
        </w:rPr>
      </w:pPr>
      <w:r w:rsidRPr="00DF7B5C">
        <w:rPr>
          <w:sz w:val="24"/>
        </w:rPr>
        <w:t>Scattered trees comprise indigenous trees with projected foliage canopy cover of less than 20% and a total cover of indigenous species (excluding bare ground) of less than 25%.</w:t>
      </w:r>
    </w:p>
    <w:p w14:paraId="0A184B21" w14:textId="77777777" w:rsidR="002E4E77" w:rsidRPr="00DF7B5C" w:rsidRDefault="002E4E77" w:rsidP="002E4E77">
      <w:pPr>
        <w:rPr>
          <w:sz w:val="24"/>
        </w:rPr>
      </w:pPr>
      <w:r w:rsidRPr="00DF7B5C">
        <w:rPr>
          <w:sz w:val="24"/>
        </w:rPr>
        <w:t>Scattered trees are counted and their diameter at breast height (1.3m DBH). The class size of scattered trees (based on DBH) is determined by comparison to the relevant DSE EVC bioregional benchmark.</w:t>
      </w:r>
    </w:p>
    <w:p w14:paraId="6106E955" w14:textId="77777777" w:rsidR="002E4E77" w:rsidRPr="00DF7B5C" w:rsidRDefault="002E4E77" w:rsidP="002E4E77">
      <w:pPr>
        <w:rPr>
          <w:sz w:val="24"/>
        </w:rPr>
      </w:pPr>
    </w:p>
    <w:p w14:paraId="6132527F" w14:textId="77777777" w:rsidR="002E4E77" w:rsidRPr="005D1340" w:rsidRDefault="002E4E77" w:rsidP="002E4E77">
      <w:pPr>
        <w:rPr>
          <w:b/>
          <w:sz w:val="24"/>
          <w:szCs w:val="24"/>
        </w:rPr>
      </w:pPr>
      <w:r w:rsidRPr="005D1340">
        <w:rPr>
          <w:b/>
          <w:sz w:val="24"/>
          <w:szCs w:val="24"/>
        </w:rPr>
        <w:t>Modified Treeless Vegetation</w:t>
      </w:r>
    </w:p>
    <w:p w14:paraId="6293AC33" w14:textId="77777777" w:rsidR="002E4E77" w:rsidRPr="005D1340" w:rsidRDefault="002E4E77" w:rsidP="002E4E77">
      <w:pPr>
        <w:rPr>
          <w:sz w:val="24"/>
          <w:szCs w:val="24"/>
        </w:rPr>
      </w:pPr>
      <w:r w:rsidRPr="005D1340">
        <w:rPr>
          <w:sz w:val="24"/>
          <w:szCs w:val="24"/>
        </w:rPr>
        <w:t>This category includes treeless vegetation with greater than 25% total cover of indigenous species (excluding bare ground) but is dominated by a small number of opportunistic native species which were unlikely to have been dominant prior to a disturbance event (e.g. cropping).</w:t>
      </w:r>
    </w:p>
    <w:p w14:paraId="5642071A" w14:textId="77777777" w:rsidR="002E4E77" w:rsidRPr="005D1340" w:rsidRDefault="002E4E77" w:rsidP="002E4E77">
      <w:pPr>
        <w:rPr>
          <w:sz w:val="24"/>
          <w:szCs w:val="24"/>
        </w:rPr>
      </w:pPr>
    </w:p>
    <w:p w14:paraId="3E1763D6" w14:textId="77777777" w:rsidR="002E4E77" w:rsidRPr="005D1340" w:rsidRDefault="002E4E77" w:rsidP="002E4E77">
      <w:pPr>
        <w:rPr>
          <w:b/>
          <w:sz w:val="24"/>
          <w:szCs w:val="24"/>
        </w:rPr>
      </w:pPr>
      <w:r w:rsidRPr="005D1340">
        <w:rPr>
          <w:b/>
          <w:sz w:val="24"/>
          <w:szCs w:val="24"/>
        </w:rPr>
        <w:t>Degraded Treeless Vegetation</w:t>
      </w:r>
    </w:p>
    <w:p w14:paraId="225DD818" w14:textId="77777777" w:rsidR="002E4E77" w:rsidRPr="005D1340" w:rsidRDefault="002E4E77" w:rsidP="002E4E77">
      <w:pPr>
        <w:rPr>
          <w:sz w:val="24"/>
          <w:szCs w:val="24"/>
        </w:rPr>
      </w:pPr>
      <w:r w:rsidRPr="005D1340">
        <w:rPr>
          <w:sz w:val="24"/>
          <w:szCs w:val="24"/>
        </w:rPr>
        <w:t>Degraded treeless vegetation comprises all other vegetation. This category is comprised of treeless vegetation with less than 25% total cover of indigenous species.</w:t>
      </w:r>
    </w:p>
    <w:p w14:paraId="0537D1E9" w14:textId="77777777" w:rsidR="002E4E77" w:rsidRDefault="002E4E77" w:rsidP="002E4E77">
      <w:pPr>
        <w:rPr>
          <w:sz w:val="24"/>
        </w:rPr>
      </w:pPr>
    </w:p>
    <w:p w14:paraId="497C8C2B" w14:textId="77777777" w:rsidR="002E4E77" w:rsidRPr="00285692" w:rsidRDefault="002E4E77" w:rsidP="002E4E77">
      <w:pPr>
        <w:pStyle w:val="Heading3"/>
        <w:rPr>
          <w:sz w:val="24"/>
        </w:rPr>
      </w:pPr>
      <w:bookmarkStart w:id="27" w:name="_Toc135900008"/>
      <w:bookmarkStart w:id="28" w:name="_Toc231357517"/>
      <w:r>
        <w:rPr>
          <w:lang w:val="en-US"/>
        </w:rPr>
        <w:t>4.2.3</w:t>
      </w:r>
      <w:r>
        <w:rPr>
          <w:lang w:val="en-US"/>
        </w:rPr>
        <w:tab/>
        <w:t>Habitat Hectares</w:t>
      </w:r>
      <w:bookmarkEnd w:id="27"/>
      <w:bookmarkEnd w:id="28"/>
    </w:p>
    <w:p w14:paraId="4A1A341F" w14:textId="77777777" w:rsidR="002E4E77" w:rsidRDefault="002E4E77" w:rsidP="002E4E77">
      <w:pPr>
        <w:numPr>
          <w:ilvl w:val="12"/>
          <w:numId w:val="0"/>
        </w:numPr>
        <w:rPr>
          <w:sz w:val="24"/>
          <w:szCs w:val="24"/>
          <w:lang w:val="en-US"/>
        </w:rPr>
      </w:pPr>
    </w:p>
    <w:p w14:paraId="6A4E75AE" w14:textId="77777777" w:rsidR="002E4E77" w:rsidRDefault="002E4E77" w:rsidP="002E4E77">
      <w:pPr>
        <w:numPr>
          <w:ilvl w:val="12"/>
          <w:numId w:val="0"/>
        </w:numPr>
        <w:rPr>
          <w:sz w:val="24"/>
          <w:szCs w:val="24"/>
          <w:lang w:val="en-US"/>
        </w:rPr>
      </w:pPr>
      <w:r>
        <w:rPr>
          <w:i/>
          <w:iCs/>
          <w:sz w:val="24"/>
          <w:szCs w:val="24"/>
          <w:lang w:val="en-US"/>
        </w:rPr>
        <w:t xml:space="preserve">Habitat Hectares </w:t>
      </w:r>
      <w:r>
        <w:rPr>
          <w:sz w:val="24"/>
          <w:szCs w:val="24"/>
          <w:lang w:val="en-US"/>
        </w:rPr>
        <w:t>is an accounting method for measuring habitat quality and quantity that has been developed by DSE for Net Gain Assessment. The habitat hectares approach is site based.  Each site, or patch, consists of one EVC and one vegetation condition class.  It is therefore uniform within limits.</w:t>
      </w:r>
    </w:p>
    <w:p w14:paraId="5F058E0B" w14:textId="77777777" w:rsidR="002E4E77" w:rsidRDefault="002E4E77" w:rsidP="002E4E77">
      <w:pPr>
        <w:numPr>
          <w:ilvl w:val="12"/>
          <w:numId w:val="0"/>
        </w:numPr>
        <w:rPr>
          <w:sz w:val="24"/>
          <w:szCs w:val="24"/>
          <w:lang w:val="en-US"/>
        </w:rPr>
      </w:pPr>
    </w:p>
    <w:p w14:paraId="7327232B" w14:textId="77777777" w:rsidR="002E4E77" w:rsidRDefault="002E4E77" w:rsidP="002E4E77">
      <w:pPr>
        <w:numPr>
          <w:ilvl w:val="12"/>
          <w:numId w:val="0"/>
        </w:numPr>
        <w:rPr>
          <w:sz w:val="24"/>
          <w:szCs w:val="24"/>
          <w:lang w:val="en-US"/>
        </w:rPr>
      </w:pPr>
      <w:r>
        <w:rPr>
          <w:sz w:val="24"/>
          <w:szCs w:val="24"/>
          <w:lang w:val="en-US"/>
        </w:rPr>
        <w:t xml:space="preserve">Each site has a </w:t>
      </w:r>
      <w:r>
        <w:rPr>
          <w:i/>
          <w:iCs/>
          <w:sz w:val="24"/>
          <w:szCs w:val="24"/>
          <w:lang w:val="en-US"/>
        </w:rPr>
        <w:t xml:space="preserve">habitat score </w:t>
      </w:r>
      <w:r>
        <w:rPr>
          <w:sz w:val="24"/>
          <w:szCs w:val="24"/>
          <w:lang w:val="en-US"/>
        </w:rPr>
        <w:t>of between 0 and 100, with extensive intact vegetation having a theoretical score of 100.  The habitat score has ten components: large trees, tree canopy cover, understorey, weediness, recruitment, organic litter, logs, patch size, neighborhood context and distance to core area.</w:t>
      </w:r>
    </w:p>
    <w:p w14:paraId="3F7D2D65" w14:textId="77777777" w:rsidR="002E4E77" w:rsidRDefault="002E4E77" w:rsidP="002E4E77">
      <w:pPr>
        <w:numPr>
          <w:ilvl w:val="12"/>
          <w:numId w:val="0"/>
        </w:numPr>
        <w:rPr>
          <w:sz w:val="24"/>
          <w:szCs w:val="24"/>
          <w:lang w:val="en-US"/>
        </w:rPr>
      </w:pPr>
    </w:p>
    <w:p w14:paraId="40435070" w14:textId="77777777" w:rsidR="002E4E77" w:rsidRDefault="002E4E77" w:rsidP="002E4E77">
      <w:pPr>
        <w:numPr>
          <w:ilvl w:val="12"/>
          <w:numId w:val="0"/>
        </w:numPr>
        <w:rPr>
          <w:sz w:val="24"/>
          <w:szCs w:val="24"/>
          <w:lang w:val="en-US"/>
        </w:rPr>
      </w:pPr>
      <w:r>
        <w:rPr>
          <w:sz w:val="24"/>
          <w:szCs w:val="24"/>
          <w:lang w:val="en-US"/>
        </w:rPr>
        <w:t xml:space="preserve">Each site has a </w:t>
      </w:r>
      <w:r>
        <w:rPr>
          <w:i/>
          <w:iCs/>
          <w:sz w:val="24"/>
          <w:szCs w:val="24"/>
          <w:lang w:val="en-US"/>
        </w:rPr>
        <w:t xml:space="preserve">habitat hectare value, </w:t>
      </w:r>
      <w:r>
        <w:rPr>
          <w:sz w:val="24"/>
          <w:szCs w:val="24"/>
          <w:lang w:val="en-US"/>
        </w:rPr>
        <w:t>where the habitat score is multiplied by the area in hectares.  For example, 6 ha of vegetation with a habitat score of 50 equals 3 habitat hectares.</w:t>
      </w:r>
    </w:p>
    <w:p w14:paraId="71719CDF" w14:textId="77777777" w:rsidR="002E4E77" w:rsidRDefault="002E4E77" w:rsidP="002E4E77">
      <w:pPr>
        <w:numPr>
          <w:ilvl w:val="12"/>
          <w:numId w:val="0"/>
        </w:numPr>
        <w:rPr>
          <w:sz w:val="24"/>
          <w:szCs w:val="24"/>
          <w:lang w:val="en-US"/>
        </w:rPr>
      </w:pPr>
    </w:p>
    <w:p w14:paraId="2E9BFC17" w14:textId="77777777" w:rsidR="002E4E77" w:rsidRDefault="002E4E77" w:rsidP="002E4E77">
      <w:pPr>
        <w:pStyle w:val="Heading3"/>
        <w:rPr>
          <w:lang w:val="en-US"/>
        </w:rPr>
      </w:pPr>
      <w:bookmarkStart w:id="29" w:name="_Toc231357518"/>
      <w:r>
        <w:rPr>
          <w:lang w:val="en-US"/>
        </w:rPr>
        <w:t>4.2.4</w:t>
      </w:r>
      <w:r>
        <w:rPr>
          <w:lang w:val="en-US"/>
        </w:rPr>
        <w:tab/>
        <w:t>Implications</w:t>
      </w:r>
      <w:bookmarkEnd w:id="29"/>
      <w:r>
        <w:rPr>
          <w:lang w:val="en-US"/>
        </w:rPr>
        <w:t xml:space="preserve"> </w:t>
      </w:r>
    </w:p>
    <w:p w14:paraId="3122D98B" w14:textId="77777777" w:rsidR="002E4E77" w:rsidRDefault="002E4E77" w:rsidP="002E4E77">
      <w:pPr>
        <w:numPr>
          <w:ilvl w:val="12"/>
          <w:numId w:val="0"/>
        </w:numPr>
        <w:rPr>
          <w:sz w:val="24"/>
          <w:szCs w:val="24"/>
          <w:lang w:val="en-US"/>
        </w:rPr>
      </w:pPr>
    </w:p>
    <w:p w14:paraId="21008583" w14:textId="25B61B67" w:rsidR="002E4E77" w:rsidRDefault="001E658B" w:rsidP="002E4E77">
      <w:pPr>
        <w:numPr>
          <w:ilvl w:val="12"/>
          <w:numId w:val="0"/>
        </w:numPr>
        <w:rPr>
          <w:sz w:val="24"/>
          <w:szCs w:val="24"/>
          <w:lang w:val="en-US"/>
        </w:rPr>
      </w:pPr>
      <w:r>
        <w:rPr>
          <w:sz w:val="24"/>
          <w:szCs w:val="24"/>
          <w:lang w:val="en-US"/>
        </w:rPr>
        <w:t>As the cover value of indigenous plant species is &lt; 25%, t</w:t>
      </w:r>
      <w:r w:rsidR="002E4E77">
        <w:rPr>
          <w:sz w:val="24"/>
          <w:szCs w:val="24"/>
          <w:lang w:val="en-US"/>
        </w:rPr>
        <w:t>he entire site is assessed to be ‘degraded treeless’ vegetation. Therefore there are no implications under State legislation.</w:t>
      </w:r>
    </w:p>
    <w:p w14:paraId="2C0EA82A" w14:textId="77777777" w:rsidR="002E4E77" w:rsidRDefault="002E4E77" w:rsidP="002E4E77">
      <w:pPr>
        <w:rPr>
          <w:sz w:val="24"/>
          <w:szCs w:val="24"/>
          <w:lang w:val="en-US"/>
        </w:rPr>
      </w:pPr>
    </w:p>
    <w:p w14:paraId="4956283A" w14:textId="77777777" w:rsidR="002E4E77" w:rsidRPr="008C5099" w:rsidRDefault="002E4E77" w:rsidP="002E4E77">
      <w:pPr>
        <w:pStyle w:val="Heading1"/>
      </w:pPr>
      <w:bookmarkStart w:id="30" w:name="_Toc231357519"/>
      <w:r>
        <w:rPr>
          <w:lang w:val="en-US"/>
        </w:rPr>
        <w:t>5</w:t>
      </w:r>
      <w:r>
        <w:rPr>
          <w:lang w:val="en-US"/>
        </w:rPr>
        <w:tab/>
        <w:t>CONCLUSIONS</w:t>
      </w:r>
      <w:bookmarkEnd w:id="30"/>
    </w:p>
    <w:p w14:paraId="0952122A" w14:textId="77777777" w:rsidR="002E4E77" w:rsidRDefault="002E4E77" w:rsidP="002E4E77">
      <w:pPr>
        <w:rPr>
          <w:lang w:val="en-US"/>
        </w:rPr>
      </w:pPr>
    </w:p>
    <w:p w14:paraId="2C8F879C" w14:textId="4327CEDE" w:rsidR="002E4E77" w:rsidRDefault="002E4E77" w:rsidP="002E4E77">
      <w:pPr>
        <w:rPr>
          <w:sz w:val="24"/>
          <w:szCs w:val="24"/>
          <w:lang w:val="en-US"/>
        </w:rPr>
      </w:pPr>
      <w:r w:rsidRPr="00354AF7">
        <w:rPr>
          <w:sz w:val="24"/>
          <w:szCs w:val="24"/>
          <w:lang w:val="en-US"/>
        </w:rPr>
        <w:t xml:space="preserve">The </w:t>
      </w:r>
      <w:r>
        <w:rPr>
          <w:sz w:val="24"/>
          <w:szCs w:val="24"/>
          <w:lang w:val="en-US"/>
        </w:rPr>
        <w:t xml:space="preserve">proposed residential development at </w:t>
      </w:r>
      <w:r>
        <w:rPr>
          <w:sz w:val="24"/>
          <w:szCs w:val="24"/>
          <w:lang w:val="en-GB"/>
        </w:rPr>
        <w:t>50 Canterbury Road West, Lara,</w:t>
      </w:r>
      <w:r w:rsidRPr="00354AF7">
        <w:rPr>
          <w:sz w:val="24"/>
          <w:szCs w:val="24"/>
          <w:lang w:val="en-US"/>
        </w:rPr>
        <w:t xml:space="preserve"> </w:t>
      </w:r>
      <w:r>
        <w:rPr>
          <w:sz w:val="24"/>
          <w:szCs w:val="24"/>
          <w:lang w:val="en-US"/>
        </w:rPr>
        <w:t xml:space="preserve">that is the subject of this report, contains vegetation that is </w:t>
      </w:r>
      <w:r w:rsidR="001E658B">
        <w:rPr>
          <w:sz w:val="24"/>
          <w:szCs w:val="24"/>
          <w:lang w:val="en-US"/>
        </w:rPr>
        <w:t>predominately</w:t>
      </w:r>
      <w:r>
        <w:rPr>
          <w:sz w:val="24"/>
          <w:szCs w:val="24"/>
          <w:lang w:val="en-US"/>
        </w:rPr>
        <w:t xml:space="preserve"> exotic.</w:t>
      </w:r>
    </w:p>
    <w:p w14:paraId="6938050B" w14:textId="77777777" w:rsidR="001E658B" w:rsidRDefault="001E658B" w:rsidP="002E4E77">
      <w:pPr>
        <w:rPr>
          <w:sz w:val="24"/>
          <w:szCs w:val="24"/>
          <w:lang w:val="en-US"/>
        </w:rPr>
      </w:pPr>
    </w:p>
    <w:p w14:paraId="25267481" w14:textId="2AF29DD5" w:rsidR="001E658B" w:rsidRDefault="001E658B" w:rsidP="002E4E77">
      <w:pPr>
        <w:rPr>
          <w:sz w:val="24"/>
          <w:szCs w:val="24"/>
          <w:lang w:val="en-US"/>
        </w:rPr>
      </w:pPr>
      <w:r>
        <w:rPr>
          <w:sz w:val="24"/>
          <w:szCs w:val="24"/>
          <w:lang w:val="en-US"/>
        </w:rPr>
        <w:t>Two locally significant plant species (Wallaby-grass spp) were recorded for the study area at &lt;1% cover value.</w:t>
      </w:r>
    </w:p>
    <w:p w14:paraId="195247E9" w14:textId="77777777" w:rsidR="002E4E77" w:rsidRDefault="002E4E77" w:rsidP="002E4E77">
      <w:pPr>
        <w:rPr>
          <w:sz w:val="24"/>
          <w:szCs w:val="24"/>
          <w:lang w:val="en-US"/>
        </w:rPr>
      </w:pPr>
    </w:p>
    <w:p w14:paraId="049D8021" w14:textId="65341EB6" w:rsidR="002E4E77" w:rsidRDefault="002E4E77" w:rsidP="002E4E77">
      <w:pPr>
        <w:rPr>
          <w:sz w:val="24"/>
          <w:szCs w:val="24"/>
          <w:lang w:val="en-US"/>
        </w:rPr>
      </w:pPr>
      <w:r>
        <w:rPr>
          <w:sz w:val="24"/>
          <w:szCs w:val="24"/>
          <w:lang w:val="en-US"/>
        </w:rPr>
        <w:t>Consequentl</w:t>
      </w:r>
      <w:r w:rsidR="001E658B">
        <w:rPr>
          <w:sz w:val="24"/>
          <w:szCs w:val="24"/>
          <w:lang w:val="en-US"/>
        </w:rPr>
        <w:t>y the site is rated as having negligible</w:t>
      </w:r>
      <w:r>
        <w:rPr>
          <w:sz w:val="24"/>
          <w:szCs w:val="24"/>
          <w:lang w:val="en-US"/>
        </w:rPr>
        <w:t xml:space="preserve"> significance for biodiversity conservation. </w:t>
      </w:r>
    </w:p>
    <w:p w14:paraId="2949143B" w14:textId="77777777" w:rsidR="002E4E77" w:rsidRDefault="002E4E77" w:rsidP="002E4E77">
      <w:pPr>
        <w:rPr>
          <w:sz w:val="24"/>
          <w:szCs w:val="24"/>
          <w:lang w:val="en-US"/>
        </w:rPr>
      </w:pPr>
    </w:p>
    <w:p w14:paraId="7399F5A5" w14:textId="77777777" w:rsidR="002E4E77" w:rsidRDefault="002E4E77" w:rsidP="002E4E77">
      <w:pPr>
        <w:rPr>
          <w:sz w:val="24"/>
          <w:szCs w:val="24"/>
          <w:lang w:val="en-US"/>
        </w:rPr>
      </w:pPr>
      <w:r>
        <w:rPr>
          <w:sz w:val="24"/>
          <w:szCs w:val="24"/>
          <w:lang w:val="en-US"/>
        </w:rPr>
        <w:t>The site does not to represent the best 50% remaining habitat for any of the three threatened species listed as occurring within the vicinity of the study area.</w:t>
      </w:r>
    </w:p>
    <w:p w14:paraId="7471AF74" w14:textId="77777777" w:rsidR="002E4E77" w:rsidRDefault="002E4E77" w:rsidP="002E4E77">
      <w:pPr>
        <w:rPr>
          <w:sz w:val="24"/>
          <w:szCs w:val="24"/>
          <w:lang w:val="en-US"/>
        </w:rPr>
      </w:pPr>
    </w:p>
    <w:p w14:paraId="4864E05D" w14:textId="77777777" w:rsidR="002E4E77" w:rsidRDefault="002E4E77" w:rsidP="002E4E77">
      <w:pPr>
        <w:rPr>
          <w:sz w:val="24"/>
          <w:szCs w:val="24"/>
        </w:rPr>
      </w:pPr>
      <w:r>
        <w:rPr>
          <w:sz w:val="24"/>
          <w:szCs w:val="24"/>
          <w:lang w:val="en-US"/>
        </w:rPr>
        <w:t xml:space="preserve">Although EVC 132: Plains Grassland is classed as ‘Endangered’ in Victoria and </w:t>
      </w:r>
      <w:r w:rsidRPr="0092486C">
        <w:rPr>
          <w:sz w:val="24"/>
          <w:szCs w:val="24"/>
        </w:rPr>
        <w:t>Natural Temperate Grassland of the Victorian Volcanic Plain</w:t>
      </w:r>
      <w:r>
        <w:rPr>
          <w:sz w:val="24"/>
          <w:szCs w:val="24"/>
          <w:lang w:val="en-US"/>
        </w:rPr>
        <w:t xml:space="preserve"> is classed as “Critically Endangered’ in Australia, the vegetation of the study area is not of sufficient quality to create any implications for the relevant State (i.e. Native Vegetation </w:t>
      </w:r>
      <w:r>
        <w:rPr>
          <w:sz w:val="24"/>
          <w:szCs w:val="24"/>
        </w:rPr>
        <w:t>Management Framework) or Commonwealth (i.e. EPBC Act) legislation.</w:t>
      </w:r>
    </w:p>
    <w:p w14:paraId="47F2DB0D" w14:textId="77777777" w:rsidR="001E658B" w:rsidRDefault="001E658B" w:rsidP="002E4E77">
      <w:pPr>
        <w:rPr>
          <w:sz w:val="24"/>
          <w:szCs w:val="24"/>
        </w:rPr>
      </w:pPr>
    </w:p>
    <w:p w14:paraId="4ACA5A96" w14:textId="13F8FAFF" w:rsidR="001E658B" w:rsidRDefault="001E658B" w:rsidP="002E4E77">
      <w:pPr>
        <w:rPr>
          <w:sz w:val="24"/>
          <w:szCs w:val="24"/>
        </w:rPr>
      </w:pPr>
      <w:r>
        <w:rPr>
          <w:sz w:val="24"/>
          <w:szCs w:val="24"/>
        </w:rPr>
        <w:t xml:space="preserve">The adjacent </w:t>
      </w:r>
      <w:r>
        <w:rPr>
          <w:sz w:val="24"/>
          <w:szCs w:val="24"/>
          <w:lang w:val="en-GB"/>
        </w:rPr>
        <w:t>50 Canterbury Road West roadside reserve was also survey</w:t>
      </w:r>
      <w:r w:rsidR="008A0C4A">
        <w:rPr>
          <w:sz w:val="24"/>
          <w:szCs w:val="24"/>
          <w:lang w:val="en-GB"/>
        </w:rPr>
        <w:t xml:space="preserve">ed and found to be comprised </w:t>
      </w:r>
      <w:r>
        <w:rPr>
          <w:sz w:val="24"/>
          <w:szCs w:val="24"/>
          <w:lang w:val="en-GB"/>
        </w:rPr>
        <w:t xml:space="preserve">entirely </w:t>
      </w:r>
      <w:r w:rsidR="008A0C4A">
        <w:rPr>
          <w:sz w:val="24"/>
          <w:szCs w:val="24"/>
          <w:lang w:val="en-GB"/>
        </w:rPr>
        <w:t xml:space="preserve">of </w:t>
      </w:r>
      <w:r>
        <w:rPr>
          <w:sz w:val="24"/>
          <w:szCs w:val="24"/>
          <w:lang w:val="en-GB"/>
        </w:rPr>
        <w:t>exotic plant species.</w:t>
      </w:r>
    </w:p>
    <w:p w14:paraId="610026ED" w14:textId="77777777" w:rsidR="002E4E77" w:rsidRDefault="002E4E77" w:rsidP="002E4E77">
      <w:pPr>
        <w:rPr>
          <w:sz w:val="24"/>
          <w:szCs w:val="24"/>
        </w:rPr>
      </w:pPr>
    </w:p>
    <w:p w14:paraId="5DE23573" w14:textId="77777777" w:rsidR="002E4E77" w:rsidRDefault="002E4E77" w:rsidP="002E4E77">
      <w:pPr>
        <w:rPr>
          <w:sz w:val="24"/>
          <w:szCs w:val="24"/>
        </w:rPr>
      </w:pPr>
      <w:r>
        <w:rPr>
          <w:sz w:val="24"/>
          <w:szCs w:val="24"/>
        </w:rPr>
        <w:t>There are not considered to be any significant limitations to this study.</w:t>
      </w:r>
    </w:p>
    <w:p w14:paraId="4A29776F" w14:textId="77777777" w:rsidR="002E4E77" w:rsidRDefault="002E4E77" w:rsidP="002E4E77">
      <w:pPr>
        <w:rPr>
          <w:b/>
          <w:bCs/>
          <w:sz w:val="24"/>
          <w:szCs w:val="24"/>
          <w:lang w:val="en-US"/>
        </w:rPr>
      </w:pPr>
      <w:r>
        <w:rPr>
          <w:b/>
          <w:bCs/>
          <w:sz w:val="24"/>
          <w:szCs w:val="24"/>
          <w:lang w:val="en-US"/>
        </w:rPr>
        <w:br w:type="page"/>
      </w:r>
    </w:p>
    <w:p w14:paraId="33D7C46D" w14:textId="77777777" w:rsidR="002E4E77" w:rsidRDefault="002E4E77" w:rsidP="002E4E77">
      <w:pPr>
        <w:pStyle w:val="Heading1"/>
        <w:rPr>
          <w:lang w:val="en-US"/>
        </w:rPr>
      </w:pPr>
      <w:bookmarkStart w:id="31" w:name="_Toc231357520"/>
      <w:r>
        <w:rPr>
          <w:lang w:val="en-US"/>
        </w:rPr>
        <w:lastRenderedPageBreak/>
        <w:t>Appendix 1 - ASSESSING CONSERVATION SIGNIFICANCE</w:t>
      </w:r>
      <w:bookmarkEnd w:id="31"/>
    </w:p>
    <w:p w14:paraId="77976109" w14:textId="77777777" w:rsidR="002E4E77" w:rsidRDefault="002E4E77" w:rsidP="002E4E77">
      <w:pPr>
        <w:numPr>
          <w:ilvl w:val="12"/>
          <w:numId w:val="0"/>
        </w:numPr>
        <w:rPr>
          <w:sz w:val="24"/>
          <w:szCs w:val="24"/>
          <w:lang w:val="en-US"/>
        </w:rPr>
      </w:pPr>
    </w:p>
    <w:p w14:paraId="05729580" w14:textId="77777777" w:rsidR="002E4E77" w:rsidRDefault="002E4E77" w:rsidP="002E4E77">
      <w:pPr>
        <w:numPr>
          <w:ilvl w:val="12"/>
          <w:numId w:val="0"/>
        </w:numPr>
        <w:rPr>
          <w:sz w:val="24"/>
          <w:szCs w:val="24"/>
          <w:lang w:val="en-US"/>
        </w:rPr>
      </w:pPr>
    </w:p>
    <w:p w14:paraId="17DE1376" w14:textId="77777777" w:rsidR="002E4E77" w:rsidRDefault="002E4E77" w:rsidP="002E4E77">
      <w:pPr>
        <w:numPr>
          <w:ilvl w:val="12"/>
          <w:numId w:val="0"/>
        </w:numPr>
        <w:rPr>
          <w:sz w:val="24"/>
          <w:szCs w:val="24"/>
          <w:lang w:val="en-US"/>
        </w:rPr>
      </w:pPr>
      <w:r>
        <w:rPr>
          <w:sz w:val="24"/>
          <w:szCs w:val="24"/>
          <w:lang w:val="en-US"/>
        </w:rPr>
        <w:t>Conservation significance is assessed at a range of scales, including global, international, national, state, regional and local.  Criteria used for determining the conservation significance of flora and fauna at national to local scales are presented below for botanical and zoological conservation significance.</w:t>
      </w:r>
    </w:p>
    <w:p w14:paraId="3D9D660A" w14:textId="77777777" w:rsidR="002E4E77" w:rsidRDefault="002E4E77" w:rsidP="002E4E77">
      <w:pPr>
        <w:numPr>
          <w:ilvl w:val="12"/>
          <w:numId w:val="0"/>
        </w:numPr>
        <w:rPr>
          <w:sz w:val="24"/>
          <w:szCs w:val="24"/>
          <w:lang w:val="en-US"/>
        </w:rPr>
      </w:pPr>
    </w:p>
    <w:p w14:paraId="5A60751C" w14:textId="77777777" w:rsidR="002E4E77" w:rsidRDefault="002E4E77" w:rsidP="002E4E77">
      <w:pPr>
        <w:pStyle w:val="Heading4"/>
        <w:keepNext/>
        <w:keepLines/>
        <w:numPr>
          <w:ilvl w:val="12"/>
          <w:numId w:val="0"/>
        </w:numPr>
        <w:rPr>
          <w:lang w:val="en-US"/>
        </w:rPr>
      </w:pPr>
      <w:r>
        <w:rPr>
          <w:b/>
          <w:bCs/>
          <w:i/>
          <w:iCs/>
          <w:lang w:val="en-US"/>
        </w:rPr>
        <w:t>Botanical Significance</w:t>
      </w:r>
      <w:r>
        <w:rPr>
          <w:lang w:val="en-US"/>
        </w:rPr>
        <w:t xml:space="preserve"> </w:t>
      </w:r>
    </w:p>
    <w:p w14:paraId="41798718" w14:textId="77777777" w:rsidR="002E4E77" w:rsidRDefault="002E4E77" w:rsidP="002E4E77">
      <w:pPr>
        <w:numPr>
          <w:ilvl w:val="12"/>
          <w:numId w:val="0"/>
        </w:numPr>
        <w:rPr>
          <w:sz w:val="24"/>
          <w:szCs w:val="24"/>
          <w:lang w:val="en-US"/>
        </w:rPr>
      </w:pPr>
    </w:p>
    <w:p w14:paraId="6E4067FA" w14:textId="77777777" w:rsidR="002E4E77" w:rsidRDefault="002E4E77" w:rsidP="002E4E77">
      <w:pPr>
        <w:numPr>
          <w:ilvl w:val="12"/>
          <w:numId w:val="0"/>
        </w:numPr>
        <w:rPr>
          <w:sz w:val="24"/>
          <w:szCs w:val="24"/>
          <w:lang w:val="en-US"/>
        </w:rPr>
      </w:pPr>
      <w:r>
        <w:rPr>
          <w:b/>
          <w:bCs/>
          <w:sz w:val="24"/>
          <w:szCs w:val="24"/>
          <w:lang w:val="en-US"/>
        </w:rPr>
        <w:t>National</w:t>
      </w:r>
      <w:r>
        <w:rPr>
          <w:sz w:val="24"/>
          <w:szCs w:val="24"/>
          <w:lang w:val="en-US"/>
        </w:rPr>
        <w:t xml:space="preserve"> botanical significance applies to an area when it supports one or more of the following attributes:</w:t>
      </w:r>
    </w:p>
    <w:p w14:paraId="37E1CDDE" w14:textId="77777777" w:rsidR="002E4E77" w:rsidRDefault="002E4E77" w:rsidP="002E4E77">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ab/>
        <w:t xml:space="preserve">a population of at least one nationally threatened plant species listed by Briggs and Leigh (1996) or plant species listed on the schedules to the Commonwealth </w:t>
      </w:r>
      <w:r>
        <w:rPr>
          <w:i/>
          <w:iCs/>
          <w:sz w:val="24"/>
          <w:szCs w:val="24"/>
          <w:lang w:val="en-US"/>
        </w:rPr>
        <w:t>Environment Protection and Biodiversity Conservation Act 1999</w:t>
      </w:r>
      <w:r>
        <w:rPr>
          <w:sz w:val="24"/>
          <w:szCs w:val="24"/>
          <w:lang w:val="en-US"/>
        </w:rPr>
        <w:t>.</w:t>
      </w:r>
    </w:p>
    <w:p w14:paraId="6CA394CA" w14:textId="77777777" w:rsidR="002E4E77" w:rsidRDefault="002E4E77" w:rsidP="002E4E77">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ab/>
        <w:t xml:space="preserve">A nationally threatened ecological community listed on the schedules of the </w:t>
      </w:r>
      <w:r>
        <w:rPr>
          <w:i/>
          <w:iCs/>
          <w:sz w:val="24"/>
          <w:szCs w:val="24"/>
          <w:lang w:val="en-US"/>
        </w:rPr>
        <w:t>Environment Protection and Biodiversity Conservation Act 1999</w:t>
      </w:r>
      <w:r>
        <w:rPr>
          <w:sz w:val="24"/>
          <w:szCs w:val="24"/>
          <w:lang w:val="en-US"/>
        </w:rPr>
        <w:t>.</w:t>
      </w:r>
    </w:p>
    <w:p w14:paraId="5A8FECBD"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14:paraId="5E79E31A"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b/>
          <w:bCs/>
          <w:sz w:val="24"/>
          <w:szCs w:val="24"/>
          <w:lang w:val="en-US"/>
        </w:rPr>
        <w:t>State</w:t>
      </w:r>
      <w:r>
        <w:rPr>
          <w:sz w:val="24"/>
          <w:szCs w:val="24"/>
          <w:lang w:val="en-US"/>
        </w:rPr>
        <w:t xml:space="preserve"> botanical significance applies to an area when it supports one or more of the following attributes:</w:t>
      </w:r>
    </w:p>
    <w:p w14:paraId="050A517D" w14:textId="77777777" w:rsidR="002E4E77" w:rsidRDefault="002E4E77" w:rsidP="002E4E77">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ab/>
        <w:t xml:space="preserve">A population of at least one plant species threatened in Victoria, as listed by Gullan et al. (1990), NRE (2000a) or more recently in the unpublished records of the Flora Information System (NRE), or on the schedules to the Victorian </w:t>
      </w:r>
      <w:r>
        <w:rPr>
          <w:i/>
          <w:iCs/>
          <w:sz w:val="24"/>
          <w:szCs w:val="24"/>
          <w:lang w:val="en-US"/>
        </w:rPr>
        <w:t>Flora and Fauna Guarantee Act 1988</w:t>
      </w:r>
      <w:r>
        <w:rPr>
          <w:sz w:val="24"/>
          <w:szCs w:val="24"/>
          <w:lang w:val="en-US"/>
        </w:rPr>
        <w:t>.</w:t>
      </w:r>
    </w:p>
    <w:p w14:paraId="77E4D13E" w14:textId="77777777" w:rsidR="002E4E77" w:rsidRDefault="002E4E77" w:rsidP="002E4E77">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ab/>
        <w:t xml:space="preserve">An ecological community considered threatened in Victoria through its listing on the schedules of the </w:t>
      </w:r>
      <w:r>
        <w:rPr>
          <w:i/>
          <w:iCs/>
          <w:sz w:val="24"/>
          <w:szCs w:val="24"/>
          <w:lang w:val="en-US"/>
        </w:rPr>
        <w:t>Flora and Fauna Guarantee Act 1988</w:t>
      </w:r>
      <w:r>
        <w:rPr>
          <w:sz w:val="24"/>
          <w:szCs w:val="24"/>
          <w:lang w:val="en-US"/>
        </w:rPr>
        <w:t>.</w:t>
      </w:r>
    </w:p>
    <w:p w14:paraId="203C3781"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14:paraId="412A0CA1"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b/>
          <w:bCs/>
          <w:sz w:val="24"/>
          <w:szCs w:val="24"/>
          <w:lang w:val="en-US"/>
        </w:rPr>
        <w:t>Regional</w:t>
      </w:r>
      <w:r>
        <w:rPr>
          <w:sz w:val="24"/>
          <w:szCs w:val="24"/>
          <w:lang w:val="en-US"/>
        </w:rPr>
        <w:t xml:space="preserve"> botanical significance applies to an area that supports one or more of the following attributes:</w:t>
      </w:r>
    </w:p>
    <w:p w14:paraId="0533623F" w14:textId="77777777" w:rsidR="002E4E77" w:rsidRDefault="002E4E77" w:rsidP="002E4E77">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ab/>
        <w:t>Supports a population of one or more regionally depleted species defined in a valid regional assessment of biodiversity (eg. Regional Native Vegetation Plan, Environment Conservation Council Report or Comprehensive Regional Assessment documents).</w:t>
      </w:r>
    </w:p>
    <w:p w14:paraId="1F4CB1A1" w14:textId="77777777" w:rsidR="002E4E77" w:rsidRDefault="002E4E77" w:rsidP="002E4E77">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ab/>
        <w:t xml:space="preserve">An ecological vegetation class that is considered endangered or vulnerable in a particular bioregion (based on Conn 1993 and the Regional Native Vegetation Plan), in which case the area is of </w:t>
      </w:r>
      <w:r>
        <w:rPr>
          <w:b/>
          <w:bCs/>
          <w:sz w:val="24"/>
          <w:szCs w:val="24"/>
          <w:lang w:val="en-US"/>
        </w:rPr>
        <w:t>High Regional</w:t>
      </w:r>
      <w:r>
        <w:rPr>
          <w:sz w:val="24"/>
          <w:szCs w:val="24"/>
          <w:lang w:val="en-US"/>
        </w:rPr>
        <w:t xml:space="preserve"> significance.</w:t>
      </w:r>
    </w:p>
    <w:p w14:paraId="5C471D71" w14:textId="77777777" w:rsidR="002E4E77" w:rsidRDefault="002E4E77" w:rsidP="002E4E77">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ab/>
        <w:t xml:space="preserve">An ecological vegetation class that is considered depleted in a particular bioregion (based on Conn 1993 and the Regional Native Vegetation Plan), in which case it is of </w:t>
      </w:r>
      <w:r>
        <w:rPr>
          <w:b/>
          <w:bCs/>
          <w:sz w:val="24"/>
          <w:szCs w:val="24"/>
          <w:lang w:val="en-US"/>
        </w:rPr>
        <w:t xml:space="preserve">Regional </w:t>
      </w:r>
      <w:r>
        <w:rPr>
          <w:sz w:val="24"/>
          <w:szCs w:val="24"/>
          <w:lang w:val="en-US"/>
        </w:rPr>
        <w:t>significance.</w:t>
      </w:r>
    </w:p>
    <w:p w14:paraId="2F415B7B"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lang w:val="en-US"/>
        </w:rPr>
      </w:pPr>
    </w:p>
    <w:p w14:paraId="795F58F1"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b/>
          <w:bCs/>
          <w:sz w:val="24"/>
          <w:szCs w:val="24"/>
          <w:lang w:val="en-US"/>
        </w:rPr>
        <w:t>Local</w:t>
      </w:r>
      <w:r>
        <w:rPr>
          <w:sz w:val="24"/>
          <w:szCs w:val="24"/>
          <w:lang w:val="en-US"/>
        </w:rPr>
        <w:t xml:space="preserve"> botanical significance applies to all remnant native vegetation that does not meet the above criteria.  In much of Victoria, and in particular in the Victorian Volcanic Plain bioregion, native vegetation has been so depleted by past clearing and disturbance that all remaining vegetation must be considered to be of at least local conservation significance.</w:t>
      </w:r>
    </w:p>
    <w:p w14:paraId="59E41EE5" w14:textId="77777777" w:rsidR="002E4E77" w:rsidRDefault="002E4E77" w:rsidP="002E4E77">
      <w:pPr>
        <w:autoSpaceDE/>
        <w:autoSpaceDN/>
        <w:adjustRightInd/>
        <w:rPr>
          <w:sz w:val="24"/>
          <w:szCs w:val="24"/>
          <w:lang w:val="en-US"/>
        </w:rPr>
      </w:pPr>
      <w:r>
        <w:rPr>
          <w:sz w:val="24"/>
          <w:szCs w:val="24"/>
          <w:lang w:val="en-US"/>
        </w:rPr>
        <w:br w:type="page"/>
      </w:r>
    </w:p>
    <w:p w14:paraId="1F820F16"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14:paraId="5B8974F0" w14:textId="77777777" w:rsidR="002E4E77" w:rsidRDefault="002E4E77" w:rsidP="002E4E77">
      <w:pPr>
        <w:pStyle w:val="Heading1"/>
        <w:rPr>
          <w:lang w:val="en-US"/>
        </w:rPr>
      </w:pPr>
      <w:bookmarkStart w:id="32" w:name="_Toc231357521"/>
      <w:r>
        <w:rPr>
          <w:lang w:val="en-US"/>
        </w:rPr>
        <w:t>6</w:t>
      </w:r>
      <w:r>
        <w:rPr>
          <w:lang w:val="en-US"/>
        </w:rPr>
        <w:tab/>
        <w:t>REFERENCES</w:t>
      </w:r>
      <w:bookmarkEnd w:id="32"/>
      <w:r>
        <w:rPr>
          <w:lang w:val="en-US"/>
        </w:rPr>
        <w:t xml:space="preserve"> </w:t>
      </w:r>
    </w:p>
    <w:p w14:paraId="435812FF"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14:paraId="24DDAB7D" w14:textId="77777777" w:rsidR="002E4E77" w:rsidRPr="0020314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Corangamite Catchment Management Authority (2005) ‘Corangamite Native Vegetation Plan’ CCMA Website.</w:t>
      </w:r>
    </w:p>
    <w:p w14:paraId="67088EA2"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14:paraId="4E54CDD8"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DNRE (2002) ‘Victoria’s Native Vegetation Management A Framework for Action’ DNRE, Melbourne.</w:t>
      </w:r>
    </w:p>
    <w:p w14:paraId="2669AE03"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14:paraId="3F457B10"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DSE (2003) ‘Victoria’s Native Vegetation Management- A Framework For Action- Technical Support Maps’ (CD). DSE, Melbourne.</w:t>
      </w:r>
    </w:p>
    <w:p w14:paraId="678EE3B6"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6FC2A138"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DSE (2007). ‘</w:t>
      </w:r>
      <w:r w:rsidRPr="00D92FD0">
        <w:rPr>
          <w:sz w:val="24"/>
          <w:szCs w:val="24"/>
        </w:rPr>
        <w:t>Native Vegetation Guide for assessment of referred planning permit appli</w:t>
      </w:r>
      <w:r>
        <w:rPr>
          <w:sz w:val="24"/>
          <w:szCs w:val="24"/>
        </w:rPr>
        <w:t>cations’. DSE, Melbourne.</w:t>
      </w:r>
    </w:p>
    <w:p w14:paraId="18AFD4F6"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p>
    <w:p w14:paraId="2C899F56"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DSE Website i.</w:t>
      </w:r>
    </w:p>
    <w:p w14:paraId="36B26209" w14:textId="77777777" w:rsidR="002E4E77" w:rsidRDefault="00933A4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hyperlink r:id="rId8" w:history="1">
        <w:r w:rsidR="002E4E77" w:rsidRPr="00034390">
          <w:rPr>
            <w:rStyle w:val="Hyperlink"/>
            <w:sz w:val="24"/>
            <w:szCs w:val="24"/>
          </w:rPr>
          <w:t>http://mapshare2.dse.vic.gov.au/MapShare2EXT/imf.jsp?site=bim</w:t>
        </w:r>
      </w:hyperlink>
    </w:p>
    <w:p w14:paraId="7467CB28"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CE9C035"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4"/>
          <w:szCs w:val="24"/>
        </w:rPr>
        <w:t xml:space="preserve">DSE Website ii. </w:t>
      </w:r>
      <w:hyperlink r:id="rId9" w:history="1">
        <w:r w:rsidRPr="00034390">
          <w:rPr>
            <w:rStyle w:val="Hyperlink"/>
            <w:sz w:val="24"/>
            <w:szCs w:val="24"/>
          </w:rPr>
          <w:t>http://www.dse.vic.gov.au/dse/nrence.nsf/LinkView/A2A7B7D2CABBEE3CCA256F2B000257048062D358172E420C4A256DEA0012F71C</w:t>
        </w:r>
      </w:hyperlink>
    </w:p>
    <w:p w14:paraId="3E7F82B4"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CC5F7E0" w14:textId="77777777" w:rsidR="002E4E77" w:rsidRPr="006F0E88"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6F0E88">
        <w:rPr>
          <w:sz w:val="24"/>
        </w:rPr>
        <w:t>DSE Website iii.</w:t>
      </w:r>
    </w:p>
    <w:p w14:paraId="11C326F7" w14:textId="77777777" w:rsidR="002E4E77" w:rsidRDefault="00933A4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hyperlink r:id="rId10" w:history="1">
        <w:r w:rsidR="002E4E77" w:rsidRPr="002222EB">
          <w:rPr>
            <w:rStyle w:val="Hyperlink"/>
            <w:sz w:val="24"/>
            <w:szCs w:val="24"/>
          </w:rPr>
          <w:t>http://www.dse.vic.gov.au/CA256F310024B628/0/B10DC61B8DF2A09FCA25760F0010DF1B/$File/Advisory+List+of+Threatened+Vert+Fauna+in+Victoria+-+2007+amended+11+august+2009.pdf</w:t>
        </w:r>
      </w:hyperlink>
    </w:p>
    <w:p w14:paraId="06BA9C5D"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00D4BF7"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DSE Website iv.</w:t>
      </w:r>
    </w:p>
    <w:p w14:paraId="592814B3"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E1A5E">
        <w:rPr>
          <w:sz w:val="24"/>
          <w:szCs w:val="24"/>
        </w:rPr>
        <w:t>http://www.dse.vic.gov.au/planningschemes/greatergeelong/maps/greatergeelong18eso.pdf</w:t>
      </w:r>
    </w:p>
    <w:p w14:paraId="71AF0C4A"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637756FC"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EPBC Website i. </w:t>
      </w:r>
    </w:p>
    <w:p w14:paraId="7450F529" w14:textId="77777777" w:rsidR="002E4E77" w:rsidRDefault="00933A4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hyperlink r:id="rId11" w:history="1">
        <w:r w:rsidR="002E4E77" w:rsidRPr="002222EB">
          <w:rPr>
            <w:rStyle w:val="Hyperlink"/>
            <w:sz w:val="24"/>
            <w:szCs w:val="24"/>
          </w:rPr>
          <w:t>http://www.environment.gov.au/cgi-bin/sprat/public/publicshowcommunity.pl?id=42&amp;status=Critically%20Endangered</w:t>
        </w:r>
      </w:hyperlink>
    </w:p>
    <w:p w14:paraId="60DA0A26"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27C42F25"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EPBC Website ii. </w:t>
      </w:r>
    </w:p>
    <w:p w14:paraId="2C516207" w14:textId="77777777" w:rsidR="002E4E77" w:rsidRDefault="00933A4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hyperlink r:id="rId12" w:history="1">
        <w:r w:rsidR="002E4E77" w:rsidRPr="002222EB">
          <w:rPr>
            <w:rStyle w:val="Hyperlink"/>
            <w:sz w:val="24"/>
            <w:szCs w:val="24"/>
          </w:rPr>
          <w:t>http://www.environment.gov.au/epbc/publications/pubs/ecological-communities-listing-approach-factsheet.pdf</w:t>
        </w:r>
      </w:hyperlink>
    </w:p>
    <w:p w14:paraId="492A7A3D"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14:paraId="7DA04BE0"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Oates, A. &amp; Taranto, M. (2001): ‘Vegetation mapping of the Port Phillip &amp;Westernport region’ Arthur Rylah Institute for Environmental Research, DNRE, Victoria.</w:t>
      </w:r>
    </w:p>
    <w:p w14:paraId="098BC8CA"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14:paraId="52A29CF6"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Parkes, D., Newell, G. &amp; Cheal, D. (2003): ‘Assessing the quality of native vegetation: The habitat hectares approach. Parks, Flora &amp; Fauna Division, DNRE, Victoria.</w:t>
      </w:r>
    </w:p>
    <w:p w14:paraId="436C7052"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14:paraId="321DC34B"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Walsh, N G and Stasjic, V (2007): ‘A Census of the Vascular Plants of Victoria’ Royal Botanic Gardens, Melbourne.</w:t>
      </w:r>
    </w:p>
    <w:p w14:paraId="3AD9F55B"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14:paraId="56A6671E" w14:textId="77777777" w:rsidR="002E4E77" w:rsidRDefault="002E4E77" w:rsidP="002E4E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Pr>
          <w:sz w:val="24"/>
          <w:szCs w:val="24"/>
          <w:lang w:val="en-US"/>
        </w:rPr>
        <w:t>Walsh, N G &amp; Entwisle, T (1994-1999): ‘Flora of Victoria Vol 2-4'  Inkata Press, Melbourne.</w:t>
      </w:r>
    </w:p>
    <w:p w14:paraId="48CED98B" w14:textId="77777777" w:rsidR="002E4E77" w:rsidRPr="004D1EA6" w:rsidRDefault="002E4E77" w:rsidP="002E4E77">
      <w:pPr>
        <w:pStyle w:val="Heading2"/>
        <w:rPr>
          <w:lang w:val="en-US"/>
        </w:rPr>
      </w:pPr>
      <w:r>
        <w:rPr>
          <w:lang w:val="en-US"/>
        </w:rPr>
        <w:br w:type="page"/>
      </w:r>
      <w:bookmarkStart w:id="33" w:name="_Toc231357522"/>
      <w:r>
        <w:rPr>
          <w:lang w:val="en-US"/>
        </w:rPr>
        <w:lastRenderedPageBreak/>
        <w:t>Map 1 Study Area location</w:t>
      </w:r>
      <w:bookmarkEnd w:id="33"/>
    </w:p>
    <w:p w14:paraId="427C75B3" w14:textId="77777777" w:rsidR="002E4E77" w:rsidRDefault="002E4E77" w:rsidP="002E4E77"/>
    <w:p w14:paraId="3BBC2374" w14:textId="77777777" w:rsidR="002E4E77" w:rsidRDefault="002E4E77" w:rsidP="002E4E77"/>
    <w:p w14:paraId="3BA8E14C" w14:textId="6557B4CC" w:rsidR="002E4E77" w:rsidRDefault="00D566D6" w:rsidP="002E4E77">
      <w:r>
        <w:rPr>
          <w:noProof/>
        </w:rPr>
        <w:drawing>
          <wp:inline distT="0" distB="0" distL="0" distR="0" wp14:anchorId="7997162E" wp14:editId="4C46D388">
            <wp:extent cx="5730875" cy="490580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4905807"/>
                    </a:xfrm>
                    <a:prstGeom prst="rect">
                      <a:avLst/>
                    </a:prstGeom>
                    <a:noFill/>
                    <a:ln>
                      <a:noFill/>
                    </a:ln>
                  </pic:spPr>
                </pic:pic>
              </a:graphicData>
            </a:graphic>
          </wp:inline>
        </w:drawing>
      </w:r>
    </w:p>
    <w:p w14:paraId="58D7F760" w14:textId="77777777" w:rsidR="002E4E77" w:rsidRDefault="002E4E77" w:rsidP="002E4E77"/>
    <w:p w14:paraId="703A04C0" w14:textId="77777777" w:rsidR="002E4E77" w:rsidRDefault="002E4E77" w:rsidP="002E4E77"/>
    <w:p w14:paraId="7CD522A5" w14:textId="70E1E836" w:rsidR="002E4E77" w:rsidRPr="005D1340" w:rsidRDefault="00D566D6" w:rsidP="002E4E77">
      <w:pPr>
        <w:rPr>
          <w:sz w:val="24"/>
        </w:rPr>
      </w:pPr>
      <w:r>
        <w:rPr>
          <w:sz w:val="24"/>
        </w:rPr>
        <w:t xml:space="preserve">Map 1 Study area </w:t>
      </w:r>
      <w:r>
        <w:rPr>
          <w:sz w:val="24"/>
          <w:szCs w:val="24"/>
          <w:lang w:val="en-GB"/>
        </w:rPr>
        <w:t>50 Canterbury Road West, Lara</w:t>
      </w:r>
      <w:r>
        <w:rPr>
          <w:sz w:val="24"/>
        </w:rPr>
        <w:t xml:space="preserve"> shown in </w:t>
      </w:r>
      <w:r w:rsidR="00A35F1A">
        <w:rPr>
          <w:sz w:val="24"/>
        </w:rPr>
        <w:t>highlight</w:t>
      </w:r>
      <w:r w:rsidR="002E4E77" w:rsidRPr="005D1340">
        <w:rPr>
          <w:sz w:val="24"/>
        </w:rPr>
        <w:t>.</w:t>
      </w:r>
    </w:p>
    <w:p w14:paraId="179F1F89" w14:textId="77777777" w:rsidR="002E4E77" w:rsidRDefault="002E4E77" w:rsidP="002E4E77"/>
    <w:p w14:paraId="4E898D88" w14:textId="77777777" w:rsidR="00897EB6" w:rsidRDefault="00897EB6"/>
    <w:sectPr w:rsidR="00897EB6" w:rsidSect="00192E70">
      <w:footerReference w:type="default" r:id="rId14"/>
      <w:pgSz w:w="11905" w:h="16837" w:code="9"/>
      <w:pgMar w:top="1440" w:right="1440" w:bottom="1276" w:left="1440" w:header="1440" w:footer="9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475F3" w14:textId="77777777" w:rsidR="00D566D6" w:rsidRDefault="00D566D6" w:rsidP="001D3BC5">
      <w:r>
        <w:separator/>
      </w:r>
    </w:p>
  </w:endnote>
  <w:endnote w:type="continuationSeparator" w:id="0">
    <w:p w14:paraId="388D573C" w14:textId="77777777" w:rsidR="00D566D6" w:rsidRDefault="00D566D6" w:rsidP="001D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Gill Sans">
    <w:charset w:val="00"/>
    <w:family w:val="auto"/>
    <w:pitch w:val="variable"/>
    <w:sig w:usb0="80000267" w:usb1="00000000" w:usb2="00000000" w:usb3="00000000" w:csb0="000001F7" w:csb1="00000000"/>
  </w:font>
  <w:font w:name="Stylus BT">
    <w:altName w:val="Cambria"/>
    <w:panose1 w:val="020E0402020206020304"/>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76E2E" w14:textId="68EB6699" w:rsidR="00D566D6" w:rsidRDefault="00D566D6" w:rsidP="00192E70">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lang w:val="en-GB"/>
      </w:rPr>
    </w:pPr>
    <w:r>
      <w:rPr>
        <w:rFonts w:ascii="Arial" w:hAnsi="Arial" w:cs="Arial"/>
        <w:lang w:val="en-GB"/>
      </w:rPr>
      <w:t>Vegetation of 50 Canterbury Rd West, Lara     MTES           May 2013</w:t>
    </w:r>
    <w:r>
      <w:rPr>
        <w:rFonts w:ascii="Arial" w:hAnsi="Arial" w:cs="Arial"/>
        <w:lang w:val="en-GB"/>
      </w:rPr>
      <w:tab/>
    </w:r>
    <w:r>
      <w:rPr>
        <w:rFonts w:ascii="Arial" w:hAnsi="Arial" w:cs="Arial"/>
        <w:lang w:val="en-GB"/>
      </w:rPr>
      <w:tab/>
    </w:r>
    <w:r>
      <w:rPr>
        <w:rFonts w:ascii="Arial" w:hAnsi="Arial" w:cs="Arial"/>
        <w:lang w:val="en-GB"/>
      </w:rPr>
      <w:tab/>
    </w:r>
    <w:r>
      <w:rPr>
        <w:rStyle w:val="PageNumber"/>
      </w:rPr>
      <w:fldChar w:fldCharType="begin"/>
    </w:r>
    <w:r>
      <w:rPr>
        <w:rStyle w:val="PageNumber"/>
      </w:rPr>
      <w:instrText xml:space="preserve"> PAGE </w:instrText>
    </w:r>
    <w:r>
      <w:rPr>
        <w:rStyle w:val="PageNumber"/>
      </w:rPr>
      <w:fldChar w:fldCharType="separate"/>
    </w:r>
    <w:r w:rsidR="00933A47">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58F5F" w14:textId="77777777" w:rsidR="00D566D6" w:rsidRDefault="00D566D6" w:rsidP="001D3BC5">
      <w:r>
        <w:separator/>
      </w:r>
    </w:p>
  </w:footnote>
  <w:footnote w:type="continuationSeparator" w:id="0">
    <w:p w14:paraId="70C5111F" w14:textId="77777777" w:rsidR="00D566D6" w:rsidRDefault="00D566D6" w:rsidP="001D3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8E24302"/>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77"/>
    <w:rsid w:val="00013734"/>
    <w:rsid w:val="00192E70"/>
    <w:rsid w:val="001D3BC5"/>
    <w:rsid w:val="001E658B"/>
    <w:rsid w:val="00246003"/>
    <w:rsid w:val="002E4E77"/>
    <w:rsid w:val="002E702E"/>
    <w:rsid w:val="00616989"/>
    <w:rsid w:val="006F1E7F"/>
    <w:rsid w:val="00897EB6"/>
    <w:rsid w:val="008A0C4A"/>
    <w:rsid w:val="00933A47"/>
    <w:rsid w:val="00A35F1A"/>
    <w:rsid w:val="00BE34E4"/>
    <w:rsid w:val="00C41270"/>
    <w:rsid w:val="00C66D37"/>
    <w:rsid w:val="00D566D6"/>
    <w:rsid w:val="00EF09E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B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E77"/>
    <w:pPr>
      <w:autoSpaceDE w:val="0"/>
      <w:autoSpaceDN w:val="0"/>
      <w:adjustRightInd w:val="0"/>
    </w:pPr>
    <w:rPr>
      <w:rFonts w:ascii="Times New Roman" w:eastAsia="Times New Roman" w:hAnsi="Times New Roman" w:cs="Times New Roman"/>
      <w:sz w:val="20"/>
      <w:szCs w:val="20"/>
      <w:lang w:val="en-AU" w:eastAsia="en-AU"/>
    </w:rPr>
  </w:style>
  <w:style w:type="paragraph" w:styleId="Heading1">
    <w:name w:val="heading 1"/>
    <w:basedOn w:val="Normal"/>
    <w:next w:val="Normal"/>
    <w:link w:val="Heading1Char"/>
    <w:qFormat/>
    <w:rsid w:val="002E4E7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E4E7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4E7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E4E77"/>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E77"/>
    <w:rPr>
      <w:rFonts w:ascii="Arial" w:eastAsia="Times New Roman" w:hAnsi="Arial" w:cs="Arial"/>
      <w:b/>
      <w:bCs/>
      <w:kern w:val="32"/>
      <w:sz w:val="32"/>
      <w:szCs w:val="32"/>
      <w:lang w:val="en-AU" w:eastAsia="en-AU"/>
    </w:rPr>
  </w:style>
  <w:style w:type="character" w:customStyle="1" w:styleId="Heading2Char">
    <w:name w:val="Heading 2 Char"/>
    <w:basedOn w:val="DefaultParagraphFont"/>
    <w:link w:val="Heading2"/>
    <w:rsid w:val="002E4E77"/>
    <w:rPr>
      <w:rFonts w:ascii="Arial" w:eastAsia="Times New Roman" w:hAnsi="Arial" w:cs="Arial"/>
      <w:b/>
      <w:bCs/>
      <w:i/>
      <w:iCs/>
      <w:sz w:val="28"/>
      <w:szCs w:val="28"/>
      <w:lang w:val="en-AU" w:eastAsia="en-AU"/>
    </w:rPr>
  </w:style>
  <w:style w:type="character" w:customStyle="1" w:styleId="Heading3Char">
    <w:name w:val="Heading 3 Char"/>
    <w:basedOn w:val="DefaultParagraphFont"/>
    <w:link w:val="Heading3"/>
    <w:rsid w:val="002E4E77"/>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2E4E77"/>
    <w:rPr>
      <w:rFonts w:ascii="Times New Roman" w:eastAsia="Times New Roman" w:hAnsi="Times New Roman" w:cs="Times New Roman"/>
      <w:lang w:val="en-AU" w:eastAsia="en-AU"/>
    </w:rPr>
  </w:style>
  <w:style w:type="paragraph" w:customStyle="1" w:styleId="Level1">
    <w:name w:val="Level 1"/>
    <w:rsid w:val="002E4E77"/>
    <w:pPr>
      <w:autoSpaceDE w:val="0"/>
      <w:autoSpaceDN w:val="0"/>
      <w:adjustRightInd w:val="0"/>
      <w:ind w:left="720"/>
    </w:pPr>
    <w:rPr>
      <w:rFonts w:ascii="Times New Roman" w:eastAsia="Times New Roman" w:hAnsi="Times New Roman" w:cs="Times New Roman"/>
      <w:lang w:val="en-AU" w:eastAsia="en-AU"/>
    </w:rPr>
  </w:style>
  <w:style w:type="character" w:styleId="PageNumber">
    <w:name w:val="page number"/>
    <w:basedOn w:val="DefaultParagraphFont"/>
    <w:rsid w:val="002E4E77"/>
  </w:style>
  <w:style w:type="paragraph" w:styleId="TOC1">
    <w:name w:val="toc 1"/>
    <w:basedOn w:val="Normal"/>
    <w:next w:val="Normal"/>
    <w:autoRedefine/>
    <w:uiPriority w:val="39"/>
    <w:rsid w:val="002E4E77"/>
  </w:style>
  <w:style w:type="paragraph" w:styleId="TOC2">
    <w:name w:val="toc 2"/>
    <w:basedOn w:val="Normal"/>
    <w:next w:val="Normal"/>
    <w:autoRedefine/>
    <w:uiPriority w:val="39"/>
    <w:rsid w:val="002E4E77"/>
    <w:pPr>
      <w:ind w:left="200"/>
    </w:pPr>
  </w:style>
  <w:style w:type="character" w:styleId="Hyperlink">
    <w:name w:val="Hyperlink"/>
    <w:basedOn w:val="DefaultParagraphFont"/>
    <w:rsid w:val="002E4E77"/>
    <w:rPr>
      <w:color w:val="0000FF"/>
      <w:u w:val="single"/>
    </w:rPr>
  </w:style>
  <w:style w:type="paragraph" w:styleId="E-mailSignature">
    <w:name w:val="E-mail Signature"/>
    <w:basedOn w:val="Normal"/>
    <w:link w:val="E-mailSignatureChar"/>
    <w:rsid w:val="002E4E77"/>
    <w:pPr>
      <w:autoSpaceDE/>
      <w:autoSpaceDN/>
      <w:adjustRightInd/>
    </w:pPr>
    <w:rPr>
      <w:sz w:val="24"/>
      <w:szCs w:val="24"/>
    </w:rPr>
  </w:style>
  <w:style w:type="character" w:customStyle="1" w:styleId="E-mailSignatureChar">
    <w:name w:val="E-mail Signature Char"/>
    <w:basedOn w:val="DefaultParagraphFont"/>
    <w:link w:val="E-mailSignature"/>
    <w:rsid w:val="002E4E77"/>
    <w:rPr>
      <w:rFonts w:ascii="Times New Roman" w:eastAsia="Times New Roman" w:hAnsi="Times New Roman" w:cs="Times New Roman"/>
      <w:lang w:val="en-AU" w:eastAsia="en-AU"/>
    </w:rPr>
  </w:style>
  <w:style w:type="paragraph" w:styleId="TOC3">
    <w:name w:val="toc 3"/>
    <w:basedOn w:val="Normal"/>
    <w:next w:val="Normal"/>
    <w:autoRedefine/>
    <w:uiPriority w:val="39"/>
    <w:rsid w:val="002E4E77"/>
    <w:pPr>
      <w:ind w:left="400"/>
    </w:pPr>
  </w:style>
  <w:style w:type="paragraph" w:styleId="Title">
    <w:name w:val="Title"/>
    <w:basedOn w:val="Normal"/>
    <w:next w:val="Normal"/>
    <w:link w:val="TitleChar"/>
    <w:uiPriority w:val="10"/>
    <w:qFormat/>
    <w:rsid w:val="002E4E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4E77"/>
    <w:rPr>
      <w:rFonts w:asciiTheme="majorHAnsi" w:eastAsiaTheme="majorEastAsia" w:hAnsiTheme="majorHAnsi" w:cstheme="majorBidi"/>
      <w:color w:val="17365D" w:themeColor="text2" w:themeShade="BF"/>
      <w:spacing w:val="5"/>
      <w:kern w:val="28"/>
      <w:sz w:val="52"/>
      <w:szCs w:val="52"/>
      <w:lang w:val="en-AU" w:eastAsia="en-AU"/>
    </w:rPr>
  </w:style>
  <w:style w:type="table" w:styleId="TableGrid">
    <w:name w:val="Table Grid"/>
    <w:basedOn w:val="TableNormal"/>
    <w:uiPriority w:val="59"/>
    <w:rsid w:val="002E4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4E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4E77"/>
    <w:rPr>
      <w:rFonts w:ascii="Lucida Grande" w:eastAsia="Times New Roman" w:hAnsi="Lucida Grande" w:cs="Lucida Grande"/>
      <w:sz w:val="18"/>
      <w:szCs w:val="18"/>
      <w:lang w:val="en-AU" w:eastAsia="en-AU"/>
    </w:rPr>
  </w:style>
  <w:style w:type="paragraph" w:styleId="DocumentMap">
    <w:name w:val="Document Map"/>
    <w:basedOn w:val="Normal"/>
    <w:link w:val="DocumentMapChar"/>
    <w:uiPriority w:val="99"/>
    <w:semiHidden/>
    <w:unhideWhenUsed/>
    <w:rsid w:val="002E4E7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E4E77"/>
    <w:rPr>
      <w:rFonts w:ascii="Lucida Grande" w:eastAsia="Times New Roman" w:hAnsi="Lucida Grande" w:cs="Lucida Grande"/>
      <w:lang w:val="en-AU" w:eastAsia="en-AU"/>
    </w:rPr>
  </w:style>
  <w:style w:type="table" w:styleId="LightList">
    <w:name w:val="Light List"/>
    <w:basedOn w:val="TableNormal"/>
    <w:uiPriority w:val="61"/>
    <w:rsid w:val="00192E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D3BC5"/>
    <w:pPr>
      <w:tabs>
        <w:tab w:val="center" w:pos="4320"/>
        <w:tab w:val="right" w:pos="8640"/>
      </w:tabs>
    </w:pPr>
  </w:style>
  <w:style w:type="character" w:customStyle="1" w:styleId="HeaderChar">
    <w:name w:val="Header Char"/>
    <w:basedOn w:val="DefaultParagraphFont"/>
    <w:link w:val="Header"/>
    <w:uiPriority w:val="99"/>
    <w:rsid w:val="001D3BC5"/>
    <w:rPr>
      <w:rFonts w:ascii="Times New Roman" w:eastAsia="Times New Roman" w:hAnsi="Times New Roman" w:cs="Times New Roman"/>
      <w:sz w:val="20"/>
      <w:szCs w:val="20"/>
      <w:lang w:val="en-AU" w:eastAsia="en-AU"/>
    </w:rPr>
  </w:style>
  <w:style w:type="paragraph" w:styleId="Footer">
    <w:name w:val="footer"/>
    <w:basedOn w:val="Normal"/>
    <w:link w:val="FooterChar"/>
    <w:uiPriority w:val="99"/>
    <w:unhideWhenUsed/>
    <w:rsid w:val="001D3BC5"/>
    <w:pPr>
      <w:tabs>
        <w:tab w:val="center" w:pos="4320"/>
        <w:tab w:val="right" w:pos="8640"/>
      </w:tabs>
    </w:pPr>
  </w:style>
  <w:style w:type="character" w:customStyle="1" w:styleId="FooterChar">
    <w:name w:val="Footer Char"/>
    <w:basedOn w:val="DefaultParagraphFont"/>
    <w:link w:val="Footer"/>
    <w:uiPriority w:val="99"/>
    <w:rsid w:val="001D3BC5"/>
    <w:rPr>
      <w:rFonts w:ascii="Times New Roman" w:eastAsia="Times New Roman" w:hAnsi="Times New Roman" w:cs="Times New Roman"/>
      <w:sz w:val="20"/>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E77"/>
    <w:pPr>
      <w:autoSpaceDE w:val="0"/>
      <w:autoSpaceDN w:val="0"/>
      <w:adjustRightInd w:val="0"/>
    </w:pPr>
    <w:rPr>
      <w:rFonts w:ascii="Times New Roman" w:eastAsia="Times New Roman" w:hAnsi="Times New Roman" w:cs="Times New Roman"/>
      <w:sz w:val="20"/>
      <w:szCs w:val="20"/>
      <w:lang w:val="en-AU" w:eastAsia="en-AU"/>
    </w:rPr>
  </w:style>
  <w:style w:type="paragraph" w:styleId="Heading1">
    <w:name w:val="heading 1"/>
    <w:basedOn w:val="Normal"/>
    <w:next w:val="Normal"/>
    <w:link w:val="Heading1Char"/>
    <w:qFormat/>
    <w:rsid w:val="002E4E7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E4E7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4E7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E4E77"/>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E77"/>
    <w:rPr>
      <w:rFonts w:ascii="Arial" w:eastAsia="Times New Roman" w:hAnsi="Arial" w:cs="Arial"/>
      <w:b/>
      <w:bCs/>
      <w:kern w:val="32"/>
      <w:sz w:val="32"/>
      <w:szCs w:val="32"/>
      <w:lang w:val="en-AU" w:eastAsia="en-AU"/>
    </w:rPr>
  </w:style>
  <w:style w:type="character" w:customStyle="1" w:styleId="Heading2Char">
    <w:name w:val="Heading 2 Char"/>
    <w:basedOn w:val="DefaultParagraphFont"/>
    <w:link w:val="Heading2"/>
    <w:rsid w:val="002E4E77"/>
    <w:rPr>
      <w:rFonts w:ascii="Arial" w:eastAsia="Times New Roman" w:hAnsi="Arial" w:cs="Arial"/>
      <w:b/>
      <w:bCs/>
      <w:i/>
      <w:iCs/>
      <w:sz w:val="28"/>
      <w:szCs w:val="28"/>
      <w:lang w:val="en-AU" w:eastAsia="en-AU"/>
    </w:rPr>
  </w:style>
  <w:style w:type="character" w:customStyle="1" w:styleId="Heading3Char">
    <w:name w:val="Heading 3 Char"/>
    <w:basedOn w:val="DefaultParagraphFont"/>
    <w:link w:val="Heading3"/>
    <w:rsid w:val="002E4E77"/>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2E4E77"/>
    <w:rPr>
      <w:rFonts w:ascii="Times New Roman" w:eastAsia="Times New Roman" w:hAnsi="Times New Roman" w:cs="Times New Roman"/>
      <w:lang w:val="en-AU" w:eastAsia="en-AU"/>
    </w:rPr>
  </w:style>
  <w:style w:type="paragraph" w:customStyle="1" w:styleId="Level1">
    <w:name w:val="Level 1"/>
    <w:rsid w:val="002E4E77"/>
    <w:pPr>
      <w:autoSpaceDE w:val="0"/>
      <w:autoSpaceDN w:val="0"/>
      <w:adjustRightInd w:val="0"/>
      <w:ind w:left="720"/>
    </w:pPr>
    <w:rPr>
      <w:rFonts w:ascii="Times New Roman" w:eastAsia="Times New Roman" w:hAnsi="Times New Roman" w:cs="Times New Roman"/>
      <w:lang w:val="en-AU" w:eastAsia="en-AU"/>
    </w:rPr>
  </w:style>
  <w:style w:type="character" w:styleId="PageNumber">
    <w:name w:val="page number"/>
    <w:basedOn w:val="DefaultParagraphFont"/>
    <w:rsid w:val="002E4E77"/>
  </w:style>
  <w:style w:type="paragraph" w:styleId="TOC1">
    <w:name w:val="toc 1"/>
    <w:basedOn w:val="Normal"/>
    <w:next w:val="Normal"/>
    <w:autoRedefine/>
    <w:uiPriority w:val="39"/>
    <w:rsid w:val="002E4E77"/>
  </w:style>
  <w:style w:type="paragraph" w:styleId="TOC2">
    <w:name w:val="toc 2"/>
    <w:basedOn w:val="Normal"/>
    <w:next w:val="Normal"/>
    <w:autoRedefine/>
    <w:uiPriority w:val="39"/>
    <w:rsid w:val="002E4E77"/>
    <w:pPr>
      <w:ind w:left="200"/>
    </w:pPr>
  </w:style>
  <w:style w:type="character" w:styleId="Hyperlink">
    <w:name w:val="Hyperlink"/>
    <w:basedOn w:val="DefaultParagraphFont"/>
    <w:rsid w:val="002E4E77"/>
    <w:rPr>
      <w:color w:val="0000FF"/>
      <w:u w:val="single"/>
    </w:rPr>
  </w:style>
  <w:style w:type="paragraph" w:styleId="E-mailSignature">
    <w:name w:val="E-mail Signature"/>
    <w:basedOn w:val="Normal"/>
    <w:link w:val="E-mailSignatureChar"/>
    <w:rsid w:val="002E4E77"/>
    <w:pPr>
      <w:autoSpaceDE/>
      <w:autoSpaceDN/>
      <w:adjustRightInd/>
    </w:pPr>
    <w:rPr>
      <w:sz w:val="24"/>
      <w:szCs w:val="24"/>
    </w:rPr>
  </w:style>
  <w:style w:type="character" w:customStyle="1" w:styleId="E-mailSignatureChar">
    <w:name w:val="E-mail Signature Char"/>
    <w:basedOn w:val="DefaultParagraphFont"/>
    <w:link w:val="E-mailSignature"/>
    <w:rsid w:val="002E4E77"/>
    <w:rPr>
      <w:rFonts w:ascii="Times New Roman" w:eastAsia="Times New Roman" w:hAnsi="Times New Roman" w:cs="Times New Roman"/>
      <w:lang w:val="en-AU" w:eastAsia="en-AU"/>
    </w:rPr>
  </w:style>
  <w:style w:type="paragraph" w:styleId="TOC3">
    <w:name w:val="toc 3"/>
    <w:basedOn w:val="Normal"/>
    <w:next w:val="Normal"/>
    <w:autoRedefine/>
    <w:uiPriority w:val="39"/>
    <w:rsid w:val="002E4E77"/>
    <w:pPr>
      <w:ind w:left="400"/>
    </w:pPr>
  </w:style>
  <w:style w:type="paragraph" w:styleId="Title">
    <w:name w:val="Title"/>
    <w:basedOn w:val="Normal"/>
    <w:next w:val="Normal"/>
    <w:link w:val="TitleChar"/>
    <w:uiPriority w:val="10"/>
    <w:qFormat/>
    <w:rsid w:val="002E4E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4E77"/>
    <w:rPr>
      <w:rFonts w:asciiTheme="majorHAnsi" w:eastAsiaTheme="majorEastAsia" w:hAnsiTheme="majorHAnsi" w:cstheme="majorBidi"/>
      <w:color w:val="17365D" w:themeColor="text2" w:themeShade="BF"/>
      <w:spacing w:val="5"/>
      <w:kern w:val="28"/>
      <w:sz w:val="52"/>
      <w:szCs w:val="52"/>
      <w:lang w:val="en-AU" w:eastAsia="en-AU"/>
    </w:rPr>
  </w:style>
  <w:style w:type="table" w:styleId="TableGrid">
    <w:name w:val="Table Grid"/>
    <w:basedOn w:val="TableNormal"/>
    <w:uiPriority w:val="59"/>
    <w:rsid w:val="002E4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4E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4E77"/>
    <w:rPr>
      <w:rFonts w:ascii="Lucida Grande" w:eastAsia="Times New Roman" w:hAnsi="Lucida Grande" w:cs="Lucida Grande"/>
      <w:sz w:val="18"/>
      <w:szCs w:val="18"/>
      <w:lang w:val="en-AU" w:eastAsia="en-AU"/>
    </w:rPr>
  </w:style>
  <w:style w:type="paragraph" w:styleId="DocumentMap">
    <w:name w:val="Document Map"/>
    <w:basedOn w:val="Normal"/>
    <w:link w:val="DocumentMapChar"/>
    <w:uiPriority w:val="99"/>
    <w:semiHidden/>
    <w:unhideWhenUsed/>
    <w:rsid w:val="002E4E7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E4E77"/>
    <w:rPr>
      <w:rFonts w:ascii="Lucida Grande" w:eastAsia="Times New Roman" w:hAnsi="Lucida Grande" w:cs="Lucida Grande"/>
      <w:lang w:val="en-AU" w:eastAsia="en-AU"/>
    </w:rPr>
  </w:style>
  <w:style w:type="table" w:styleId="LightList">
    <w:name w:val="Light List"/>
    <w:basedOn w:val="TableNormal"/>
    <w:uiPriority w:val="61"/>
    <w:rsid w:val="00192E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D3BC5"/>
    <w:pPr>
      <w:tabs>
        <w:tab w:val="center" w:pos="4320"/>
        <w:tab w:val="right" w:pos="8640"/>
      </w:tabs>
    </w:pPr>
  </w:style>
  <w:style w:type="character" w:customStyle="1" w:styleId="HeaderChar">
    <w:name w:val="Header Char"/>
    <w:basedOn w:val="DefaultParagraphFont"/>
    <w:link w:val="Header"/>
    <w:uiPriority w:val="99"/>
    <w:rsid w:val="001D3BC5"/>
    <w:rPr>
      <w:rFonts w:ascii="Times New Roman" w:eastAsia="Times New Roman" w:hAnsi="Times New Roman" w:cs="Times New Roman"/>
      <w:sz w:val="20"/>
      <w:szCs w:val="20"/>
      <w:lang w:val="en-AU" w:eastAsia="en-AU"/>
    </w:rPr>
  </w:style>
  <w:style w:type="paragraph" w:styleId="Footer">
    <w:name w:val="footer"/>
    <w:basedOn w:val="Normal"/>
    <w:link w:val="FooterChar"/>
    <w:uiPriority w:val="99"/>
    <w:unhideWhenUsed/>
    <w:rsid w:val="001D3BC5"/>
    <w:pPr>
      <w:tabs>
        <w:tab w:val="center" w:pos="4320"/>
        <w:tab w:val="right" w:pos="8640"/>
      </w:tabs>
    </w:pPr>
  </w:style>
  <w:style w:type="character" w:customStyle="1" w:styleId="FooterChar">
    <w:name w:val="Footer Char"/>
    <w:basedOn w:val="DefaultParagraphFont"/>
    <w:link w:val="Footer"/>
    <w:uiPriority w:val="99"/>
    <w:rsid w:val="001D3BC5"/>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hare2.dse.vic.gov.au/MapShare2EXT/imf.jsp?site=bim"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nvironment.gov.au/epbc/publications/pubs/ecological-communities-listing-approach-factshee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vironment.gov.au/cgi-bin/sprat/public/publicshowcommunity.pl?id=42&amp;status=Critically%20Endangere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se.vic.gov.au/CA256F310024B628/0/B10DC61B8DF2A09FCA25760F0010DF1B/$File/Advisory+List+of+Threatened+Vert+Fauna+in+Victoria+-+2007+amended+11+august+2009.pdf" TargetMode="External"/><Relationship Id="rId4" Type="http://schemas.openxmlformats.org/officeDocument/2006/relationships/settings" Target="settings.xml"/><Relationship Id="rId9" Type="http://schemas.openxmlformats.org/officeDocument/2006/relationships/hyperlink" Target="http://www.dse.vic.gov.au/dse/nrence.nsf/LinkView/A2A7B7D2CABBEE3CCA256F2B000257048062D358172E420C4A256DEA0012F71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3055</Words>
  <Characters>17414</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Mark Trengove Ecological Services</Company>
  <LinksUpToDate>false</LinksUpToDate>
  <CharactersWithSpaces>20429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Trengove</dc:creator>
  <cp:lastModifiedBy>Stefanie Riches</cp:lastModifiedBy>
  <cp:revision>2</cp:revision>
  <dcterms:created xsi:type="dcterms:W3CDTF">2013-07-29T05:18:00Z</dcterms:created>
  <dcterms:modified xsi:type="dcterms:W3CDTF">2013-07-29T05:18:00Z</dcterms:modified>
</cp:coreProperties>
</file>