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D55" w:rsidRPr="004558DF" w:rsidRDefault="008E3D55" w:rsidP="008E3D55">
      <w:pPr>
        <w:pStyle w:val="OfficerFile"/>
        <w:tabs>
          <w:tab w:val="clear" w:pos="3119"/>
          <w:tab w:val="left" w:pos="2410"/>
        </w:tabs>
        <w:spacing w:before="240"/>
        <w:ind w:left="2410" w:hanging="1843"/>
        <w:rPr>
          <w:rFonts w:cs="Arial"/>
          <w:sz w:val="22"/>
          <w:szCs w:val="22"/>
        </w:rPr>
      </w:pPr>
      <w:r w:rsidRPr="004558DF">
        <w:rPr>
          <w:rFonts w:cs="Arial"/>
          <w:sz w:val="22"/>
          <w:szCs w:val="22"/>
        </w:rPr>
        <w:t>To:</w:t>
      </w:r>
      <w:r w:rsidRPr="004558DF">
        <w:rPr>
          <w:rFonts w:cs="Arial"/>
          <w:sz w:val="22"/>
          <w:szCs w:val="22"/>
        </w:rPr>
        <w:tab/>
        <w:t xml:space="preserve">Peter Smith – Coordinator Strategic Implementation </w:t>
      </w:r>
    </w:p>
    <w:p w:rsidR="008E3D55" w:rsidRPr="004558DF" w:rsidRDefault="008E3D55" w:rsidP="008E3D55">
      <w:pPr>
        <w:pStyle w:val="OfficerFile"/>
        <w:tabs>
          <w:tab w:val="left" w:pos="2410"/>
        </w:tabs>
        <w:ind w:left="2410" w:hanging="1843"/>
        <w:rPr>
          <w:rFonts w:cs="Arial"/>
          <w:sz w:val="22"/>
          <w:szCs w:val="22"/>
        </w:rPr>
      </w:pPr>
      <w:r w:rsidRPr="004558DF">
        <w:rPr>
          <w:rFonts w:cs="Arial"/>
          <w:sz w:val="22"/>
          <w:szCs w:val="22"/>
        </w:rPr>
        <w:t>From:</w:t>
      </w:r>
      <w:r w:rsidRPr="004558DF">
        <w:rPr>
          <w:rFonts w:cs="Arial"/>
          <w:sz w:val="22"/>
          <w:szCs w:val="22"/>
        </w:rPr>
        <w:tab/>
      </w:r>
      <w:r>
        <w:rPr>
          <w:rFonts w:cs="Arial"/>
          <w:sz w:val="22"/>
          <w:szCs w:val="22"/>
        </w:rPr>
        <w:t xml:space="preserve">Barry </w:t>
      </w:r>
      <w:r w:rsidR="00593460">
        <w:rPr>
          <w:rFonts w:cs="Arial"/>
          <w:sz w:val="22"/>
          <w:szCs w:val="22"/>
        </w:rPr>
        <w:t>G</w:t>
      </w:r>
      <w:r>
        <w:rPr>
          <w:rFonts w:cs="Arial"/>
          <w:sz w:val="22"/>
          <w:szCs w:val="22"/>
        </w:rPr>
        <w:t>ough – Strategic Planner</w:t>
      </w:r>
    </w:p>
    <w:p w:rsidR="008E3D55" w:rsidRPr="004558DF" w:rsidRDefault="008E3D55" w:rsidP="008E3D55">
      <w:pPr>
        <w:pStyle w:val="OfficerFile"/>
        <w:tabs>
          <w:tab w:val="clear" w:pos="3119"/>
          <w:tab w:val="left" w:pos="2410"/>
          <w:tab w:val="right" w:pos="8312"/>
        </w:tabs>
        <w:ind w:left="2410" w:hanging="1843"/>
        <w:rPr>
          <w:rFonts w:cs="Arial"/>
          <w:sz w:val="22"/>
          <w:szCs w:val="22"/>
        </w:rPr>
      </w:pPr>
      <w:r w:rsidRPr="004558DF">
        <w:rPr>
          <w:rFonts w:cs="Arial"/>
          <w:sz w:val="22"/>
          <w:szCs w:val="22"/>
        </w:rPr>
        <w:t>Subject:</w:t>
      </w:r>
      <w:r w:rsidRPr="004558DF">
        <w:rPr>
          <w:rFonts w:cs="Arial"/>
          <w:sz w:val="22"/>
          <w:szCs w:val="22"/>
        </w:rPr>
        <w:tab/>
      </w:r>
      <w:r w:rsidR="00593460">
        <w:rPr>
          <w:rFonts w:cs="Arial"/>
          <w:sz w:val="22"/>
          <w:szCs w:val="22"/>
        </w:rPr>
        <w:t>R</w:t>
      </w:r>
      <w:r w:rsidRPr="004558DF">
        <w:rPr>
          <w:rFonts w:cs="Arial"/>
          <w:sz w:val="22"/>
          <w:szCs w:val="22"/>
        </w:rPr>
        <w:t xml:space="preserve">ezoning at 3 - 5 Forest Road South, Lara from Residential 1 Zone to </w:t>
      </w:r>
      <w:r>
        <w:rPr>
          <w:rFonts w:cs="Arial"/>
          <w:sz w:val="22"/>
          <w:szCs w:val="22"/>
        </w:rPr>
        <w:t>Commercial 1 Zone</w:t>
      </w:r>
      <w:r w:rsidRPr="004558DF">
        <w:rPr>
          <w:rFonts w:cs="Arial"/>
          <w:sz w:val="22"/>
          <w:szCs w:val="22"/>
        </w:rPr>
        <w:tab/>
      </w:r>
    </w:p>
    <w:p w:rsidR="008E3D55" w:rsidRPr="00EC2E52" w:rsidRDefault="00EC2E52" w:rsidP="008E3D55">
      <w:pPr>
        <w:tabs>
          <w:tab w:val="left" w:pos="284"/>
          <w:tab w:val="left" w:pos="567"/>
          <w:tab w:val="left" w:pos="2410"/>
        </w:tabs>
        <w:ind w:left="2410" w:hanging="1843"/>
        <w:rPr>
          <w:rFonts w:cs="Arial"/>
          <w:b/>
          <w:sz w:val="22"/>
          <w:szCs w:val="22"/>
        </w:rPr>
      </w:pPr>
      <w:r>
        <w:rPr>
          <w:rFonts w:cs="Arial"/>
          <w:b/>
          <w:sz w:val="22"/>
          <w:szCs w:val="22"/>
        </w:rPr>
        <w:t>Index Reference</w:t>
      </w:r>
      <w:r w:rsidR="008E3D55" w:rsidRPr="004558DF">
        <w:rPr>
          <w:rFonts w:cs="Arial"/>
          <w:b/>
          <w:sz w:val="22"/>
          <w:szCs w:val="22"/>
        </w:rPr>
        <w:t>:</w:t>
      </w:r>
      <w:r w:rsidR="008E3D55" w:rsidRPr="004558DF">
        <w:rPr>
          <w:rFonts w:cs="Arial"/>
          <w:b/>
          <w:sz w:val="22"/>
          <w:szCs w:val="22"/>
        </w:rPr>
        <w:tab/>
      </w:r>
      <w:r>
        <w:rPr>
          <w:rFonts w:cs="Arial"/>
          <w:b/>
          <w:sz w:val="22"/>
          <w:szCs w:val="22"/>
        </w:rPr>
        <w:t>Project:</w:t>
      </w:r>
      <w:r>
        <w:rPr>
          <w:rFonts w:cs="Arial"/>
          <w:b/>
          <w:sz w:val="22"/>
          <w:szCs w:val="22"/>
        </w:rPr>
        <w:tab/>
        <w:t xml:space="preserve">Amendment </w:t>
      </w:r>
      <w:r w:rsidR="008E3D55" w:rsidRPr="004558DF">
        <w:rPr>
          <w:rFonts w:cs="Arial"/>
          <w:b/>
          <w:sz w:val="22"/>
          <w:szCs w:val="22"/>
        </w:rPr>
        <w:t>C303</w:t>
      </w:r>
    </w:p>
    <w:p w:rsidR="00EC2E52" w:rsidRPr="00EC2E52" w:rsidRDefault="00EC2E52" w:rsidP="008E3D55">
      <w:pPr>
        <w:tabs>
          <w:tab w:val="left" w:pos="284"/>
          <w:tab w:val="left" w:pos="567"/>
          <w:tab w:val="left" w:pos="2410"/>
        </w:tabs>
        <w:ind w:left="2410" w:hanging="1843"/>
        <w:rPr>
          <w:rFonts w:cs="Arial"/>
          <w:b/>
          <w:sz w:val="22"/>
          <w:szCs w:val="22"/>
        </w:rPr>
      </w:pPr>
      <w:r w:rsidRPr="00EC2E52">
        <w:rPr>
          <w:rFonts w:cs="Arial"/>
          <w:b/>
          <w:sz w:val="22"/>
          <w:szCs w:val="22"/>
        </w:rPr>
        <w:tab/>
        <w:t>Reports:</w:t>
      </w:r>
      <w:r w:rsidRPr="00EC2E52">
        <w:rPr>
          <w:rFonts w:cs="Arial"/>
          <w:b/>
          <w:sz w:val="22"/>
          <w:szCs w:val="22"/>
        </w:rPr>
        <w:tab/>
        <w:t>Council &amp; Other 2014</w:t>
      </w:r>
    </w:p>
    <w:p w:rsidR="00EC2E52" w:rsidRPr="00EC2E52" w:rsidRDefault="00EC2E52" w:rsidP="008E3D55">
      <w:pPr>
        <w:tabs>
          <w:tab w:val="left" w:pos="284"/>
          <w:tab w:val="left" w:pos="567"/>
          <w:tab w:val="left" w:pos="2410"/>
        </w:tabs>
        <w:ind w:left="2410" w:hanging="1843"/>
        <w:rPr>
          <w:rFonts w:cs="Arial"/>
          <w:b/>
          <w:sz w:val="22"/>
          <w:szCs w:val="22"/>
        </w:rPr>
      </w:pPr>
      <w:r>
        <w:rPr>
          <w:rFonts w:cs="Arial"/>
          <w:b/>
          <w:color w:val="0000FF"/>
          <w:sz w:val="22"/>
          <w:szCs w:val="22"/>
        </w:rPr>
        <w:tab/>
      </w:r>
      <w:r w:rsidRPr="00EC2E52">
        <w:rPr>
          <w:rFonts w:cs="Arial"/>
          <w:b/>
          <w:sz w:val="22"/>
          <w:szCs w:val="22"/>
        </w:rPr>
        <w:t>Subject:</w:t>
      </w:r>
      <w:r w:rsidRPr="00EC2E52">
        <w:rPr>
          <w:rFonts w:cs="Arial"/>
          <w:b/>
          <w:sz w:val="22"/>
          <w:szCs w:val="22"/>
        </w:rPr>
        <w:tab/>
        <w:t>Delegated Decisions 32014</w:t>
      </w:r>
    </w:p>
    <w:p w:rsidR="008E3D55" w:rsidRPr="004558DF" w:rsidRDefault="008E3D55" w:rsidP="008E3D55">
      <w:pPr>
        <w:tabs>
          <w:tab w:val="left" w:pos="2410"/>
        </w:tabs>
        <w:ind w:left="2410" w:hanging="1843"/>
        <w:rPr>
          <w:rFonts w:cs="Arial"/>
          <w:sz w:val="22"/>
          <w:szCs w:val="22"/>
        </w:rPr>
      </w:pPr>
    </w:p>
    <w:p w:rsidR="008E3D55" w:rsidRPr="00250DB9" w:rsidRDefault="008E3D55" w:rsidP="008E3D55">
      <w:pPr>
        <w:pStyle w:val="SubHeading1"/>
      </w:pPr>
      <w:r w:rsidRPr="00250DB9">
        <w:t>Summary</w:t>
      </w:r>
    </w:p>
    <w:p w:rsidR="00B115E0" w:rsidRPr="00B115E0" w:rsidRDefault="00B115E0" w:rsidP="00FF5D10">
      <w:pPr>
        <w:numPr>
          <w:ilvl w:val="0"/>
          <w:numId w:val="2"/>
        </w:numPr>
        <w:tabs>
          <w:tab w:val="left" w:pos="567"/>
        </w:tabs>
        <w:spacing w:after="120"/>
        <w:ind w:left="993"/>
        <w:jc w:val="both"/>
        <w:rPr>
          <w:color w:val="000000"/>
          <w:sz w:val="22"/>
          <w:lang w:val="en-GB"/>
        </w:rPr>
      </w:pPr>
      <w:r w:rsidRPr="00B115E0">
        <w:rPr>
          <w:color w:val="000000"/>
          <w:sz w:val="22"/>
          <w:lang w:val="en-GB"/>
        </w:rPr>
        <w:t xml:space="preserve">The request to prepare the Amendment has been lodged by </w:t>
      </w:r>
      <w:proofErr w:type="spellStart"/>
      <w:r>
        <w:rPr>
          <w:color w:val="000000"/>
          <w:sz w:val="22"/>
          <w:lang w:val="en-GB"/>
        </w:rPr>
        <w:t>Fadgyas</w:t>
      </w:r>
      <w:proofErr w:type="spellEnd"/>
      <w:r>
        <w:rPr>
          <w:color w:val="000000"/>
          <w:sz w:val="22"/>
          <w:lang w:val="en-GB"/>
        </w:rPr>
        <w:t xml:space="preserve"> Planning Associates</w:t>
      </w:r>
      <w:r w:rsidRPr="00B115E0">
        <w:rPr>
          <w:color w:val="000000"/>
          <w:sz w:val="22"/>
          <w:lang w:val="en-GB"/>
        </w:rPr>
        <w:t xml:space="preserve"> on behalf of </w:t>
      </w:r>
      <w:r>
        <w:rPr>
          <w:color w:val="000000"/>
          <w:sz w:val="22"/>
          <w:lang w:val="en-GB"/>
        </w:rPr>
        <w:t>S.C.G. Properties</w:t>
      </w:r>
      <w:r w:rsidRPr="00B115E0">
        <w:rPr>
          <w:color w:val="000000"/>
          <w:sz w:val="22"/>
          <w:lang w:val="en-GB"/>
        </w:rPr>
        <w:t xml:space="preserve"> Pty Ltd</w:t>
      </w:r>
      <w:r>
        <w:rPr>
          <w:color w:val="000000"/>
          <w:sz w:val="22"/>
          <w:lang w:val="en-GB"/>
        </w:rPr>
        <w:t>, which is the owner of the land</w:t>
      </w:r>
      <w:r w:rsidRPr="00B115E0">
        <w:rPr>
          <w:color w:val="000000"/>
          <w:sz w:val="22"/>
          <w:lang w:val="en-GB"/>
        </w:rPr>
        <w:t>.</w:t>
      </w:r>
    </w:p>
    <w:p w:rsidR="00B115E0" w:rsidRPr="00B115E0" w:rsidRDefault="00B115E0" w:rsidP="00FF5D10">
      <w:pPr>
        <w:numPr>
          <w:ilvl w:val="0"/>
          <w:numId w:val="2"/>
        </w:numPr>
        <w:tabs>
          <w:tab w:val="left" w:pos="567"/>
        </w:tabs>
        <w:spacing w:after="120"/>
        <w:ind w:left="993"/>
        <w:jc w:val="both"/>
        <w:rPr>
          <w:color w:val="000000"/>
          <w:sz w:val="22"/>
          <w:lang w:val="en-GB"/>
        </w:rPr>
      </w:pPr>
      <w:r w:rsidRPr="00B115E0">
        <w:rPr>
          <w:color w:val="000000"/>
          <w:sz w:val="22"/>
          <w:lang w:val="en-GB"/>
        </w:rPr>
        <w:t xml:space="preserve">The Amendment proposes to re-zone land from </w:t>
      </w:r>
      <w:r>
        <w:rPr>
          <w:color w:val="000000"/>
          <w:sz w:val="22"/>
          <w:lang w:val="en-GB"/>
        </w:rPr>
        <w:t>Residential 1 zone</w:t>
      </w:r>
      <w:r w:rsidRPr="00B115E0">
        <w:rPr>
          <w:color w:val="000000"/>
          <w:sz w:val="22"/>
          <w:lang w:val="en-GB"/>
        </w:rPr>
        <w:t xml:space="preserve"> (</w:t>
      </w:r>
      <w:r>
        <w:rPr>
          <w:color w:val="000000"/>
          <w:sz w:val="22"/>
          <w:lang w:val="en-GB"/>
        </w:rPr>
        <w:t>R1</w:t>
      </w:r>
      <w:r w:rsidRPr="00B115E0">
        <w:rPr>
          <w:color w:val="000000"/>
          <w:sz w:val="22"/>
          <w:lang w:val="en-GB"/>
        </w:rPr>
        <w:t xml:space="preserve">Z) to </w:t>
      </w:r>
      <w:r>
        <w:rPr>
          <w:color w:val="000000"/>
          <w:sz w:val="22"/>
          <w:lang w:val="en-GB"/>
        </w:rPr>
        <w:t>Commercial 1</w:t>
      </w:r>
      <w:r w:rsidRPr="00B115E0">
        <w:rPr>
          <w:color w:val="000000"/>
          <w:sz w:val="22"/>
          <w:lang w:val="en-GB"/>
        </w:rPr>
        <w:t xml:space="preserve"> zone (</w:t>
      </w:r>
      <w:r>
        <w:rPr>
          <w:color w:val="000000"/>
          <w:sz w:val="22"/>
          <w:lang w:val="en-GB"/>
        </w:rPr>
        <w:t>C1Z</w:t>
      </w:r>
      <w:r w:rsidRPr="00B115E0">
        <w:rPr>
          <w:color w:val="000000"/>
          <w:sz w:val="22"/>
          <w:lang w:val="en-GB"/>
        </w:rPr>
        <w:t>).</w:t>
      </w:r>
    </w:p>
    <w:p w:rsidR="00B115E0" w:rsidRPr="00B115E0" w:rsidRDefault="00B115E0" w:rsidP="00FF5D10">
      <w:pPr>
        <w:numPr>
          <w:ilvl w:val="0"/>
          <w:numId w:val="2"/>
        </w:numPr>
        <w:tabs>
          <w:tab w:val="left" w:pos="567"/>
        </w:tabs>
        <w:spacing w:after="120"/>
        <w:ind w:left="993"/>
        <w:jc w:val="both"/>
        <w:rPr>
          <w:color w:val="000000"/>
          <w:sz w:val="22"/>
          <w:lang w:val="en-GB"/>
        </w:rPr>
      </w:pPr>
      <w:r w:rsidRPr="00B115E0">
        <w:rPr>
          <w:color w:val="000000"/>
          <w:sz w:val="22"/>
          <w:lang w:val="en-GB"/>
        </w:rPr>
        <w:t xml:space="preserve">The subject land is </w:t>
      </w:r>
      <w:r>
        <w:rPr>
          <w:color w:val="000000"/>
          <w:sz w:val="22"/>
          <w:lang w:val="en-GB"/>
        </w:rPr>
        <w:t>occupied by recently constructed shops, adjacent to and opposite established shops and related businesses in the C1Z to the north and west.  There are several established houses in the Residential 1 zone immediately to the south, beyond which is the Lara Swimming Pool.</w:t>
      </w:r>
    </w:p>
    <w:p w:rsidR="00B115E0" w:rsidRPr="00B115E0" w:rsidRDefault="00B115E0" w:rsidP="00FF5D10">
      <w:pPr>
        <w:numPr>
          <w:ilvl w:val="0"/>
          <w:numId w:val="2"/>
        </w:numPr>
        <w:tabs>
          <w:tab w:val="left" w:pos="567"/>
        </w:tabs>
        <w:spacing w:after="120"/>
        <w:ind w:left="993"/>
        <w:jc w:val="both"/>
        <w:rPr>
          <w:color w:val="000000"/>
          <w:sz w:val="22"/>
          <w:lang w:val="en-GB"/>
        </w:rPr>
      </w:pPr>
      <w:r w:rsidRPr="00B115E0">
        <w:rPr>
          <w:color w:val="000000"/>
          <w:sz w:val="22"/>
          <w:lang w:val="en-GB"/>
        </w:rPr>
        <w:t>The application was accompanied by detailed supporting documentation.</w:t>
      </w:r>
    </w:p>
    <w:p w:rsidR="00B115E0" w:rsidRPr="00B115E0" w:rsidRDefault="00B115E0" w:rsidP="00FF5D10">
      <w:pPr>
        <w:numPr>
          <w:ilvl w:val="0"/>
          <w:numId w:val="2"/>
        </w:numPr>
        <w:tabs>
          <w:tab w:val="left" w:pos="567"/>
        </w:tabs>
        <w:spacing w:after="120"/>
        <w:ind w:left="993"/>
        <w:jc w:val="both"/>
        <w:rPr>
          <w:color w:val="000000"/>
          <w:sz w:val="22"/>
          <w:lang w:val="en-GB"/>
        </w:rPr>
      </w:pPr>
      <w:r w:rsidRPr="00B115E0">
        <w:rPr>
          <w:color w:val="000000"/>
          <w:sz w:val="22"/>
          <w:lang w:val="en-GB"/>
        </w:rPr>
        <w:t>It is recommended that exhibition of the Amendment be supported.</w:t>
      </w:r>
    </w:p>
    <w:p w:rsidR="008E3D55" w:rsidRDefault="008E3D55" w:rsidP="008E3D55">
      <w:pPr>
        <w:pStyle w:val="SubHeading1"/>
      </w:pPr>
      <w:r>
        <w:t>Recommendation</w:t>
      </w:r>
    </w:p>
    <w:p w:rsidR="00B115E0" w:rsidRPr="00B115E0" w:rsidRDefault="00B115E0" w:rsidP="00B115E0">
      <w:pPr>
        <w:spacing w:after="160"/>
        <w:ind w:left="567"/>
        <w:jc w:val="both"/>
        <w:rPr>
          <w:b/>
          <w:color w:val="000000"/>
          <w:sz w:val="22"/>
          <w:szCs w:val="22"/>
          <w:lang w:val="en-GB"/>
        </w:rPr>
      </w:pPr>
      <w:r w:rsidRPr="00B115E0">
        <w:rPr>
          <w:b/>
          <w:color w:val="000000"/>
          <w:sz w:val="22"/>
          <w:szCs w:val="22"/>
          <w:lang w:val="en-GB"/>
        </w:rPr>
        <w:t>That Council, having considered all matters as required by Section 12 (2) of the Planning and Environment Act 1987, resolves to:</w:t>
      </w:r>
    </w:p>
    <w:p w:rsidR="00B115E0" w:rsidRPr="00B115E0" w:rsidRDefault="00B115E0" w:rsidP="00B115E0">
      <w:pPr>
        <w:numPr>
          <w:ilvl w:val="0"/>
          <w:numId w:val="1"/>
        </w:numPr>
        <w:spacing w:after="160"/>
        <w:ind w:left="924" w:hanging="357"/>
        <w:jc w:val="both"/>
        <w:rPr>
          <w:b/>
          <w:sz w:val="22"/>
        </w:rPr>
      </w:pPr>
      <w:r w:rsidRPr="00B115E0">
        <w:rPr>
          <w:b/>
          <w:sz w:val="22"/>
        </w:rPr>
        <w:t>support the preparation and exhibition of amendment C</w:t>
      </w:r>
      <w:r>
        <w:rPr>
          <w:b/>
          <w:sz w:val="22"/>
        </w:rPr>
        <w:t>303</w:t>
      </w:r>
      <w:r w:rsidRPr="00B115E0">
        <w:rPr>
          <w:b/>
          <w:sz w:val="22"/>
        </w:rPr>
        <w:t xml:space="preserve"> to the Greater Geelong Planning Scheme to rezone land at 3-5 Forest Road South, Lara from Residential 1 Zone (R1Z) to Commercial 1  Zone (C1Z); and</w:t>
      </w:r>
    </w:p>
    <w:p w:rsidR="00B115E0" w:rsidRPr="00B115E0" w:rsidRDefault="00B115E0" w:rsidP="00B115E0">
      <w:pPr>
        <w:numPr>
          <w:ilvl w:val="0"/>
          <w:numId w:val="1"/>
        </w:numPr>
        <w:spacing w:after="160"/>
        <w:ind w:left="924" w:hanging="357"/>
        <w:jc w:val="both"/>
        <w:rPr>
          <w:b/>
          <w:sz w:val="22"/>
        </w:rPr>
      </w:pPr>
      <w:r w:rsidRPr="00B115E0">
        <w:rPr>
          <w:b/>
          <w:sz w:val="22"/>
        </w:rPr>
        <w:t>Request the Minister for Planning to authorise the preparation and exhibition of Amendment C</w:t>
      </w:r>
      <w:r>
        <w:rPr>
          <w:b/>
          <w:sz w:val="22"/>
        </w:rPr>
        <w:t>303</w:t>
      </w:r>
      <w:r w:rsidRPr="00B115E0">
        <w:rPr>
          <w:b/>
          <w:sz w:val="22"/>
        </w:rPr>
        <w:t xml:space="preserve"> to the Greater Geelong Planning Scheme.</w:t>
      </w:r>
    </w:p>
    <w:p w:rsidR="008E3D55" w:rsidRDefault="008E3D55" w:rsidP="008E3D55">
      <w:pPr>
        <w:pStyle w:val="SubHeading2"/>
      </w:pPr>
      <w:r>
        <w:t>Background</w:t>
      </w:r>
    </w:p>
    <w:p w:rsidR="008E3D55" w:rsidRDefault="00551838" w:rsidP="008E3D55">
      <w:pPr>
        <w:pStyle w:val="NormInd"/>
      </w:pPr>
      <w:r>
        <w:t>The subject land has been recently developed for Commercial use via a planning permit, consistent with the provisions of the Residential 1 zone.</w:t>
      </w:r>
    </w:p>
    <w:p w:rsidR="00551838" w:rsidRDefault="00551838" w:rsidP="00B115E0">
      <w:pPr>
        <w:spacing w:after="80"/>
        <w:ind w:left="567"/>
        <w:jc w:val="both"/>
        <w:rPr>
          <w:color w:val="000000"/>
          <w:sz w:val="22"/>
          <w:lang w:val="en-GB"/>
        </w:rPr>
      </w:pPr>
      <w:r>
        <w:rPr>
          <w:color w:val="000000"/>
          <w:sz w:val="22"/>
          <w:lang w:val="en-GB"/>
        </w:rPr>
        <w:t>Three - five</w:t>
      </w:r>
      <w:r w:rsidR="00086841" w:rsidRPr="00086841">
        <w:rPr>
          <w:sz w:val="22"/>
        </w:rPr>
        <w:t xml:space="preserve"> Forest Road South</w:t>
      </w:r>
      <w:r w:rsidR="00B115E0" w:rsidRPr="00B115E0">
        <w:rPr>
          <w:color w:val="000000"/>
          <w:sz w:val="22"/>
          <w:lang w:val="en-GB"/>
        </w:rPr>
        <w:t xml:space="preserve">, is bounded </w:t>
      </w:r>
      <w:r>
        <w:rPr>
          <w:color w:val="000000"/>
          <w:sz w:val="22"/>
          <w:lang w:val="en-GB"/>
        </w:rPr>
        <w:t>by existing Commercial 1 land to the north and Residential 1 land to the East and South.</w:t>
      </w:r>
    </w:p>
    <w:p w:rsidR="00551838" w:rsidRDefault="00551838" w:rsidP="00B115E0">
      <w:pPr>
        <w:spacing w:after="80"/>
        <w:ind w:left="567"/>
        <w:jc w:val="both"/>
        <w:rPr>
          <w:color w:val="000000"/>
          <w:sz w:val="22"/>
          <w:lang w:val="en-GB"/>
        </w:rPr>
      </w:pPr>
      <w:r>
        <w:rPr>
          <w:color w:val="000000"/>
          <w:sz w:val="22"/>
          <w:lang w:val="en-GB"/>
        </w:rPr>
        <w:t>The proposed re-zoning will bring the zoning into conformity with the purpose for which it has been developed.</w:t>
      </w:r>
    </w:p>
    <w:p w:rsidR="008E3D55" w:rsidRDefault="008E3D55" w:rsidP="008E3D55">
      <w:pPr>
        <w:pStyle w:val="SubHeading2"/>
      </w:pPr>
      <w:r>
        <w:t>Discussion</w:t>
      </w:r>
    </w:p>
    <w:p w:rsidR="007612F6" w:rsidRDefault="007612F6" w:rsidP="007612F6">
      <w:pPr>
        <w:spacing w:after="80"/>
        <w:ind w:left="567"/>
        <w:jc w:val="both"/>
        <w:rPr>
          <w:color w:val="000000"/>
          <w:sz w:val="22"/>
          <w:lang w:val="en-GB"/>
        </w:rPr>
      </w:pPr>
      <w:r>
        <w:rPr>
          <w:color w:val="000000"/>
          <w:sz w:val="22"/>
          <w:lang w:val="en-GB"/>
        </w:rPr>
        <w:t xml:space="preserve">The subject site is the northern most of 4 property frontages in the </w:t>
      </w:r>
      <w:proofErr w:type="spellStart"/>
      <w:r>
        <w:rPr>
          <w:color w:val="000000"/>
          <w:sz w:val="22"/>
          <w:lang w:val="en-GB"/>
        </w:rPr>
        <w:t>Residenttial</w:t>
      </w:r>
      <w:proofErr w:type="spellEnd"/>
      <w:r>
        <w:rPr>
          <w:color w:val="000000"/>
          <w:sz w:val="22"/>
          <w:lang w:val="en-GB"/>
        </w:rPr>
        <w:t xml:space="preserve"> 1 zone, which end at the intersection of Bank Street and Forest Road. On the </w:t>
      </w:r>
      <w:r>
        <w:rPr>
          <w:color w:val="000000"/>
          <w:sz w:val="22"/>
          <w:lang w:val="en-GB"/>
        </w:rPr>
        <w:lastRenderedPageBreak/>
        <w:t xml:space="preserve">south side of Forest Road is the car park of the Lara Swimming Pool with the pool to the east and parkland to the south along </w:t>
      </w:r>
      <w:proofErr w:type="spellStart"/>
      <w:r>
        <w:rPr>
          <w:color w:val="000000"/>
          <w:sz w:val="22"/>
          <w:lang w:val="en-GB"/>
        </w:rPr>
        <w:t>Hovell’s</w:t>
      </w:r>
      <w:proofErr w:type="spellEnd"/>
      <w:r>
        <w:rPr>
          <w:color w:val="000000"/>
          <w:sz w:val="22"/>
          <w:lang w:val="en-GB"/>
        </w:rPr>
        <w:t xml:space="preserve"> Creek.</w:t>
      </w:r>
    </w:p>
    <w:p w:rsidR="007612F6" w:rsidRDefault="007612F6" w:rsidP="007612F6">
      <w:pPr>
        <w:spacing w:after="80"/>
        <w:ind w:left="567"/>
        <w:jc w:val="both"/>
        <w:rPr>
          <w:color w:val="000000"/>
          <w:sz w:val="22"/>
          <w:lang w:val="en-GB"/>
        </w:rPr>
      </w:pPr>
      <w:r>
        <w:rPr>
          <w:color w:val="000000"/>
          <w:sz w:val="22"/>
          <w:lang w:val="en-GB"/>
        </w:rPr>
        <w:t xml:space="preserve">The land to be re-zoned could therefore be regarded as part of an ‘outlier’ of the Residential 1 zoned land on the eastern side of Forest Road south, rather than the natural underlying zone of this side of Forest Road South between Station Lake Road and </w:t>
      </w:r>
      <w:proofErr w:type="spellStart"/>
      <w:r>
        <w:rPr>
          <w:color w:val="000000"/>
          <w:sz w:val="22"/>
          <w:lang w:val="en-GB"/>
        </w:rPr>
        <w:t>Hovell’s</w:t>
      </w:r>
      <w:proofErr w:type="spellEnd"/>
      <w:r>
        <w:rPr>
          <w:color w:val="000000"/>
          <w:sz w:val="22"/>
          <w:lang w:val="en-GB"/>
        </w:rPr>
        <w:t xml:space="preserve"> Creek.</w:t>
      </w:r>
    </w:p>
    <w:p w:rsidR="00EC2E52" w:rsidRDefault="00EC2E52" w:rsidP="008E3D55">
      <w:pPr>
        <w:pStyle w:val="NormInd"/>
      </w:pPr>
      <w:r w:rsidRPr="00EC2E52">
        <w:rPr>
          <w:b/>
        </w:rPr>
        <w:t>Appendix 1</w:t>
      </w:r>
      <w:r>
        <w:t xml:space="preserve"> is an aerial photograph which shows the context of the amendment site in relation to the surrounding residential development to the east and south and the commercial development to the north and east. </w:t>
      </w:r>
    </w:p>
    <w:p w:rsidR="00EC2E52" w:rsidRDefault="00EC2E52" w:rsidP="008E3D55">
      <w:pPr>
        <w:pStyle w:val="NormInd"/>
      </w:pPr>
      <w:r w:rsidRPr="00EC2E52">
        <w:rPr>
          <w:b/>
        </w:rPr>
        <w:t>Appendix 2</w:t>
      </w:r>
      <w:r>
        <w:t xml:space="preserve"> identifies the land which is proposed to be re-zoned to C1Z</w:t>
      </w:r>
      <w:r w:rsidR="00551838">
        <w:t xml:space="preserve"> in relation to the surrounding zoning</w:t>
      </w:r>
      <w:r>
        <w:t>.</w:t>
      </w:r>
    </w:p>
    <w:p w:rsidR="008E3D55" w:rsidRDefault="008E3D55" w:rsidP="008E3D55">
      <w:pPr>
        <w:pStyle w:val="SubHeading2"/>
      </w:pPr>
      <w:r>
        <w:t>Environmental Implications</w:t>
      </w:r>
    </w:p>
    <w:p w:rsidR="00EC2E52" w:rsidRDefault="00EC2E52" w:rsidP="008E3D55">
      <w:pPr>
        <w:pStyle w:val="NormInd"/>
      </w:pPr>
      <w:r>
        <w:t>The amendment will not have any advers</w:t>
      </w:r>
      <w:r w:rsidR="007612F6">
        <w:t>e</w:t>
      </w:r>
      <w:r>
        <w:t xml:space="preserve"> effects on the environment.</w:t>
      </w:r>
      <w:r w:rsidR="007612F6">
        <w:t xml:space="preserve"> The orientation of the recently development </w:t>
      </w:r>
      <w:r w:rsidR="0080179B">
        <w:t>site has been designed to locate the car park adjacent to the existing commercial premises to the north and as far as possible from the residential units on the adjoining lot to the south.  This will minimise any potential for adverse environmental impacts, especially with regard to car movements on the site.</w:t>
      </w:r>
    </w:p>
    <w:p w:rsidR="008E3D55" w:rsidRDefault="008E3D55" w:rsidP="008E3D55">
      <w:pPr>
        <w:pStyle w:val="SubHeading2"/>
      </w:pPr>
      <w:r>
        <w:t>Financial Implications</w:t>
      </w:r>
    </w:p>
    <w:p w:rsidR="00EC2E52" w:rsidRDefault="00EC2E52" w:rsidP="008E3D55">
      <w:pPr>
        <w:pStyle w:val="NormInd"/>
      </w:pPr>
      <w:r>
        <w:t>The re-zoning of this recently developed land does not have any financial implications for Council.</w:t>
      </w:r>
    </w:p>
    <w:p w:rsidR="008E3D55" w:rsidRDefault="008E3D55" w:rsidP="008E3D55">
      <w:pPr>
        <w:pStyle w:val="SubHeading2"/>
      </w:pPr>
      <w:r>
        <w:t>Policy/Legal/Statutory Implications</w:t>
      </w:r>
    </w:p>
    <w:p w:rsidR="00236719" w:rsidRDefault="00236719" w:rsidP="00236719">
      <w:pPr>
        <w:pStyle w:val="NormInd"/>
        <w:rPr>
          <w:rFonts w:cs="Arial"/>
          <w:szCs w:val="22"/>
        </w:rPr>
      </w:pPr>
      <w:r>
        <w:rPr>
          <w:rFonts w:cs="Arial"/>
          <w:szCs w:val="22"/>
        </w:rPr>
        <w:t>At clause 21.13-1 of the planning scheme, Key issues and influences, it is noted that:</w:t>
      </w:r>
    </w:p>
    <w:p w:rsidR="00236719" w:rsidRPr="00236719" w:rsidRDefault="00236719" w:rsidP="00236719">
      <w:pPr>
        <w:pStyle w:val="NormInd"/>
        <w:rPr>
          <w:rFonts w:cs="Arial"/>
          <w:i/>
          <w:szCs w:val="22"/>
        </w:rPr>
      </w:pPr>
      <w:r w:rsidRPr="00236719">
        <w:rPr>
          <w:rFonts w:cs="Arial"/>
          <w:i/>
          <w:szCs w:val="22"/>
        </w:rPr>
        <w:t>“Retail and commercial expansion is required to me</w:t>
      </w:r>
      <w:r>
        <w:rPr>
          <w:rFonts w:cs="Arial"/>
          <w:i/>
          <w:szCs w:val="22"/>
        </w:rPr>
        <w:t>et the needs of local residents… “</w:t>
      </w:r>
    </w:p>
    <w:p w:rsidR="00236719" w:rsidRDefault="00236719" w:rsidP="007F357C">
      <w:pPr>
        <w:spacing w:after="120"/>
        <w:ind w:left="567"/>
        <w:jc w:val="both"/>
        <w:rPr>
          <w:rFonts w:cs="Arial"/>
          <w:sz w:val="22"/>
          <w:szCs w:val="22"/>
          <w:lang w:val="en-GB"/>
        </w:rPr>
      </w:pPr>
      <w:r>
        <w:rPr>
          <w:rFonts w:cs="Arial"/>
          <w:sz w:val="22"/>
          <w:szCs w:val="22"/>
          <w:lang w:val="en-GB"/>
        </w:rPr>
        <w:t xml:space="preserve">Clause 21.13-2 Strategies includes the following:  </w:t>
      </w:r>
    </w:p>
    <w:p w:rsidR="00236719" w:rsidRPr="00236719" w:rsidRDefault="00236719" w:rsidP="007F357C">
      <w:pPr>
        <w:spacing w:after="120"/>
        <w:ind w:left="567"/>
        <w:jc w:val="both"/>
        <w:rPr>
          <w:rFonts w:cs="Arial"/>
          <w:i/>
          <w:sz w:val="22"/>
          <w:szCs w:val="22"/>
          <w:lang w:val="en-GB"/>
        </w:rPr>
      </w:pPr>
      <w:r>
        <w:rPr>
          <w:rFonts w:cs="Arial"/>
          <w:i/>
          <w:sz w:val="22"/>
          <w:szCs w:val="22"/>
          <w:lang w:val="en-GB"/>
        </w:rPr>
        <w:t>“Limit the Patullos Road shopping strip to he existing Business 1 zoned land.”</w:t>
      </w:r>
    </w:p>
    <w:p w:rsidR="00236719" w:rsidRDefault="00236719" w:rsidP="007F357C">
      <w:pPr>
        <w:spacing w:after="120"/>
        <w:ind w:left="567"/>
        <w:jc w:val="both"/>
        <w:rPr>
          <w:rFonts w:cs="Arial"/>
          <w:sz w:val="22"/>
          <w:szCs w:val="22"/>
          <w:lang w:val="en-GB"/>
        </w:rPr>
      </w:pPr>
      <w:r>
        <w:rPr>
          <w:rFonts w:cs="Arial"/>
          <w:sz w:val="22"/>
          <w:szCs w:val="22"/>
          <w:lang w:val="en-GB"/>
        </w:rPr>
        <w:t>Clause 22.03</w:t>
      </w:r>
      <w:r w:rsidR="006236A2">
        <w:rPr>
          <w:rFonts w:cs="Arial"/>
          <w:sz w:val="22"/>
          <w:szCs w:val="22"/>
          <w:lang w:val="en-GB"/>
        </w:rPr>
        <w:t>,</w:t>
      </w:r>
      <w:r>
        <w:rPr>
          <w:rFonts w:cs="Arial"/>
          <w:sz w:val="22"/>
          <w:szCs w:val="22"/>
          <w:lang w:val="en-GB"/>
        </w:rPr>
        <w:t xml:space="preserve"> Assessment Criteria </w:t>
      </w:r>
      <w:r w:rsidR="006236A2">
        <w:rPr>
          <w:rFonts w:cs="Arial"/>
          <w:sz w:val="22"/>
          <w:szCs w:val="22"/>
          <w:lang w:val="en-GB"/>
        </w:rPr>
        <w:t>for Retail Planning Applications, specifies selection criteria for the exercise of discretion in regard to applications in specified circumstances, including out-of-centre proposals.  These criteria were required to be met at the time the permit was issued for the development of the existing commercial premises on the land.</w:t>
      </w:r>
    </w:p>
    <w:p w:rsidR="008E3D55" w:rsidRDefault="008E3D55" w:rsidP="008E3D55">
      <w:pPr>
        <w:pStyle w:val="SubHeading2"/>
      </w:pPr>
      <w:r>
        <w:t>Risk Assessment</w:t>
      </w:r>
    </w:p>
    <w:p w:rsidR="008E3D55" w:rsidRDefault="00F97009" w:rsidP="008E3D55">
      <w:pPr>
        <w:pStyle w:val="NormInd"/>
      </w:pPr>
      <w:r w:rsidRPr="00F8059E">
        <w:rPr>
          <w:rFonts w:cs="Arial"/>
          <w:szCs w:val="22"/>
        </w:rPr>
        <w:t xml:space="preserve">The re-zoning of the land </w:t>
      </w:r>
      <w:r>
        <w:rPr>
          <w:rFonts w:cs="Arial"/>
          <w:szCs w:val="22"/>
        </w:rPr>
        <w:t xml:space="preserve">consistent with its recent development and existing use </w:t>
      </w:r>
      <w:r w:rsidRPr="00F8059E">
        <w:rPr>
          <w:rFonts w:cs="Arial"/>
          <w:szCs w:val="22"/>
        </w:rPr>
        <w:t>does not result in any risks to Council.</w:t>
      </w:r>
    </w:p>
    <w:p w:rsidR="008E3D55" w:rsidRDefault="008E3D55" w:rsidP="008E3D55">
      <w:pPr>
        <w:pStyle w:val="SubHeading2"/>
      </w:pPr>
      <w:r>
        <w:t>Social Considerations</w:t>
      </w:r>
    </w:p>
    <w:p w:rsidR="007612F6" w:rsidRDefault="007612F6" w:rsidP="007612F6">
      <w:pPr>
        <w:spacing w:after="160"/>
        <w:ind w:left="567"/>
        <w:jc w:val="both"/>
        <w:rPr>
          <w:sz w:val="22"/>
        </w:rPr>
      </w:pPr>
      <w:r w:rsidRPr="007612F6">
        <w:rPr>
          <w:sz w:val="22"/>
        </w:rPr>
        <w:t xml:space="preserve">The </w:t>
      </w:r>
      <w:r>
        <w:rPr>
          <w:sz w:val="22"/>
        </w:rPr>
        <w:t xml:space="preserve">land has recently been redeveloped in a manner designed to meet community needs and expectations for the availability of services proximate </w:t>
      </w:r>
      <w:proofErr w:type="gramStart"/>
      <w:r>
        <w:rPr>
          <w:sz w:val="22"/>
        </w:rPr>
        <w:t>to  the</w:t>
      </w:r>
      <w:proofErr w:type="gramEnd"/>
      <w:r>
        <w:rPr>
          <w:sz w:val="22"/>
        </w:rPr>
        <w:t xml:space="preserve"> surrounding residential community.</w:t>
      </w:r>
    </w:p>
    <w:p w:rsidR="007612F6" w:rsidRPr="007612F6" w:rsidRDefault="007612F6" w:rsidP="007612F6">
      <w:pPr>
        <w:spacing w:after="160"/>
        <w:ind w:left="567"/>
        <w:jc w:val="both"/>
        <w:rPr>
          <w:sz w:val="22"/>
        </w:rPr>
      </w:pPr>
      <w:r>
        <w:rPr>
          <w:sz w:val="22"/>
        </w:rPr>
        <w:lastRenderedPageBreak/>
        <w:t xml:space="preserve">The </w:t>
      </w:r>
      <w:r w:rsidRPr="007612F6">
        <w:rPr>
          <w:sz w:val="22"/>
        </w:rPr>
        <w:t xml:space="preserve">re-zoning </w:t>
      </w:r>
      <w:r>
        <w:rPr>
          <w:sz w:val="22"/>
        </w:rPr>
        <w:t>consistent with the nature of the redevelopment is not anticipated to generate any negative social impacts.</w:t>
      </w:r>
    </w:p>
    <w:p w:rsidR="008E3D55" w:rsidRDefault="008E3D55" w:rsidP="008E3D55">
      <w:pPr>
        <w:pStyle w:val="SubHeading2"/>
      </w:pPr>
      <w:r>
        <w:t>Consultation and Communication</w:t>
      </w:r>
    </w:p>
    <w:p w:rsidR="007F357C" w:rsidRPr="007F357C" w:rsidRDefault="007F357C" w:rsidP="007F357C">
      <w:pPr>
        <w:spacing w:after="120"/>
        <w:ind w:left="567"/>
        <w:jc w:val="both"/>
        <w:rPr>
          <w:rFonts w:cs="Arial"/>
          <w:sz w:val="22"/>
          <w:szCs w:val="22"/>
          <w:lang w:val="en-GB"/>
        </w:rPr>
      </w:pPr>
      <w:r w:rsidRPr="007F357C">
        <w:rPr>
          <w:rFonts w:cs="Arial"/>
          <w:sz w:val="22"/>
          <w:szCs w:val="22"/>
          <w:lang w:val="en-GB"/>
        </w:rPr>
        <w:t xml:space="preserve">It is proposed that this amendment be exhibited for public comment as required by the Planning &amp; Environment Act. </w:t>
      </w:r>
    </w:p>
    <w:p w:rsidR="008E3D55" w:rsidRDefault="008E3D55" w:rsidP="008E3D55">
      <w:pPr>
        <w:tabs>
          <w:tab w:val="left" w:pos="2410"/>
        </w:tabs>
        <w:ind w:firstLine="567"/>
        <w:rPr>
          <w:rFonts w:cs="Arial"/>
          <w:sz w:val="22"/>
          <w:szCs w:val="22"/>
        </w:rPr>
      </w:pPr>
    </w:p>
    <w:p w:rsidR="0058190A" w:rsidRDefault="00551838" w:rsidP="00551838">
      <w:pPr>
        <w:jc w:val="right"/>
        <w:rPr>
          <w:b/>
          <w:sz w:val="24"/>
          <w:szCs w:val="24"/>
        </w:rPr>
      </w:pPr>
      <w:r w:rsidRPr="00551838">
        <w:rPr>
          <w:b/>
          <w:sz w:val="24"/>
          <w:szCs w:val="24"/>
        </w:rPr>
        <w:t>Attachment 1</w:t>
      </w:r>
    </w:p>
    <w:p w:rsidR="00551838" w:rsidRPr="00551838" w:rsidRDefault="00551838" w:rsidP="00551838">
      <w:pPr>
        <w:jc w:val="right"/>
        <w:rPr>
          <w:b/>
          <w:sz w:val="24"/>
          <w:szCs w:val="24"/>
        </w:rPr>
      </w:pPr>
    </w:p>
    <w:p w:rsidR="00551838" w:rsidRDefault="00551838" w:rsidP="006236A2">
      <w:pPr>
        <w:ind w:left="567"/>
        <w:jc w:val="center"/>
      </w:pPr>
      <w:r w:rsidRPr="00551838">
        <w:rPr>
          <w:noProof/>
          <w:bdr w:val="single" w:sz="4" w:space="0" w:color="auto"/>
          <w:lang w:eastAsia="en-AU"/>
        </w:rPr>
        <w:drawing>
          <wp:inline distT="0" distB="0" distL="0" distR="0">
            <wp:extent cx="4762500" cy="6737516"/>
            <wp:effectExtent l="19050" t="0" r="0" b="0"/>
            <wp:docPr id="1" name="Picture 0" descr="img-22814433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8144338-0002.jpg"/>
                    <pic:cNvPicPr/>
                  </pic:nvPicPr>
                  <pic:blipFill>
                    <a:blip r:embed="rId7" cstate="print"/>
                    <a:stretch>
                      <a:fillRect/>
                    </a:stretch>
                  </pic:blipFill>
                  <pic:spPr>
                    <a:xfrm>
                      <a:off x="0" y="0"/>
                      <a:ext cx="4763646" cy="6739138"/>
                    </a:xfrm>
                    <a:prstGeom prst="rect">
                      <a:avLst/>
                    </a:prstGeom>
                  </pic:spPr>
                </pic:pic>
              </a:graphicData>
            </a:graphic>
          </wp:inline>
        </w:drawing>
      </w:r>
    </w:p>
    <w:p w:rsidR="00551838" w:rsidRDefault="00551838">
      <w:pPr>
        <w:spacing w:after="200" w:line="276" w:lineRule="auto"/>
      </w:pPr>
      <w:r>
        <w:br w:type="page"/>
      </w:r>
    </w:p>
    <w:p w:rsidR="00551838" w:rsidRDefault="00551838"/>
    <w:p w:rsidR="00551838" w:rsidRDefault="00551838" w:rsidP="00551838">
      <w:pPr>
        <w:jc w:val="right"/>
        <w:rPr>
          <w:b/>
          <w:sz w:val="24"/>
          <w:szCs w:val="24"/>
        </w:rPr>
      </w:pPr>
      <w:r w:rsidRPr="00551838">
        <w:rPr>
          <w:b/>
          <w:sz w:val="24"/>
          <w:szCs w:val="24"/>
        </w:rPr>
        <w:t xml:space="preserve">Attachment </w:t>
      </w:r>
      <w:r>
        <w:rPr>
          <w:b/>
          <w:sz w:val="24"/>
          <w:szCs w:val="24"/>
        </w:rPr>
        <w:t>2</w:t>
      </w:r>
    </w:p>
    <w:p w:rsidR="00551838" w:rsidRDefault="00551838"/>
    <w:p w:rsidR="00551838" w:rsidRDefault="002D4B07">
      <w:r w:rsidRPr="002D4B07">
        <w:rPr>
          <w:noProof/>
          <w:bdr w:val="single" w:sz="4" w:space="0" w:color="auto"/>
          <w:lang w:eastAsia="en-AU"/>
        </w:rPr>
        <w:drawing>
          <wp:inline distT="0" distB="0" distL="0" distR="0">
            <wp:extent cx="5278120" cy="7466965"/>
            <wp:effectExtent l="19050" t="0" r="0" b="0"/>
            <wp:docPr id="4" name="Picture 3" descr="img-22814433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8144338-0001.jpg"/>
                    <pic:cNvPicPr/>
                  </pic:nvPicPr>
                  <pic:blipFill>
                    <a:blip r:embed="rId8" cstate="print"/>
                    <a:stretch>
                      <a:fillRect/>
                    </a:stretch>
                  </pic:blipFill>
                  <pic:spPr>
                    <a:xfrm>
                      <a:off x="0" y="0"/>
                      <a:ext cx="5278120" cy="7466965"/>
                    </a:xfrm>
                    <a:prstGeom prst="rect">
                      <a:avLst/>
                    </a:prstGeom>
                  </pic:spPr>
                </pic:pic>
              </a:graphicData>
            </a:graphic>
          </wp:inline>
        </w:drawing>
      </w:r>
    </w:p>
    <w:p w:rsidR="00551838" w:rsidRDefault="00551838"/>
    <w:sectPr w:rsidR="00551838" w:rsidSect="007612F6">
      <w:headerReference w:type="default" r:id="rId9"/>
      <w:footerReference w:type="default" r:id="rId10"/>
      <w:pgSz w:w="11906" w:h="16838"/>
      <w:pgMar w:top="1440" w:right="1797" w:bottom="709" w:left="1797" w:header="709" w:footer="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719" w:rsidRDefault="00236719" w:rsidP="00087278">
      <w:r>
        <w:separator/>
      </w:r>
    </w:p>
  </w:endnote>
  <w:endnote w:type="continuationSeparator" w:id="0">
    <w:p w:rsidR="00236719" w:rsidRDefault="00236719" w:rsidP="00087278">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Korinthia">
    <w:altName w:val="ESRI NIMA VMAP1&amp;2 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719" w:rsidRPr="00D647A2" w:rsidRDefault="00236719" w:rsidP="00B115E0">
    <w:pPr>
      <w:pStyle w:val="Footer"/>
      <w:pBdr>
        <w:top w:val="single" w:sz="12" w:space="1" w:color="auto"/>
      </w:pBdr>
      <w:rPr>
        <w:snapToGrid w:val="0"/>
        <w:sz w:val="16"/>
        <w:szCs w:val="16"/>
      </w:rPr>
    </w:pPr>
    <w:r>
      <w:rPr>
        <w:snapToGrid w:val="0"/>
        <w:sz w:val="16"/>
        <w:szCs w:val="16"/>
      </w:rPr>
      <w:t>B11</w:t>
    </w:r>
  </w:p>
  <w:p w:rsidR="00236719" w:rsidRPr="00A643E5" w:rsidRDefault="00236719" w:rsidP="00B115E0">
    <w:pPr>
      <w:pStyle w:val="Footer"/>
      <w:jc w:val="right"/>
      <w:rPr>
        <w:snapToGrid w:val="0"/>
        <w:sz w:val="16"/>
        <w:szCs w:val="16"/>
      </w:rPr>
    </w:pPr>
    <w:r>
      <w:rPr>
        <w:snapToGrid w:val="0"/>
        <w:sz w:val="16"/>
      </w:rPr>
      <w:t xml:space="preserve">Page </w:t>
    </w:r>
    <w:r w:rsidR="00E14FAB">
      <w:rPr>
        <w:snapToGrid w:val="0"/>
        <w:sz w:val="16"/>
      </w:rPr>
      <w:fldChar w:fldCharType="begin"/>
    </w:r>
    <w:r>
      <w:rPr>
        <w:snapToGrid w:val="0"/>
        <w:sz w:val="16"/>
      </w:rPr>
      <w:instrText xml:space="preserve"> PAGE </w:instrText>
    </w:r>
    <w:r w:rsidR="00E14FAB">
      <w:rPr>
        <w:snapToGrid w:val="0"/>
        <w:sz w:val="16"/>
      </w:rPr>
      <w:fldChar w:fldCharType="separate"/>
    </w:r>
    <w:r w:rsidR="006E08A0">
      <w:rPr>
        <w:noProof/>
        <w:snapToGrid w:val="0"/>
        <w:sz w:val="16"/>
      </w:rPr>
      <w:t>1</w:t>
    </w:r>
    <w:r w:rsidR="00E14FAB">
      <w:rPr>
        <w:snapToGrid w:val="0"/>
        <w:sz w:val="16"/>
      </w:rPr>
      <w:fldChar w:fldCharType="end"/>
    </w:r>
    <w:r>
      <w:rPr>
        <w:snapToGrid w:val="0"/>
        <w:sz w:val="16"/>
      </w:rPr>
      <w:t xml:space="preserve"> </w:t>
    </w:r>
    <w:r w:rsidRPr="00A643E5">
      <w:rPr>
        <w:snapToGrid w:val="0"/>
        <w:sz w:val="16"/>
        <w:szCs w:val="16"/>
      </w:rPr>
      <w:t xml:space="preserve">of </w:t>
    </w:r>
    <w:r w:rsidR="00E14FAB" w:rsidRPr="00A643E5">
      <w:rPr>
        <w:rStyle w:val="PageNumber"/>
        <w:sz w:val="16"/>
        <w:szCs w:val="16"/>
      </w:rPr>
      <w:fldChar w:fldCharType="begin"/>
    </w:r>
    <w:r w:rsidRPr="00A643E5">
      <w:rPr>
        <w:rStyle w:val="PageNumber"/>
        <w:sz w:val="16"/>
        <w:szCs w:val="16"/>
      </w:rPr>
      <w:instrText xml:space="preserve"> NUMPAGES </w:instrText>
    </w:r>
    <w:r w:rsidR="00E14FAB" w:rsidRPr="00A643E5">
      <w:rPr>
        <w:rStyle w:val="PageNumber"/>
        <w:sz w:val="16"/>
        <w:szCs w:val="16"/>
      </w:rPr>
      <w:fldChar w:fldCharType="separate"/>
    </w:r>
    <w:r w:rsidR="006E08A0">
      <w:rPr>
        <w:rStyle w:val="PageNumber"/>
        <w:noProof/>
        <w:sz w:val="16"/>
        <w:szCs w:val="16"/>
      </w:rPr>
      <w:t>4</w:t>
    </w:r>
    <w:r w:rsidR="00E14FAB" w:rsidRPr="00A643E5">
      <w:rPr>
        <w:rStyle w:val="PageNumbe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719" w:rsidRDefault="00236719" w:rsidP="00087278">
      <w:r>
        <w:separator/>
      </w:r>
    </w:p>
  </w:footnote>
  <w:footnote w:type="continuationSeparator" w:id="0">
    <w:p w:rsidR="00236719" w:rsidRDefault="00236719" w:rsidP="000872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719" w:rsidRDefault="00236719" w:rsidP="00B115E0">
    <w:pPr>
      <w:pStyle w:val="Heading1"/>
      <w:rPr>
        <w:sz w:val="16"/>
      </w:rPr>
    </w:pPr>
  </w:p>
  <w:p w:rsidR="00236719" w:rsidRPr="00762323" w:rsidRDefault="00236719" w:rsidP="00B115E0">
    <w:pPr>
      <w:pStyle w:val="Title"/>
      <w:pBdr>
        <w:top w:val="nil"/>
        <w:left w:val="nil"/>
        <w:bottom w:val="nil"/>
        <w:right w:val="nil"/>
      </w:pBdr>
      <w:rPr>
        <w:rFonts w:ascii="Arial" w:hAnsi="Arial" w:cs="Arial"/>
        <w:b w:val="0"/>
        <w:i/>
        <w:szCs w:val="24"/>
      </w:rPr>
    </w:pPr>
    <w:r w:rsidRPr="00762323">
      <w:rPr>
        <w:rFonts w:ascii="Arial" w:hAnsi="Arial" w:cs="Arial"/>
        <w:b w:val="0"/>
        <w:i/>
        <w:szCs w:val="24"/>
      </w:rPr>
      <w:t xml:space="preserve">Planning </w:t>
    </w:r>
    <w:r>
      <w:rPr>
        <w:rFonts w:ascii="Arial" w:hAnsi="Arial" w:cs="Arial"/>
        <w:b w:val="0"/>
        <w:i/>
        <w:szCs w:val="24"/>
      </w:rPr>
      <w:t>an</w:t>
    </w:r>
    <w:r w:rsidRPr="00762323">
      <w:rPr>
        <w:rFonts w:ascii="Arial" w:hAnsi="Arial" w:cs="Arial"/>
        <w:b w:val="0"/>
        <w:i/>
        <w:szCs w:val="24"/>
      </w:rPr>
      <w:t>d Environment Act 1987</w:t>
    </w:r>
  </w:p>
  <w:p w:rsidR="00236719" w:rsidRPr="00762323" w:rsidRDefault="00E14FAB" w:rsidP="00B115E0">
    <w:pPr>
      <w:pStyle w:val="OfficerFile"/>
      <w:tabs>
        <w:tab w:val="left" w:pos="2410"/>
      </w:tabs>
      <w:jc w:val="center"/>
      <w:rPr>
        <w:rFonts w:cs="Arial"/>
        <w:sz w:val="28"/>
        <w:szCs w:val="28"/>
      </w:rPr>
    </w:pPr>
    <w:r w:rsidRPr="00E14FAB">
      <w:rPr>
        <w:rFonts w:cs="Arial"/>
      </w:rPr>
      <w:pict>
        <v:shapetype id="_x0000_t202" coordsize="21600,21600" o:spt="202" path="m,l,21600r21600,l21600,xe">
          <v:stroke joinstyle="miter"/>
          <v:path gradientshapeok="t" o:connecttype="rect"/>
        </v:shapetype>
        <v:shape id="_x0000_s1025" type="#_x0000_t202" style="position:absolute;left:0;text-align:left;margin-left:310.2pt;margin-top:-121.2pt;width:180pt;height:23.15pt;z-index:251660288" fillcolor="#cfc">
          <v:textbox style="mso-next-textbox:#_x0000_s1025">
            <w:txbxContent>
              <w:p w:rsidR="00236719" w:rsidRDefault="00236719" w:rsidP="00B115E0">
                <w:pPr>
                  <w:rPr>
                    <w:rFonts w:cs="Arial"/>
                    <w:b/>
                    <w:smallCaps/>
                    <w:sz w:val="18"/>
                    <w:szCs w:val="18"/>
                  </w:rPr>
                </w:pPr>
                <w:r>
                  <w:rPr>
                    <w:rFonts w:cs="Arial"/>
                    <w:b/>
                    <w:smallCaps/>
                    <w:sz w:val="18"/>
                    <w:szCs w:val="18"/>
                  </w:rPr>
                  <w:t xml:space="preserve">B06 – Delegated Authority Report </w:t>
                </w:r>
              </w:p>
            </w:txbxContent>
          </v:textbox>
        </v:shape>
      </w:pict>
    </w:r>
    <w:r w:rsidR="00236719" w:rsidRPr="00762323">
      <w:rPr>
        <w:rFonts w:cs="Arial"/>
        <w:sz w:val="28"/>
        <w:szCs w:val="28"/>
      </w:rPr>
      <w:t xml:space="preserve">GREATER </w:t>
    </w:r>
    <w:smartTag w:uri="urn:schemas-microsoft-com:office:smarttags" w:element="place">
      <w:smartTag w:uri="urn:schemas-microsoft-com:office:smarttags" w:element="City">
        <w:r w:rsidR="00236719" w:rsidRPr="00762323">
          <w:rPr>
            <w:rFonts w:cs="Arial"/>
            <w:sz w:val="28"/>
            <w:szCs w:val="28"/>
          </w:rPr>
          <w:t>GEELONG</w:t>
        </w:r>
      </w:smartTag>
    </w:smartTag>
    <w:r w:rsidR="00236719" w:rsidRPr="00762323">
      <w:rPr>
        <w:rFonts w:cs="Arial"/>
        <w:sz w:val="28"/>
        <w:szCs w:val="28"/>
      </w:rPr>
      <w:t xml:space="preserve"> PLANNING SCHEME</w:t>
    </w:r>
  </w:p>
  <w:p w:rsidR="00236719" w:rsidRDefault="00236719" w:rsidP="00B115E0">
    <w:pPr>
      <w:pStyle w:val="OfficerFile"/>
      <w:tabs>
        <w:tab w:val="left" w:pos="2410"/>
      </w:tabs>
      <w:spacing w:before="60" w:after="60"/>
      <w:jc w:val="center"/>
      <w:rPr>
        <w:rFonts w:cs="Arial"/>
        <w:szCs w:val="24"/>
      </w:rPr>
    </w:pPr>
    <w:r>
      <w:rPr>
        <w:rFonts w:cs="Arial"/>
        <w:szCs w:val="24"/>
      </w:rPr>
      <w:t>DELEGATED AUTHORITY REPORT</w:t>
    </w:r>
  </w:p>
  <w:p w:rsidR="00236719" w:rsidRDefault="00236719" w:rsidP="00B115E0">
    <w:pPr>
      <w:pStyle w:val="OfficerFile"/>
      <w:tabs>
        <w:tab w:val="left" w:pos="2410"/>
      </w:tabs>
      <w:spacing w:before="60" w:after="60"/>
      <w:jc w:val="center"/>
      <w:rPr>
        <w:rFonts w:cs="Arial"/>
        <w:szCs w:val="24"/>
      </w:rPr>
    </w:pPr>
    <w:r>
      <w:rPr>
        <w:rFonts w:cs="Arial"/>
        <w:szCs w:val="24"/>
      </w:rPr>
      <w:t>AMENDMENT C</w:t>
    </w:r>
    <w:r w:rsidRPr="0090306D">
      <w:rPr>
        <w:rFonts w:cs="Arial"/>
        <w:szCs w:val="24"/>
      </w:rPr>
      <w:t>303</w:t>
    </w:r>
  </w:p>
  <w:p w:rsidR="00236719" w:rsidRPr="00E82E5E" w:rsidRDefault="00236719" w:rsidP="00B115E0">
    <w:pPr>
      <w:pBdr>
        <w:bottom w:val="single" w:sz="4" w:space="1" w:color="auto"/>
      </w:pBdr>
      <w:jc w:val="center"/>
      <w:rPr>
        <w:rFonts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902F8"/>
    <w:multiLevelType w:val="hybridMultilevel"/>
    <w:tmpl w:val="34309D7A"/>
    <w:lvl w:ilvl="0" w:tplc="0B309DAA">
      <w:start w:val="1"/>
      <w:numFmt w:val="bullet"/>
      <w:pStyle w:val="SummaryPoints"/>
      <w:lvlText w:val="•"/>
      <w:lvlJc w:val="left"/>
      <w:pPr>
        <w:ind w:left="1287" w:hanging="360"/>
      </w:pPr>
      <w:rPr>
        <w:rFonts w:ascii="Times" w:hAnsi="Times" w:cs="Times" w:hint="default"/>
      </w:rPr>
    </w:lvl>
    <w:lvl w:ilvl="1" w:tplc="1B86381C" w:tentative="1">
      <w:start w:val="1"/>
      <w:numFmt w:val="bullet"/>
      <w:lvlText w:val="o"/>
      <w:lvlJc w:val="left"/>
      <w:pPr>
        <w:ind w:left="2007" w:hanging="360"/>
      </w:pPr>
      <w:rPr>
        <w:rFonts w:ascii="Courier New" w:hAnsi="Courier New" w:cs="Courier New" w:hint="default"/>
      </w:rPr>
    </w:lvl>
    <w:lvl w:ilvl="2" w:tplc="1390EECE" w:tentative="1">
      <w:start w:val="1"/>
      <w:numFmt w:val="bullet"/>
      <w:lvlText w:val=""/>
      <w:lvlJc w:val="left"/>
      <w:pPr>
        <w:ind w:left="2727" w:hanging="360"/>
      </w:pPr>
      <w:rPr>
        <w:rFonts w:ascii="Wingdings" w:hAnsi="Wingdings" w:hint="default"/>
      </w:rPr>
    </w:lvl>
    <w:lvl w:ilvl="3" w:tplc="1C5EA5E6" w:tentative="1">
      <w:start w:val="1"/>
      <w:numFmt w:val="bullet"/>
      <w:lvlText w:val=""/>
      <w:lvlJc w:val="left"/>
      <w:pPr>
        <w:ind w:left="3447" w:hanging="360"/>
      </w:pPr>
      <w:rPr>
        <w:rFonts w:ascii="Symbol" w:hAnsi="Symbol" w:hint="default"/>
      </w:rPr>
    </w:lvl>
    <w:lvl w:ilvl="4" w:tplc="0C9E846E" w:tentative="1">
      <w:start w:val="1"/>
      <w:numFmt w:val="bullet"/>
      <w:lvlText w:val="o"/>
      <w:lvlJc w:val="left"/>
      <w:pPr>
        <w:ind w:left="4167" w:hanging="360"/>
      </w:pPr>
      <w:rPr>
        <w:rFonts w:ascii="Courier New" w:hAnsi="Courier New" w:cs="Courier New" w:hint="default"/>
      </w:rPr>
    </w:lvl>
    <w:lvl w:ilvl="5" w:tplc="F6D87FA4" w:tentative="1">
      <w:start w:val="1"/>
      <w:numFmt w:val="bullet"/>
      <w:lvlText w:val=""/>
      <w:lvlJc w:val="left"/>
      <w:pPr>
        <w:ind w:left="4887" w:hanging="360"/>
      </w:pPr>
      <w:rPr>
        <w:rFonts w:ascii="Wingdings" w:hAnsi="Wingdings" w:hint="default"/>
      </w:rPr>
    </w:lvl>
    <w:lvl w:ilvl="6" w:tplc="27F89CFC" w:tentative="1">
      <w:start w:val="1"/>
      <w:numFmt w:val="bullet"/>
      <w:lvlText w:val=""/>
      <w:lvlJc w:val="left"/>
      <w:pPr>
        <w:ind w:left="5607" w:hanging="360"/>
      </w:pPr>
      <w:rPr>
        <w:rFonts w:ascii="Symbol" w:hAnsi="Symbol" w:hint="default"/>
      </w:rPr>
    </w:lvl>
    <w:lvl w:ilvl="7" w:tplc="0FD6E1CA" w:tentative="1">
      <w:start w:val="1"/>
      <w:numFmt w:val="bullet"/>
      <w:lvlText w:val="o"/>
      <w:lvlJc w:val="left"/>
      <w:pPr>
        <w:ind w:left="6327" w:hanging="360"/>
      </w:pPr>
      <w:rPr>
        <w:rFonts w:ascii="Courier New" w:hAnsi="Courier New" w:cs="Courier New" w:hint="default"/>
      </w:rPr>
    </w:lvl>
    <w:lvl w:ilvl="8" w:tplc="AC3280AC" w:tentative="1">
      <w:start w:val="1"/>
      <w:numFmt w:val="bullet"/>
      <w:lvlText w:val=""/>
      <w:lvlJc w:val="left"/>
      <w:pPr>
        <w:ind w:left="7047" w:hanging="360"/>
      </w:pPr>
      <w:rPr>
        <w:rFonts w:ascii="Wingdings" w:hAnsi="Wingdings" w:hint="default"/>
      </w:rPr>
    </w:lvl>
  </w:abstractNum>
  <w:abstractNum w:abstractNumId="1">
    <w:nsid w:val="3E9B7CBA"/>
    <w:multiLevelType w:val="hybridMultilevel"/>
    <w:tmpl w:val="23FCC2A2"/>
    <w:lvl w:ilvl="0" w:tplc="51A211CC">
      <w:start w:val="1"/>
      <w:numFmt w:val="lowerLetter"/>
      <w:lvlText w:val="%1)"/>
      <w:lvlJc w:val="left"/>
      <w:pPr>
        <w:ind w:left="1353" w:hanging="360"/>
      </w:pPr>
      <w:rPr>
        <w:rFonts w:cs="Times New Roman" w:hint="default"/>
      </w:rPr>
    </w:lvl>
    <w:lvl w:ilvl="1" w:tplc="0C090019" w:tentative="1">
      <w:start w:val="1"/>
      <w:numFmt w:val="lowerLetter"/>
      <w:lvlText w:val="%2."/>
      <w:lvlJc w:val="left"/>
      <w:pPr>
        <w:ind w:left="2073" w:hanging="360"/>
      </w:pPr>
      <w:rPr>
        <w:rFonts w:cs="Times New Roman"/>
      </w:rPr>
    </w:lvl>
    <w:lvl w:ilvl="2" w:tplc="0C09001B" w:tentative="1">
      <w:start w:val="1"/>
      <w:numFmt w:val="lowerRoman"/>
      <w:lvlText w:val="%3."/>
      <w:lvlJc w:val="right"/>
      <w:pPr>
        <w:ind w:left="2793" w:hanging="180"/>
      </w:pPr>
      <w:rPr>
        <w:rFonts w:cs="Times New Roman"/>
      </w:rPr>
    </w:lvl>
    <w:lvl w:ilvl="3" w:tplc="0C09000F" w:tentative="1">
      <w:start w:val="1"/>
      <w:numFmt w:val="decimal"/>
      <w:lvlText w:val="%4."/>
      <w:lvlJc w:val="left"/>
      <w:pPr>
        <w:ind w:left="3513" w:hanging="360"/>
      </w:pPr>
      <w:rPr>
        <w:rFonts w:cs="Times New Roman"/>
      </w:rPr>
    </w:lvl>
    <w:lvl w:ilvl="4" w:tplc="0C090019" w:tentative="1">
      <w:start w:val="1"/>
      <w:numFmt w:val="lowerLetter"/>
      <w:lvlText w:val="%5."/>
      <w:lvlJc w:val="left"/>
      <w:pPr>
        <w:ind w:left="4233" w:hanging="360"/>
      </w:pPr>
      <w:rPr>
        <w:rFonts w:cs="Times New Roman"/>
      </w:rPr>
    </w:lvl>
    <w:lvl w:ilvl="5" w:tplc="0C09001B" w:tentative="1">
      <w:start w:val="1"/>
      <w:numFmt w:val="lowerRoman"/>
      <w:lvlText w:val="%6."/>
      <w:lvlJc w:val="right"/>
      <w:pPr>
        <w:ind w:left="4953" w:hanging="180"/>
      </w:pPr>
      <w:rPr>
        <w:rFonts w:cs="Times New Roman"/>
      </w:rPr>
    </w:lvl>
    <w:lvl w:ilvl="6" w:tplc="0C09000F" w:tentative="1">
      <w:start w:val="1"/>
      <w:numFmt w:val="decimal"/>
      <w:lvlText w:val="%7."/>
      <w:lvlJc w:val="left"/>
      <w:pPr>
        <w:ind w:left="5673" w:hanging="360"/>
      </w:pPr>
      <w:rPr>
        <w:rFonts w:cs="Times New Roman"/>
      </w:rPr>
    </w:lvl>
    <w:lvl w:ilvl="7" w:tplc="0C090019" w:tentative="1">
      <w:start w:val="1"/>
      <w:numFmt w:val="lowerLetter"/>
      <w:lvlText w:val="%8."/>
      <w:lvlJc w:val="left"/>
      <w:pPr>
        <w:ind w:left="6393" w:hanging="360"/>
      </w:pPr>
      <w:rPr>
        <w:rFonts w:cs="Times New Roman"/>
      </w:rPr>
    </w:lvl>
    <w:lvl w:ilvl="8" w:tplc="0C09001B" w:tentative="1">
      <w:start w:val="1"/>
      <w:numFmt w:val="lowerRoman"/>
      <w:lvlText w:val="%9."/>
      <w:lvlJc w:val="right"/>
      <w:pPr>
        <w:ind w:left="7113" w:hanging="180"/>
      </w:pPr>
      <w:rPr>
        <w:rFonts w:cs="Times New Roman"/>
      </w:rPr>
    </w:lvl>
  </w:abstractNum>
  <w:abstractNum w:abstractNumId="2">
    <w:nsid w:val="7D4D3A6D"/>
    <w:multiLevelType w:val="singleLevel"/>
    <w:tmpl w:val="32E84938"/>
    <w:lvl w:ilvl="0">
      <w:start w:val="1"/>
      <w:numFmt w:val="decimal"/>
      <w:pStyle w:val="NumIndentBold"/>
      <w:lvlText w:val="%1)"/>
      <w:lvlJc w:val="left"/>
      <w:pPr>
        <w:tabs>
          <w:tab w:val="num" w:pos="360"/>
        </w:tabs>
        <w:ind w:left="36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8E3D55"/>
    <w:rsid w:val="00086841"/>
    <w:rsid w:val="00087278"/>
    <w:rsid w:val="001C14C1"/>
    <w:rsid w:val="00236719"/>
    <w:rsid w:val="002D4B07"/>
    <w:rsid w:val="00376C52"/>
    <w:rsid w:val="003F1FC3"/>
    <w:rsid w:val="00551838"/>
    <w:rsid w:val="0058190A"/>
    <w:rsid w:val="00593460"/>
    <w:rsid w:val="006236A2"/>
    <w:rsid w:val="0064599A"/>
    <w:rsid w:val="006E08A0"/>
    <w:rsid w:val="0074424D"/>
    <w:rsid w:val="007612F6"/>
    <w:rsid w:val="007F357C"/>
    <w:rsid w:val="0080179B"/>
    <w:rsid w:val="008E3D55"/>
    <w:rsid w:val="009E55F2"/>
    <w:rsid w:val="00B115E0"/>
    <w:rsid w:val="00C13383"/>
    <w:rsid w:val="00C2484B"/>
    <w:rsid w:val="00D54278"/>
    <w:rsid w:val="00E14FAB"/>
    <w:rsid w:val="00EB6B20"/>
    <w:rsid w:val="00EC2E52"/>
    <w:rsid w:val="00F97009"/>
    <w:rsid w:val="00FF5D1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D55"/>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qFormat/>
    <w:rsid w:val="008E3D55"/>
    <w:pPr>
      <w:keepNext/>
      <w:jc w:val="center"/>
      <w:outlineLvl w:val="0"/>
    </w:pPr>
    <w:rPr>
      <w:b/>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3D55"/>
    <w:rPr>
      <w:rFonts w:ascii="Arial" w:eastAsia="Times New Roman" w:hAnsi="Arial" w:cs="Times New Roman"/>
      <w:b/>
      <w:smallCaps/>
      <w:sz w:val="24"/>
      <w:szCs w:val="20"/>
    </w:rPr>
  </w:style>
  <w:style w:type="paragraph" w:customStyle="1" w:styleId="OfficerFile">
    <w:name w:val="Officer_File"/>
    <w:basedOn w:val="Normal"/>
    <w:rsid w:val="008E3D55"/>
    <w:pPr>
      <w:tabs>
        <w:tab w:val="left" w:pos="3119"/>
      </w:tabs>
      <w:ind w:left="567"/>
    </w:pPr>
    <w:rPr>
      <w:b/>
      <w:color w:val="000000"/>
      <w:sz w:val="24"/>
      <w:lang w:val="en-GB"/>
    </w:rPr>
  </w:style>
  <w:style w:type="paragraph" w:customStyle="1" w:styleId="RecommBody">
    <w:name w:val="Recomm_Body"/>
    <w:basedOn w:val="Normal"/>
    <w:next w:val="Normal"/>
    <w:rsid w:val="008E3D55"/>
    <w:pPr>
      <w:spacing w:after="160"/>
      <w:ind w:left="567"/>
      <w:jc w:val="both"/>
    </w:pPr>
    <w:rPr>
      <w:b/>
      <w:color w:val="000000"/>
      <w:sz w:val="24"/>
      <w:lang w:val="en-GB"/>
    </w:rPr>
  </w:style>
  <w:style w:type="paragraph" w:customStyle="1" w:styleId="SubHeading1">
    <w:name w:val="Sub_Heading1"/>
    <w:basedOn w:val="Normal"/>
    <w:next w:val="Normal"/>
    <w:rsid w:val="008E3D55"/>
    <w:pPr>
      <w:spacing w:before="320" w:after="160"/>
      <w:ind w:left="567"/>
    </w:pPr>
    <w:rPr>
      <w:b/>
      <w:color w:val="000000"/>
      <w:sz w:val="24"/>
      <w:lang w:val="en-GB"/>
    </w:rPr>
  </w:style>
  <w:style w:type="paragraph" w:customStyle="1" w:styleId="SubHeading2">
    <w:name w:val="Sub_Heading2"/>
    <w:basedOn w:val="SubHeading1"/>
    <w:next w:val="Normal"/>
    <w:rsid w:val="008E3D55"/>
    <w:rPr>
      <w:i/>
      <w:sz w:val="20"/>
    </w:rPr>
  </w:style>
  <w:style w:type="paragraph" w:styleId="Footer">
    <w:name w:val="footer"/>
    <w:basedOn w:val="Normal"/>
    <w:link w:val="FooterChar"/>
    <w:rsid w:val="008E3D55"/>
    <w:pPr>
      <w:tabs>
        <w:tab w:val="center" w:pos="4153"/>
        <w:tab w:val="right" w:pos="8306"/>
      </w:tabs>
    </w:pPr>
  </w:style>
  <w:style w:type="character" w:customStyle="1" w:styleId="FooterChar">
    <w:name w:val="Footer Char"/>
    <w:basedOn w:val="DefaultParagraphFont"/>
    <w:link w:val="Footer"/>
    <w:rsid w:val="008E3D55"/>
    <w:rPr>
      <w:rFonts w:ascii="Arial" w:eastAsia="Times New Roman" w:hAnsi="Arial" w:cs="Times New Roman"/>
      <w:sz w:val="20"/>
      <w:szCs w:val="20"/>
    </w:rPr>
  </w:style>
  <w:style w:type="character" w:styleId="PageNumber">
    <w:name w:val="page number"/>
    <w:basedOn w:val="DefaultParagraphFont"/>
    <w:rsid w:val="008E3D55"/>
  </w:style>
  <w:style w:type="paragraph" w:styleId="Title">
    <w:name w:val="Title"/>
    <w:basedOn w:val="Normal"/>
    <w:link w:val="TitleChar"/>
    <w:qFormat/>
    <w:rsid w:val="008E3D55"/>
    <w:pPr>
      <w:pBdr>
        <w:top w:val="single" w:sz="4" w:space="1" w:color="auto"/>
        <w:left w:val="single" w:sz="4" w:space="4" w:color="auto"/>
        <w:bottom w:val="single" w:sz="4" w:space="1" w:color="auto"/>
        <w:right w:val="single" w:sz="4" w:space="4" w:color="auto"/>
      </w:pBdr>
      <w:jc w:val="center"/>
    </w:pPr>
    <w:rPr>
      <w:rFonts w:ascii="Korinthia" w:hAnsi="Korinthia"/>
      <w:b/>
      <w:sz w:val="24"/>
      <w:lang w:val="en-US"/>
    </w:rPr>
  </w:style>
  <w:style w:type="character" w:customStyle="1" w:styleId="TitleChar">
    <w:name w:val="Title Char"/>
    <w:basedOn w:val="DefaultParagraphFont"/>
    <w:link w:val="Title"/>
    <w:rsid w:val="008E3D55"/>
    <w:rPr>
      <w:rFonts w:ascii="Korinthia" w:eastAsia="Times New Roman" w:hAnsi="Korinthia" w:cs="Times New Roman"/>
      <w:b/>
      <w:sz w:val="24"/>
      <w:szCs w:val="20"/>
      <w:lang w:val="en-US"/>
    </w:rPr>
  </w:style>
  <w:style w:type="paragraph" w:customStyle="1" w:styleId="NormInd">
    <w:name w:val="Norm_Ind"/>
    <w:basedOn w:val="Normal"/>
    <w:link w:val="NormIndChar"/>
    <w:rsid w:val="008E3D55"/>
    <w:pPr>
      <w:spacing w:after="160"/>
      <w:ind w:left="567"/>
      <w:jc w:val="both"/>
    </w:pPr>
    <w:rPr>
      <w:color w:val="000000"/>
      <w:sz w:val="22"/>
      <w:lang w:val="en-GB"/>
    </w:rPr>
  </w:style>
  <w:style w:type="paragraph" w:customStyle="1" w:styleId="NumIndentBold">
    <w:name w:val="Num_Indent_Bold"/>
    <w:basedOn w:val="Normal"/>
    <w:rsid w:val="008E3D55"/>
    <w:pPr>
      <w:numPr>
        <w:numId w:val="1"/>
      </w:numPr>
      <w:tabs>
        <w:tab w:val="clear" w:pos="360"/>
        <w:tab w:val="num" w:pos="993"/>
      </w:tabs>
      <w:spacing w:after="160"/>
      <w:ind w:left="993" w:hanging="426"/>
      <w:jc w:val="both"/>
    </w:pPr>
    <w:rPr>
      <w:b/>
      <w:color w:val="000000"/>
      <w:sz w:val="22"/>
    </w:rPr>
  </w:style>
  <w:style w:type="paragraph" w:customStyle="1" w:styleId="SummaryPoints">
    <w:name w:val="Summary Points"/>
    <w:basedOn w:val="NormInd"/>
    <w:link w:val="SummaryPointsChar"/>
    <w:qFormat/>
    <w:rsid w:val="008E3D55"/>
    <w:pPr>
      <w:numPr>
        <w:numId w:val="2"/>
      </w:numPr>
      <w:ind w:left="992" w:hanging="425"/>
    </w:pPr>
  </w:style>
  <w:style w:type="character" w:customStyle="1" w:styleId="NormIndChar">
    <w:name w:val="Norm_Ind Char"/>
    <w:basedOn w:val="DefaultParagraphFont"/>
    <w:link w:val="NormInd"/>
    <w:rsid w:val="008E3D55"/>
    <w:rPr>
      <w:rFonts w:ascii="Arial" w:eastAsia="Times New Roman" w:hAnsi="Arial" w:cs="Times New Roman"/>
      <w:color w:val="000000"/>
      <w:szCs w:val="20"/>
      <w:lang w:val="en-GB"/>
    </w:rPr>
  </w:style>
  <w:style w:type="character" w:customStyle="1" w:styleId="SummaryPointsChar">
    <w:name w:val="Summary Points Char"/>
    <w:basedOn w:val="NormIndChar"/>
    <w:link w:val="SummaryPoints"/>
    <w:rsid w:val="008E3D55"/>
  </w:style>
  <w:style w:type="character" w:styleId="PlaceholderText">
    <w:name w:val="Placeholder Text"/>
    <w:basedOn w:val="DefaultParagraphFont"/>
    <w:uiPriority w:val="99"/>
    <w:semiHidden/>
    <w:rsid w:val="008E3D55"/>
    <w:rPr>
      <w:color w:val="808080"/>
    </w:rPr>
  </w:style>
  <w:style w:type="paragraph" w:styleId="Header">
    <w:name w:val="header"/>
    <w:basedOn w:val="Normal"/>
    <w:link w:val="HeaderChar"/>
    <w:uiPriority w:val="99"/>
    <w:semiHidden/>
    <w:unhideWhenUsed/>
    <w:rsid w:val="00EC2E52"/>
    <w:pPr>
      <w:tabs>
        <w:tab w:val="center" w:pos="4513"/>
        <w:tab w:val="right" w:pos="9026"/>
      </w:tabs>
    </w:pPr>
  </w:style>
  <w:style w:type="character" w:customStyle="1" w:styleId="HeaderChar">
    <w:name w:val="Header Char"/>
    <w:basedOn w:val="DefaultParagraphFont"/>
    <w:link w:val="Header"/>
    <w:uiPriority w:val="99"/>
    <w:semiHidden/>
    <w:rsid w:val="00EC2E52"/>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551838"/>
    <w:rPr>
      <w:rFonts w:ascii="Tahoma" w:hAnsi="Tahoma" w:cs="Tahoma"/>
      <w:sz w:val="16"/>
      <w:szCs w:val="16"/>
    </w:rPr>
  </w:style>
  <w:style w:type="character" w:customStyle="1" w:styleId="BalloonTextChar">
    <w:name w:val="Balloon Text Char"/>
    <w:basedOn w:val="DefaultParagraphFont"/>
    <w:link w:val="BalloonText"/>
    <w:uiPriority w:val="99"/>
    <w:semiHidden/>
    <w:rsid w:val="005518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719</TotalTime>
  <Pages>4</Pages>
  <Words>701</Words>
  <Characters>3999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The City of Greater Geelong</Company>
  <LinksUpToDate>false</LinksUpToDate>
  <CharactersWithSpaces>4691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Gough</dc:creator>
  <cp:lastModifiedBy>Barry Gough</cp:lastModifiedBy>
  <cp:revision>8</cp:revision>
  <cp:lastPrinted>2014-04-08T01:44:00Z</cp:lastPrinted>
  <dcterms:created xsi:type="dcterms:W3CDTF">2014-02-10T23:58:00Z</dcterms:created>
  <dcterms:modified xsi:type="dcterms:W3CDTF">2014-04-08T01:45:00Z</dcterms:modified>
</cp:coreProperties>
</file>