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157" w:rsidRPr="00960D2A" w:rsidRDefault="00DB5157" w:rsidP="00DB5157">
      <w:bookmarkStart w:id="0" w:name="_GoBack"/>
      <w:bookmarkEnd w:id="0"/>
      <w:r w:rsidRPr="00960D2A">
        <w:rPr>
          <w:b/>
        </w:rPr>
        <w:t>THIS AGREEMENT</w:t>
      </w:r>
      <w:r w:rsidRPr="00960D2A">
        <w:t xml:space="preserve"> is made the</w:t>
      </w:r>
      <w:r w:rsidRPr="00960D2A">
        <w:tab/>
      </w:r>
      <w:r w:rsidRPr="00960D2A">
        <w:tab/>
        <w:t>day of</w:t>
      </w:r>
      <w:r w:rsidRPr="00960D2A">
        <w:tab/>
      </w:r>
      <w:r w:rsidRPr="00960D2A">
        <w:tab/>
      </w:r>
      <w:r w:rsidRPr="00960D2A">
        <w:tab/>
        <w:t>20</w:t>
      </w:r>
      <w:r>
        <w:t>1</w:t>
      </w:r>
      <w:r w:rsidR="00605897">
        <w:t>4</w:t>
      </w:r>
    </w:p>
    <w:p w:rsidR="00DB5157" w:rsidRPr="00960D2A" w:rsidRDefault="00DB5157" w:rsidP="00DB5157"/>
    <w:p w:rsidR="00DB5157" w:rsidRPr="00960D2A" w:rsidRDefault="00DB5157" w:rsidP="00DB5157"/>
    <w:p w:rsidR="00DB5157" w:rsidRPr="00960D2A" w:rsidRDefault="00DB5157" w:rsidP="00DB5157">
      <w:pPr>
        <w:rPr>
          <w:b/>
        </w:rPr>
      </w:pPr>
      <w:r w:rsidRPr="00960D2A">
        <w:rPr>
          <w:b/>
        </w:rPr>
        <w:t>BETWEEN</w:t>
      </w:r>
    </w:p>
    <w:p w:rsidR="00DB5157" w:rsidRDefault="00DB5157" w:rsidP="00DB5157">
      <w:pPr>
        <w:pStyle w:val="Parties"/>
      </w:pPr>
      <w:r w:rsidRPr="00960D2A">
        <w:rPr>
          <w:b/>
        </w:rPr>
        <w:t>GREATER GEELONG CITY COUNCIL</w:t>
      </w:r>
      <w:r w:rsidRPr="00960D2A">
        <w:t xml:space="preserve"> of 30 </w:t>
      </w:r>
      <w:proofErr w:type="spellStart"/>
      <w:r w:rsidRPr="00960D2A">
        <w:t>Gheringhap</w:t>
      </w:r>
      <w:proofErr w:type="spellEnd"/>
      <w:r w:rsidRPr="00960D2A">
        <w:t xml:space="preserve"> Street, Geelong in the State of Victoria (</w:t>
      </w:r>
      <w:r w:rsidRPr="00960D2A">
        <w:rPr>
          <w:b/>
        </w:rPr>
        <w:t>Responsible Authority</w:t>
      </w:r>
      <w:r w:rsidRPr="00960D2A">
        <w:t>)</w:t>
      </w:r>
      <w:r w:rsidR="001E299B">
        <w:t>;</w:t>
      </w:r>
      <w:r w:rsidRPr="00960D2A">
        <w:t xml:space="preserve"> and</w:t>
      </w:r>
    </w:p>
    <w:p w:rsidR="00DB5157" w:rsidRDefault="00D21036" w:rsidP="00D21036">
      <w:pPr>
        <w:pStyle w:val="Parties"/>
      </w:pPr>
      <w:r w:rsidRPr="00D21036">
        <w:rPr>
          <w:b/>
        </w:rPr>
        <w:t>Echin Pty Ltd</w:t>
      </w:r>
      <w:r>
        <w:t>.</w:t>
      </w:r>
      <w:r w:rsidRPr="00D21036">
        <w:t xml:space="preserve"> of 5</w:t>
      </w:r>
      <w:r w:rsidRPr="00D21036">
        <w:rPr>
          <w:vertAlign w:val="superscript"/>
        </w:rPr>
        <w:t>th</w:t>
      </w:r>
      <w:r w:rsidRPr="00D21036">
        <w:t xml:space="preserve"> Floor Chancery House St Georges T</w:t>
      </w:r>
      <w:r w:rsidR="009751B9">
        <w:t>erra</w:t>
      </w:r>
      <w:r w:rsidRPr="00D21036">
        <w:t>ce</w:t>
      </w:r>
      <w:r w:rsidR="009751B9">
        <w:t>,</w:t>
      </w:r>
      <w:r w:rsidRPr="00D21036">
        <w:t xml:space="preserve"> Perth </w:t>
      </w:r>
      <w:r w:rsidR="009751B9">
        <w:t xml:space="preserve">in the State of </w:t>
      </w:r>
      <w:r w:rsidRPr="00D21036">
        <w:t>Western Australia (</w:t>
      </w:r>
      <w:r w:rsidRPr="00D21036">
        <w:rPr>
          <w:b/>
        </w:rPr>
        <w:t>Owner</w:t>
      </w:r>
      <w:r w:rsidR="00322084">
        <w:rPr>
          <w:b/>
        </w:rPr>
        <w:t xml:space="preserve"> 1</w:t>
      </w:r>
      <w:r w:rsidRPr="00D21036">
        <w:t>)</w:t>
      </w:r>
      <w:r w:rsidR="00E0798E">
        <w:t>; and</w:t>
      </w:r>
    </w:p>
    <w:p w:rsidR="00270558" w:rsidRDefault="00322084" w:rsidP="009751B9">
      <w:pPr>
        <w:pStyle w:val="Parties"/>
      </w:pPr>
      <w:r w:rsidRPr="00322084">
        <w:rPr>
          <w:b/>
        </w:rPr>
        <w:t xml:space="preserve">Dean John Farmer and Nigel John Patrick Kingston </w:t>
      </w:r>
      <w:r w:rsidRPr="006B5EAD">
        <w:t>both of 27 Florence Street</w:t>
      </w:r>
      <w:r w:rsidR="009751B9">
        <w:t>,</w:t>
      </w:r>
      <w:r w:rsidRPr="006B5EAD">
        <w:t xml:space="preserve"> </w:t>
      </w:r>
      <w:proofErr w:type="spellStart"/>
      <w:r w:rsidRPr="006B5EAD">
        <w:t>Cottesloe</w:t>
      </w:r>
      <w:proofErr w:type="spellEnd"/>
      <w:r w:rsidRPr="006B5EAD">
        <w:t xml:space="preserve"> </w:t>
      </w:r>
      <w:r w:rsidR="009751B9">
        <w:t>in the State of Western Australia</w:t>
      </w:r>
      <w:r w:rsidRPr="006B5EAD">
        <w:t xml:space="preserve"> (</w:t>
      </w:r>
      <w:r w:rsidRPr="00322084">
        <w:rPr>
          <w:b/>
        </w:rPr>
        <w:t>Owner</w:t>
      </w:r>
      <w:r w:rsidR="00B4591D">
        <w:rPr>
          <w:b/>
        </w:rPr>
        <w:t xml:space="preserve"> 2</w:t>
      </w:r>
      <w:r w:rsidRPr="006B5EAD">
        <w:t>)</w:t>
      </w:r>
      <w:r>
        <w:t xml:space="preserve"> </w:t>
      </w:r>
    </w:p>
    <w:p w:rsidR="00270558" w:rsidRDefault="00270558" w:rsidP="009751B9">
      <w:pPr>
        <w:pStyle w:val="Parties"/>
        <w:numPr>
          <w:ilvl w:val="0"/>
          <w:numId w:val="0"/>
        </w:numPr>
        <w:ind w:left="720"/>
      </w:pPr>
    </w:p>
    <w:p w:rsidR="00DB5157" w:rsidRPr="00960D2A" w:rsidRDefault="00DB5157" w:rsidP="00DB5157"/>
    <w:p w:rsidR="00DB5157" w:rsidRPr="00960D2A" w:rsidRDefault="00DB5157" w:rsidP="00DB5157">
      <w:pPr>
        <w:rPr>
          <w:b/>
          <w:u w:val="single"/>
        </w:rPr>
      </w:pPr>
      <w:r w:rsidRPr="00960D2A">
        <w:rPr>
          <w:b/>
          <w:u w:val="single"/>
        </w:rPr>
        <w:t>RECITALS:</w:t>
      </w:r>
    </w:p>
    <w:p w:rsidR="00DB5157" w:rsidRDefault="00DB5157" w:rsidP="00DB5157">
      <w:pPr>
        <w:pStyle w:val="Recitals"/>
        <w:ind w:hanging="734"/>
      </w:pPr>
      <w:r w:rsidRPr="00A82940">
        <w:t>Owner</w:t>
      </w:r>
      <w:r w:rsidR="00B4591D">
        <w:t xml:space="preserve"> 1</w:t>
      </w:r>
      <w:r w:rsidRPr="00A82940">
        <w:t xml:space="preserve"> is the registered proprietor of the land known as </w:t>
      </w:r>
      <w:r w:rsidR="00D21036">
        <w:t>151-229 Anglesea Road, Waurn Ponds,</w:t>
      </w:r>
      <w:r>
        <w:t xml:space="preserve"> </w:t>
      </w:r>
      <w:r w:rsidRPr="00A82940">
        <w:t>being th</w:t>
      </w:r>
      <w:r>
        <w:t>e land described in Certificate</w:t>
      </w:r>
      <w:r w:rsidR="000756DF">
        <w:t>s</w:t>
      </w:r>
      <w:r w:rsidRPr="00A82940">
        <w:t xml:space="preserve"> of Title Volume </w:t>
      </w:r>
      <w:r w:rsidR="000756DF">
        <w:t>11269</w:t>
      </w:r>
      <w:r w:rsidRPr="00A82940">
        <w:t xml:space="preserve"> Folio</w:t>
      </w:r>
      <w:r w:rsidR="008B10F8">
        <w:t>s</w:t>
      </w:r>
      <w:r w:rsidRPr="00A82940">
        <w:t xml:space="preserve"> </w:t>
      </w:r>
      <w:r w:rsidR="008B10F8">
        <w:t>107, 108,</w:t>
      </w:r>
      <w:r w:rsidR="000756DF">
        <w:t xml:space="preserve"> 109 </w:t>
      </w:r>
      <w:r w:rsidRPr="00A82940">
        <w:t>(</w:t>
      </w:r>
      <w:r w:rsidR="00270558" w:rsidRPr="009751B9">
        <w:rPr>
          <w:b/>
        </w:rPr>
        <w:t>Anglesea Road</w:t>
      </w:r>
      <w:r w:rsidR="00207D01">
        <w:t xml:space="preserve"> </w:t>
      </w:r>
      <w:r w:rsidRPr="00D21036">
        <w:rPr>
          <w:b/>
        </w:rPr>
        <w:t>Land</w:t>
      </w:r>
      <w:r w:rsidRPr="00A82940">
        <w:t>).</w:t>
      </w:r>
    </w:p>
    <w:p w:rsidR="00322084" w:rsidRPr="00322084" w:rsidRDefault="00322084" w:rsidP="009751B9">
      <w:pPr>
        <w:pStyle w:val="Recitals"/>
        <w:ind w:hanging="720"/>
      </w:pPr>
      <w:r w:rsidRPr="00322084">
        <w:t>Owner</w:t>
      </w:r>
      <w:r w:rsidR="00B4591D">
        <w:t xml:space="preserve"> 2</w:t>
      </w:r>
      <w:r w:rsidRPr="00322084">
        <w:t xml:space="preserve"> is the registered proprietor of the land known as 35 Hams Road, Waurn Ponds, being the land described in Certificate of Title Volume 10316 Folio 630 (</w:t>
      </w:r>
      <w:r w:rsidR="00270558" w:rsidRPr="009751B9">
        <w:rPr>
          <w:b/>
        </w:rPr>
        <w:t>Hams Road</w:t>
      </w:r>
      <w:r w:rsidR="00207D01">
        <w:t xml:space="preserve"> </w:t>
      </w:r>
      <w:r w:rsidR="00270558" w:rsidRPr="009751B9">
        <w:rPr>
          <w:b/>
        </w:rPr>
        <w:t>Land</w:t>
      </w:r>
      <w:r w:rsidRPr="00322084">
        <w:t>).</w:t>
      </w:r>
    </w:p>
    <w:p w:rsidR="00322084" w:rsidRDefault="00B4591D" w:rsidP="00DB5157">
      <w:pPr>
        <w:pStyle w:val="Recitals"/>
        <w:ind w:hanging="734"/>
      </w:pPr>
      <w:r>
        <w:t>Together Owner 1 and Owner 2 are referred to in this Agreement as the Owner</w:t>
      </w:r>
      <w:r w:rsidR="00207D01">
        <w:t>.</w:t>
      </w:r>
    </w:p>
    <w:p w:rsidR="00207D01" w:rsidRPr="00A82940" w:rsidRDefault="00207D01" w:rsidP="00DB5157">
      <w:pPr>
        <w:pStyle w:val="Recitals"/>
        <w:ind w:hanging="734"/>
      </w:pPr>
      <w:r>
        <w:t xml:space="preserve">Together the Anglesea Road Land and the Hams Road Land are referred to in this Agreement as the Land.  </w:t>
      </w:r>
    </w:p>
    <w:p w:rsidR="00DB5157" w:rsidRDefault="00DB5157" w:rsidP="00DB5157">
      <w:pPr>
        <w:pStyle w:val="Recitals"/>
        <w:ind w:hanging="734"/>
      </w:pPr>
      <w:r w:rsidRPr="00960D2A">
        <w:t>The Responsible Authority is responsible for the administration and enforcement of the Planning Scheme pursuant to the provisions of the Act.</w:t>
      </w:r>
    </w:p>
    <w:p w:rsidR="001E299B" w:rsidRDefault="00207D01" w:rsidP="001E299B">
      <w:pPr>
        <w:pStyle w:val="Recitals"/>
        <w:ind w:hanging="734"/>
      </w:pPr>
      <w:r>
        <w:t>The Owner requested that the Land be rezoned and o</w:t>
      </w:r>
      <w:r w:rsidR="00DB5157" w:rsidRPr="00960D2A">
        <w:t xml:space="preserve">n </w:t>
      </w:r>
      <w:r>
        <w:t xml:space="preserve">[INSERT DATE] </w:t>
      </w:r>
      <w:r w:rsidR="00DB5157">
        <w:t>2014</w:t>
      </w:r>
      <w:r w:rsidR="00DB5157" w:rsidRPr="00960D2A">
        <w:t>, the Responsible Au</w:t>
      </w:r>
      <w:r w:rsidR="00DB5157">
        <w:t>thority exhibited Amendment C276</w:t>
      </w:r>
      <w:r w:rsidR="00DB5157" w:rsidRPr="00960D2A">
        <w:t xml:space="preserve"> to the Greater Geelong Planning Scheme (</w:t>
      </w:r>
      <w:r w:rsidR="00DB5157" w:rsidRPr="00960D2A">
        <w:rPr>
          <w:b/>
        </w:rPr>
        <w:t>Amendment</w:t>
      </w:r>
      <w:r w:rsidR="00DB5157" w:rsidRPr="00960D2A">
        <w:t>).  The Amendment proposes to:</w:t>
      </w:r>
      <w:r w:rsidR="008C46C9" w:rsidRPr="008C46C9">
        <w:t xml:space="preserve"> </w:t>
      </w:r>
    </w:p>
    <w:p w:rsidR="001E299B" w:rsidRPr="001E299B" w:rsidRDefault="001E299B" w:rsidP="001E299B">
      <w:pPr>
        <w:pStyle w:val="Recitals"/>
        <w:numPr>
          <w:ilvl w:val="2"/>
          <w:numId w:val="3"/>
        </w:numPr>
        <w:rPr>
          <w:lang w:val="en-GB"/>
        </w:rPr>
      </w:pPr>
      <w:r w:rsidRPr="001E299B">
        <w:rPr>
          <w:lang w:val="en-GB"/>
        </w:rPr>
        <w:t>Rezone the Hams Road</w:t>
      </w:r>
      <w:r w:rsidR="001D2649">
        <w:rPr>
          <w:lang w:val="en-GB"/>
        </w:rPr>
        <w:t xml:space="preserve"> Land</w:t>
      </w:r>
      <w:r w:rsidRPr="001E299B">
        <w:rPr>
          <w:lang w:val="en-GB"/>
        </w:rPr>
        <w:t xml:space="preserve"> and </w:t>
      </w:r>
      <w:r w:rsidR="001D2649">
        <w:rPr>
          <w:lang w:val="en-GB"/>
        </w:rPr>
        <w:t>the</w:t>
      </w:r>
      <w:r w:rsidRPr="001E299B">
        <w:rPr>
          <w:lang w:val="en-GB"/>
        </w:rPr>
        <w:t xml:space="preserve"> Anglesea Road</w:t>
      </w:r>
      <w:r w:rsidR="001D2649">
        <w:rPr>
          <w:lang w:val="en-GB"/>
        </w:rPr>
        <w:t xml:space="preserve"> Land </w:t>
      </w:r>
      <w:r w:rsidRPr="001E299B">
        <w:rPr>
          <w:lang w:val="en-GB"/>
        </w:rPr>
        <w:t xml:space="preserve">, from Farming Zone </w:t>
      </w:r>
      <w:r w:rsidR="001931A4">
        <w:rPr>
          <w:lang w:val="en-GB"/>
        </w:rPr>
        <w:t xml:space="preserve">(FZ) </w:t>
      </w:r>
      <w:r w:rsidRPr="001E299B">
        <w:rPr>
          <w:lang w:val="en-GB"/>
        </w:rPr>
        <w:t>to the General Residential Zone Schedule 1</w:t>
      </w:r>
      <w:r w:rsidR="001931A4">
        <w:rPr>
          <w:lang w:val="en-GB"/>
        </w:rPr>
        <w:t xml:space="preserve"> (GRZ1)</w:t>
      </w:r>
      <w:r w:rsidRPr="001E299B">
        <w:rPr>
          <w:lang w:val="en-GB"/>
        </w:rPr>
        <w:t>.</w:t>
      </w:r>
    </w:p>
    <w:p w:rsidR="001E299B" w:rsidRPr="001E299B" w:rsidRDefault="001E299B" w:rsidP="001E299B">
      <w:pPr>
        <w:pStyle w:val="Recitals"/>
        <w:numPr>
          <w:ilvl w:val="2"/>
          <w:numId w:val="3"/>
        </w:numPr>
        <w:rPr>
          <w:lang w:val="en-GB"/>
        </w:rPr>
      </w:pPr>
      <w:r w:rsidRPr="001E299B">
        <w:rPr>
          <w:lang w:val="en-GB"/>
        </w:rPr>
        <w:t>Rezone the Powercor substation at 25 Hams Road</w:t>
      </w:r>
      <w:r w:rsidR="008B0D46">
        <w:rPr>
          <w:lang w:val="en-GB"/>
        </w:rPr>
        <w:t>, Waurn Ponds,</w:t>
      </w:r>
      <w:r w:rsidRPr="001E299B">
        <w:rPr>
          <w:lang w:val="en-GB"/>
        </w:rPr>
        <w:t xml:space="preserve"> from Farming Zone to </w:t>
      </w:r>
      <w:r w:rsidR="000710D8">
        <w:rPr>
          <w:lang w:val="en-GB"/>
        </w:rPr>
        <w:t>GRZ1</w:t>
      </w:r>
    </w:p>
    <w:p w:rsidR="001E299B" w:rsidRPr="001E299B" w:rsidRDefault="001E299B" w:rsidP="001E299B">
      <w:pPr>
        <w:pStyle w:val="Recitals"/>
        <w:numPr>
          <w:ilvl w:val="2"/>
          <w:numId w:val="3"/>
        </w:numPr>
        <w:rPr>
          <w:lang w:val="en-GB"/>
        </w:rPr>
      </w:pPr>
      <w:r w:rsidRPr="001E299B">
        <w:rPr>
          <w:lang w:val="en-GB"/>
        </w:rPr>
        <w:t xml:space="preserve">Rezone the land contained in the Geelong Ring Road Section 4B and Section 4C that adjoins the southern and western boundaries of the land to be rezoned for residential purposes </w:t>
      </w:r>
      <w:r w:rsidR="00D60B67">
        <w:rPr>
          <w:lang w:val="en-GB"/>
        </w:rPr>
        <w:t xml:space="preserve">as outlined in part </w:t>
      </w:r>
      <w:proofErr w:type="spellStart"/>
      <w:r w:rsidR="00D60B67">
        <w:rPr>
          <w:lang w:val="en-GB"/>
        </w:rPr>
        <w:t>i</w:t>
      </w:r>
      <w:proofErr w:type="spellEnd"/>
      <w:r w:rsidR="00D60B67">
        <w:rPr>
          <w:lang w:val="en-GB"/>
        </w:rPr>
        <w:t>) above</w:t>
      </w:r>
      <w:r w:rsidRPr="001E299B">
        <w:rPr>
          <w:lang w:val="en-GB"/>
        </w:rPr>
        <w:t>, from Farming Zone to Road Zone Category 1</w:t>
      </w:r>
      <w:r w:rsidR="001931A4">
        <w:rPr>
          <w:lang w:val="en-GB"/>
        </w:rPr>
        <w:t xml:space="preserve"> (RDZ1)</w:t>
      </w:r>
      <w:r w:rsidRPr="001E299B">
        <w:rPr>
          <w:lang w:val="en-GB"/>
        </w:rPr>
        <w:t>.</w:t>
      </w:r>
    </w:p>
    <w:p w:rsidR="001E299B" w:rsidRPr="001E299B" w:rsidRDefault="001E299B" w:rsidP="001E299B">
      <w:pPr>
        <w:pStyle w:val="Recitals"/>
        <w:numPr>
          <w:ilvl w:val="2"/>
          <w:numId w:val="3"/>
        </w:numPr>
        <w:rPr>
          <w:lang w:val="en-GB"/>
        </w:rPr>
      </w:pPr>
      <w:r w:rsidRPr="001E299B">
        <w:rPr>
          <w:lang w:val="en-GB"/>
        </w:rPr>
        <w:t xml:space="preserve">Rezone the Barwon Water land between the site to be rezoned for residential purposes </w:t>
      </w:r>
      <w:r w:rsidR="00D60B67">
        <w:rPr>
          <w:lang w:val="en-GB"/>
        </w:rPr>
        <w:t xml:space="preserve">as outlined in part </w:t>
      </w:r>
      <w:proofErr w:type="spellStart"/>
      <w:r w:rsidR="00D60B67">
        <w:rPr>
          <w:lang w:val="en-GB"/>
        </w:rPr>
        <w:t>i</w:t>
      </w:r>
      <w:proofErr w:type="spellEnd"/>
      <w:r w:rsidR="00D60B67">
        <w:rPr>
          <w:lang w:val="en-GB"/>
        </w:rPr>
        <w:t xml:space="preserve">) above </w:t>
      </w:r>
      <w:r w:rsidRPr="001E299B">
        <w:rPr>
          <w:lang w:val="en-GB"/>
        </w:rPr>
        <w:t>and the Geelong/Warrna</w:t>
      </w:r>
      <w:r w:rsidR="001931A4">
        <w:rPr>
          <w:lang w:val="en-GB"/>
        </w:rPr>
        <w:t xml:space="preserve">mbool railway from Farming Zone </w:t>
      </w:r>
      <w:r w:rsidRPr="001E299B">
        <w:rPr>
          <w:lang w:val="en-GB"/>
        </w:rPr>
        <w:t>to Public Use Zone 1</w:t>
      </w:r>
      <w:r w:rsidR="001931A4">
        <w:rPr>
          <w:lang w:val="en-GB"/>
        </w:rPr>
        <w:t xml:space="preserve"> (PUZ1)</w:t>
      </w:r>
      <w:r w:rsidRPr="001E299B">
        <w:rPr>
          <w:lang w:val="en-GB"/>
        </w:rPr>
        <w:t>.</w:t>
      </w:r>
    </w:p>
    <w:p w:rsidR="001E299B" w:rsidRDefault="001E299B" w:rsidP="001E299B">
      <w:pPr>
        <w:pStyle w:val="Recitals"/>
        <w:numPr>
          <w:ilvl w:val="2"/>
          <w:numId w:val="3"/>
        </w:numPr>
      </w:pPr>
      <w:r w:rsidRPr="001E299B">
        <w:rPr>
          <w:lang w:val="en-GB"/>
        </w:rPr>
        <w:t xml:space="preserve">Delete the Public Acquisition Overlay 3 (VicRoads) </w:t>
      </w:r>
      <w:r w:rsidR="001931A4">
        <w:rPr>
          <w:lang w:val="en-GB"/>
        </w:rPr>
        <w:t xml:space="preserve">(PAO3) </w:t>
      </w:r>
      <w:r w:rsidRPr="001E299B">
        <w:rPr>
          <w:lang w:val="en-GB"/>
        </w:rPr>
        <w:t>from the affected land to b</w:t>
      </w:r>
      <w:r w:rsidR="001931A4">
        <w:rPr>
          <w:lang w:val="en-GB"/>
        </w:rPr>
        <w:t xml:space="preserve">e rezoned as outlined in parts </w:t>
      </w:r>
      <w:proofErr w:type="spellStart"/>
      <w:r w:rsidR="001931A4">
        <w:rPr>
          <w:lang w:val="en-GB"/>
        </w:rPr>
        <w:t>i</w:t>
      </w:r>
      <w:proofErr w:type="spellEnd"/>
      <w:r w:rsidR="001931A4">
        <w:rPr>
          <w:lang w:val="en-GB"/>
        </w:rPr>
        <w:t>) and (iii</w:t>
      </w:r>
      <w:r w:rsidRPr="001E299B">
        <w:rPr>
          <w:lang w:val="en-GB"/>
        </w:rPr>
        <w:t>), where applicable.</w:t>
      </w:r>
    </w:p>
    <w:p w:rsidR="00DB5157" w:rsidRPr="00960D2A" w:rsidRDefault="00DB5157" w:rsidP="00DB5157">
      <w:pPr>
        <w:pStyle w:val="Recitals"/>
        <w:numPr>
          <w:ilvl w:val="2"/>
          <w:numId w:val="3"/>
        </w:numPr>
      </w:pPr>
      <w:r w:rsidRPr="00960D2A">
        <w:t>In</w:t>
      </w:r>
      <w:r w:rsidR="001E299B">
        <w:t xml:space="preserve">sert and apply a new Schedule </w:t>
      </w:r>
      <w:r w:rsidR="002A073F">
        <w:t>32</w:t>
      </w:r>
      <w:r w:rsidRPr="00960D2A">
        <w:t xml:space="preserve"> to Clause 43.04 Develo</w:t>
      </w:r>
      <w:r w:rsidR="001E299B">
        <w:t>pment Plan Overlay (DPO</w:t>
      </w:r>
      <w:r w:rsidR="002A073F">
        <w:t>32</w:t>
      </w:r>
      <w:r w:rsidRPr="00960D2A">
        <w:t xml:space="preserve">) to </w:t>
      </w:r>
      <w:r w:rsidR="00A94963">
        <w:t>Land</w:t>
      </w:r>
      <w:r w:rsidR="008B0D46">
        <w:t xml:space="preserve"> </w:t>
      </w:r>
      <w:r w:rsidR="001E299B">
        <w:t>and</w:t>
      </w:r>
      <w:r w:rsidRPr="00960D2A">
        <w:t xml:space="preserve"> </w:t>
      </w:r>
      <w:r w:rsidR="008B0D46">
        <w:t>.</w:t>
      </w:r>
    </w:p>
    <w:p w:rsidR="00FC0D6F" w:rsidRPr="00D97339" w:rsidRDefault="00FC0D6F" w:rsidP="00DB5157">
      <w:pPr>
        <w:pStyle w:val="Recitals"/>
        <w:ind w:hanging="734"/>
      </w:pPr>
      <w:r w:rsidRPr="00D97339">
        <w:lastRenderedPageBreak/>
        <w:t xml:space="preserve">The Owner has voluntarily agreed to pay to the Responsible Authority a $900 contribution in respect of each residential lot created by the subdivision of the Land </w:t>
      </w:r>
      <w:r w:rsidR="00C125CA" w:rsidRPr="00D97339">
        <w:t xml:space="preserve">on the basis that the Responsible Authority will then apply such funds provided to the provision of </w:t>
      </w:r>
      <w:r w:rsidR="00083B82" w:rsidRPr="00D97339">
        <w:t>community</w:t>
      </w:r>
      <w:r w:rsidR="00C125CA" w:rsidRPr="00D97339">
        <w:t xml:space="preserve"> facilities in the Waurn Ponds/Grovedale/Armstrong Creek West area of the municipality.   This Agreement also secures this voluntary contribution.   </w:t>
      </w:r>
      <w:r w:rsidRPr="00D97339">
        <w:t xml:space="preserve"> </w:t>
      </w:r>
    </w:p>
    <w:p w:rsidR="00DB5157" w:rsidRPr="00DE300E" w:rsidRDefault="00DB5157" w:rsidP="00DB5157">
      <w:pPr>
        <w:pStyle w:val="Recitals"/>
        <w:ind w:hanging="734"/>
      </w:pPr>
      <w:r w:rsidRPr="00960D2A">
        <w:t xml:space="preserve">This Agreement is entered into between the Responsible Authority and the Owner pursuant to </w:t>
      </w:r>
      <w:r w:rsidR="001931A4">
        <w:t>section 173 of the Act in order</w:t>
      </w:r>
      <w:r>
        <w:t xml:space="preserve"> </w:t>
      </w:r>
      <w:r w:rsidRPr="00960D2A">
        <w:t>to achieve the objectives of planning in Victoria</w:t>
      </w:r>
      <w:r w:rsidR="001931A4">
        <w:t xml:space="preserve"> and to </w:t>
      </w:r>
      <w:r w:rsidR="008B0D46">
        <w:t xml:space="preserve">secure and </w:t>
      </w:r>
      <w:r w:rsidR="001931A4">
        <w:t xml:space="preserve">deliver the necessary </w:t>
      </w:r>
      <w:r w:rsidR="005550FA">
        <w:t xml:space="preserve">internal and external </w:t>
      </w:r>
      <w:r w:rsidR="008B0D46">
        <w:t>works</w:t>
      </w:r>
      <w:r w:rsidR="001931A4">
        <w:t xml:space="preserve"> associated with the future subdivision</w:t>
      </w:r>
      <w:r w:rsidR="00E0798E">
        <w:t xml:space="preserve"> </w:t>
      </w:r>
      <w:r w:rsidR="001931A4">
        <w:t>and development of the land for residential purposes</w:t>
      </w:r>
      <w:r w:rsidR="00CC7726">
        <w:t xml:space="preserve"> </w:t>
      </w:r>
      <w:r w:rsidR="00CC7726" w:rsidRPr="00DE300E">
        <w:t>and to secure the voluntary contribution of the Owner.</w:t>
      </w:r>
    </w:p>
    <w:p w:rsidR="00DB5157" w:rsidRPr="00960D2A" w:rsidRDefault="00DB5157" w:rsidP="00DB5157">
      <w:pPr>
        <w:spacing w:before="360"/>
        <w:rPr>
          <w:b/>
        </w:rPr>
      </w:pPr>
      <w:r w:rsidRPr="00960D2A">
        <w:rPr>
          <w:b/>
        </w:rPr>
        <w:t>IT IS AGREED AS FOLLOWS:</w:t>
      </w:r>
    </w:p>
    <w:p w:rsidR="00DB5157" w:rsidRPr="00960D2A" w:rsidRDefault="00DB5157" w:rsidP="00DB5157">
      <w:pPr>
        <w:pStyle w:val="Heading9"/>
      </w:pPr>
      <w:r w:rsidRPr="00960D2A">
        <w:t>Definitions</w:t>
      </w:r>
    </w:p>
    <w:p w:rsidR="00DB5157" w:rsidRPr="00960D2A" w:rsidRDefault="00DB5157" w:rsidP="00DB5157">
      <w:pPr>
        <w:pStyle w:val="Heading1"/>
      </w:pPr>
      <w:r w:rsidRPr="00960D2A">
        <w:t>In this Agreement unless inconsistent with the context or subject matter:</w:t>
      </w:r>
    </w:p>
    <w:p w:rsidR="00DB5157" w:rsidRPr="00960D2A" w:rsidRDefault="00DB5157" w:rsidP="00DB5157">
      <w:pPr>
        <w:pStyle w:val="Heading2"/>
      </w:pPr>
      <w:r w:rsidRPr="00960D2A">
        <w:rPr>
          <w:b/>
        </w:rPr>
        <w:t>Act</w:t>
      </w:r>
      <w:r w:rsidRPr="00960D2A">
        <w:t xml:space="preserve"> means the </w:t>
      </w:r>
      <w:r w:rsidRPr="00960D2A">
        <w:rPr>
          <w:i/>
        </w:rPr>
        <w:t>Planning and Environment Act</w:t>
      </w:r>
      <w:r w:rsidRPr="00960D2A">
        <w:t xml:space="preserve"> 1987;</w:t>
      </w:r>
    </w:p>
    <w:p w:rsidR="00DB5157" w:rsidRPr="00960D2A" w:rsidRDefault="00DB5157" w:rsidP="00DB5157">
      <w:pPr>
        <w:pStyle w:val="Heading2"/>
      </w:pPr>
      <w:r w:rsidRPr="00960D2A">
        <w:rPr>
          <w:b/>
        </w:rPr>
        <w:t>Agreement</w:t>
      </w:r>
      <w:r w:rsidRPr="00960D2A">
        <w:t xml:space="preserve"> means this Agreement and any agreement executed by the parties varying or expressed to be supplemental to this Agreement;</w:t>
      </w:r>
    </w:p>
    <w:p w:rsidR="00DB5157" w:rsidRPr="00D349B3" w:rsidRDefault="00DB5157" w:rsidP="00DB5157">
      <w:pPr>
        <w:pStyle w:val="Heading2"/>
        <w:rPr>
          <w:b/>
        </w:rPr>
      </w:pPr>
      <w:r w:rsidRPr="00D349B3">
        <w:rPr>
          <w:b/>
        </w:rPr>
        <w:t xml:space="preserve">“Adjustment Index” </w:t>
      </w:r>
      <w:r w:rsidRPr="00D349B3">
        <w:t xml:space="preserve">means either the ANZSIC Class 3101 – 'Road and Bridge Construction – Australia' index or ANZSIC Class 3101 – 'Road and Bridge Construction – Victoria' index at the sole discretion of </w:t>
      </w:r>
      <w:r>
        <w:t xml:space="preserve">The Responsible Authority </w:t>
      </w:r>
      <w:r w:rsidRPr="00D349B3">
        <w:t xml:space="preserve"> or in the event that these indexes are no longer available a replacement index to be </w:t>
      </w:r>
      <w:r w:rsidR="00B24B0F">
        <w:t>determined</w:t>
      </w:r>
      <w:r w:rsidR="00B24B0F" w:rsidRPr="00D349B3">
        <w:t xml:space="preserve"> </w:t>
      </w:r>
      <w:r w:rsidRPr="00D349B3">
        <w:t xml:space="preserve">by </w:t>
      </w:r>
      <w:r w:rsidR="00B24B0F">
        <w:t>t</w:t>
      </w:r>
      <w:r>
        <w:t xml:space="preserve">he Responsible Authority </w:t>
      </w:r>
      <w:r w:rsidR="008B0D46">
        <w:t xml:space="preserve"> acting reasonably;</w:t>
      </w:r>
    </w:p>
    <w:p w:rsidR="005550FA" w:rsidRPr="005550FA" w:rsidRDefault="005550FA" w:rsidP="00DB5157">
      <w:pPr>
        <w:pStyle w:val="Heading2"/>
      </w:pPr>
      <w:r w:rsidRPr="00933249">
        <w:rPr>
          <w:b/>
        </w:rPr>
        <w:t xml:space="preserve">Amendment </w:t>
      </w:r>
      <w:r>
        <w:t>means Amendment C276 to the Planning Scheme;</w:t>
      </w:r>
    </w:p>
    <w:p w:rsidR="00D0539E" w:rsidRPr="009751B9" w:rsidRDefault="00270558" w:rsidP="00933249">
      <w:pPr>
        <w:pStyle w:val="Heading2"/>
      </w:pPr>
      <w:r w:rsidRPr="009751B9">
        <w:rPr>
          <w:b/>
        </w:rPr>
        <w:t>Community Infrastructure Contribution</w:t>
      </w:r>
      <w:r w:rsidR="00D0539E">
        <w:t xml:space="preserve"> means</w:t>
      </w:r>
      <w:r w:rsidR="001406C0">
        <w:t xml:space="preserve"> a payment of $900 indexed in accordance with this Agreement.</w:t>
      </w:r>
      <w:r w:rsidR="00D0539E">
        <w:t xml:space="preserve"> </w:t>
      </w:r>
    </w:p>
    <w:p w:rsidR="0091329F" w:rsidRPr="009751B9" w:rsidRDefault="00270558" w:rsidP="00933249">
      <w:pPr>
        <w:pStyle w:val="Heading2"/>
      </w:pPr>
      <w:r w:rsidRPr="009751B9">
        <w:rPr>
          <w:b/>
        </w:rPr>
        <w:t>Development Plan</w:t>
      </w:r>
      <w:r w:rsidR="0091329F">
        <w:t xml:space="preserve"> means the development plan approved under the DPO.</w:t>
      </w:r>
    </w:p>
    <w:p w:rsidR="00933249" w:rsidRPr="00933249" w:rsidRDefault="00DB5157" w:rsidP="00933249">
      <w:pPr>
        <w:pStyle w:val="Heading2"/>
      </w:pPr>
      <w:r w:rsidRPr="00960D2A">
        <w:rPr>
          <w:b/>
        </w:rPr>
        <w:t xml:space="preserve">DPO </w:t>
      </w:r>
      <w:r w:rsidRPr="00960D2A">
        <w:t>means the Development Plan Overlay being applied to the Land and the Neighbouring Land by Greater Geelong Planning Scheme Amendment C2</w:t>
      </w:r>
      <w:r>
        <w:t>76</w:t>
      </w:r>
      <w:r w:rsidRPr="00960D2A">
        <w:t>;</w:t>
      </w:r>
    </w:p>
    <w:p w:rsidR="00762B31" w:rsidRPr="00762B31" w:rsidRDefault="00762B31" w:rsidP="00DB5157">
      <w:pPr>
        <w:pStyle w:val="Heading2"/>
      </w:pPr>
      <w:r w:rsidRPr="00762B31">
        <w:rPr>
          <w:b/>
        </w:rPr>
        <w:t>Encumbered Land</w:t>
      </w:r>
      <w:r>
        <w:t xml:space="preserve"> means </w:t>
      </w:r>
      <w:r w:rsidR="00A94963">
        <w:t xml:space="preserve">all </w:t>
      </w:r>
      <w:r>
        <w:t xml:space="preserve">land which </w:t>
      </w:r>
      <w:r w:rsidR="00A94963">
        <w:t xml:space="preserve">includes all existing and proposed </w:t>
      </w:r>
      <w:r>
        <w:t xml:space="preserve"> drainage lines, retarding basins, lakes, wetlands, land subject to a risk of landslip and liable for flooding, drainage basins, plantation buffer treatments (unless it is demonstrated to </w:t>
      </w:r>
      <w:r w:rsidR="005C6613">
        <w:t xml:space="preserve">the Responsible Authority’s satisfaction </w:t>
      </w:r>
      <w:r>
        <w:t xml:space="preserve">that the </w:t>
      </w:r>
      <w:r w:rsidR="001C1096">
        <w:t xml:space="preserve">plantation </w:t>
      </w:r>
      <w:r>
        <w:t>buffer treatments can be used for open space), land within the natural west-east waterway defined as the bed and banks and that area generally required for overland flow from the 1 in 100 y</w:t>
      </w:r>
      <w:r w:rsidR="008B0D46">
        <w:t>ear reoccurrence interval flows;</w:t>
      </w:r>
    </w:p>
    <w:p w:rsidR="00DB5157" w:rsidRDefault="00DB5157" w:rsidP="00DB5157">
      <w:pPr>
        <w:pStyle w:val="Heading2"/>
      </w:pPr>
      <w:r w:rsidRPr="00A73F74">
        <w:rPr>
          <w:b/>
        </w:rPr>
        <w:t>External Drainage works</w:t>
      </w:r>
      <w:r>
        <w:rPr>
          <w:b/>
        </w:rPr>
        <w:t xml:space="preserve"> </w:t>
      </w:r>
      <w:r w:rsidRPr="00A73F74">
        <w:t xml:space="preserve">means </w:t>
      </w:r>
      <w:r>
        <w:t>those drainage works:</w:t>
      </w:r>
    </w:p>
    <w:p w:rsidR="00DB5157" w:rsidRDefault="00DB5157" w:rsidP="00DB5157">
      <w:pPr>
        <w:pStyle w:val="HeadIndent2"/>
      </w:pPr>
    </w:p>
    <w:p w:rsidR="00DB5157" w:rsidRDefault="00DB5157" w:rsidP="00DB5157">
      <w:pPr>
        <w:pStyle w:val="HeadIndent2"/>
        <w:numPr>
          <w:ilvl w:val="0"/>
          <w:numId w:val="4"/>
        </w:numPr>
      </w:pPr>
      <w:r>
        <w:t>that are necessary as a result of the proposed subdivision and development of the Land, in accordance with the Flooding, Stormwater and Drainage Management Plan; and</w:t>
      </w:r>
    </w:p>
    <w:p w:rsidR="00DB5157" w:rsidRPr="00A73F74" w:rsidRDefault="00DB5157" w:rsidP="00DB5157">
      <w:pPr>
        <w:pStyle w:val="HeadIndent2"/>
        <w:numPr>
          <w:ilvl w:val="0"/>
          <w:numId w:val="4"/>
        </w:numPr>
      </w:pPr>
      <w:r>
        <w:t>that fall outside the area of the Land.</w:t>
      </w:r>
    </w:p>
    <w:p w:rsidR="00DB5157" w:rsidRPr="00960D2A" w:rsidRDefault="00DB5157" w:rsidP="00DB5157">
      <w:pPr>
        <w:pStyle w:val="Heading2"/>
      </w:pPr>
      <w:r w:rsidRPr="00960D2A">
        <w:rPr>
          <w:b/>
        </w:rPr>
        <w:t xml:space="preserve">Flooding, Stormwater and Drainage Management Plan </w:t>
      </w:r>
      <w:r w:rsidRPr="00960D2A">
        <w:t xml:space="preserve">means the Flooding, Stormwater and Drainage Management Plan required to be prepared as part of the Development Plan under clause </w:t>
      </w:r>
      <w:r w:rsidRPr="00D60B67">
        <w:t>3.0</w:t>
      </w:r>
      <w:r w:rsidRPr="00960D2A">
        <w:t xml:space="preserve"> of the DPO</w:t>
      </w:r>
      <w:r w:rsidR="008B0D46">
        <w:t>;</w:t>
      </w:r>
    </w:p>
    <w:p w:rsidR="00DB5157" w:rsidRPr="005965CA" w:rsidRDefault="00DB5157" w:rsidP="00DB5157">
      <w:pPr>
        <w:pStyle w:val="Heading2"/>
      </w:pPr>
      <w:r w:rsidRPr="00DC2874">
        <w:rPr>
          <w:b/>
        </w:rPr>
        <w:lastRenderedPageBreak/>
        <w:t>Intersection</w:t>
      </w:r>
      <w:r>
        <w:t xml:space="preserve"> means </w:t>
      </w:r>
      <w:r w:rsidRPr="00DC2874">
        <w:t>a</w:t>
      </w:r>
      <w:r w:rsidR="008B0D46">
        <w:t>n</w:t>
      </w:r>
      <w:r w:rsidRPr="00DC2874">
        <w:t xml:space="preserve"> </w:t>
      </w:r>
      <w:r w:rsidR="008B0D46">
        <w:t>upgraded</w:t>
      </w:r>
      <w:r w:rsidR="00AB1BDF" w:rsidRPr="00230768">
        <w:t xml:space="preserve"> </w:t>
      </w:r>
      <w:r w:rsidRPr="00230768">
        <w:t>intersection</w:t>
      </w:r>
      <w:r w:rsidRPr="00DC2874">
        <w:t xml:space="preserve"> </w:t>
      </w:r>
      <w:r w:rsidR="008B0D46">
        <w:t xml:space="preserve">arrangement </w:t>
      </w:r>
      <w:r w:rsidRPr="00DC2874">
        <w:t xml:space="preserve">at </w:t>
      </w:r>
      <w:r w:rsidR="00AB1BDF">
        <w:t>the Hams Road and Ghazeepore Road junction</w:t>
      </w:r>
      <w:r w:rsidR="001114DE">
        <w:t xml:space="preserve"> as specified in the </w:t>
      </w:r>
      <w:r w:rsidR="00270558" w:rsidRPr="009751B9">
        <w:t>Road Network and Traffic Management Plan</w:t>
      </w:r>
      <w:r w:rsidR="008B0D46" w:rsidRPr="001114DE">
        <w:t>;</w:t>
      </w:r>
    </w:p>
    <w:p w:rsidR="00DB5157" w:rsidRPr="00870126" w:rsidRDefault="00DB5157" w:rsidP="00D60B67">
      <w:pPr>
        <w:pStyle w:val="Heading2"/>
      </w:pPr>
      <w:r w:rsidRPr="00960D2A">
        <w:rPr>
          <w:b/>
        </w:rPr>
        <w:t>Land</w:t>
      </w:r>
      <w:r w:rsidRPr="00960D2A">
        <w:t xml:space="preserve"> means the land described in Recital </w:t>
      </w:r>
      <w:r w:rsidR="000756DF">
        <w:t>1</w:t>
      </w:r>
      <w:r w:rsidR="008B0D46">
        <w:t>;</w:t>
      </w:r>
    </w:p>
    <w:p w:rsidR="00DB5157" w:rsidRPr="00960D2A" w:rsidRDefault="00DB5157" w:rsidP="00DB5157">
      <w:pPr>
        <w:pStyle w:val="Heading2"/>
      </w:pPr>
      <w:r w:rsidRPr="00960D2A">
        <w:rPr>
          <w:b/>
        </w:rPr>
        <w:t>Mortgagee</w:t>
      </w:r>
      <w:r w:rsidRPr="00960D2A">
        <w:t xml:space="preserve"> means the person or persons registered or entitled from time to time to be registered by the Register of Titles as Mortgagee of the Land or any part of it; </w:t>
      </w:r>
    </w:p>
    <w:p w:rsidR="00D60B67" w:rsidRPr="00D60B67" w:rsidRDefault="00D60B67" w:rsidP="00DB5157">
      <w:pPr>
        <w:pStyle w:val="Heading2"/>
      </w:pPr>
      <w:r w:rsidRPr="00870126">
        <w:rPr>
          <w:b/>
        </w:rPr>
        <w:t xml:space="preserve">Open Space and Landscape Masterplan </w:t>
      </w:r>
      <w:r w:rsidRPr="00870126">
        <w:t xml:space="preserve">means the </w:t>
      </w:r>
      <w:r w:rsidR="00230768">
        <w:t xml:space="preserve">Open Space and </w:t>
      </w:r>
      <w:r w:rsidRPr="00870126">
        <w:t xml:space="preserve">Landscape Masterplan required to be prepared as part of the Development Plan under clause </w:t>
      </w:r>
      <w:r w:rsidRPr="00D60B67">
        <w:t>3.0</w:t>
      </w:r>
      <w:r w:rsidR="008B0D46">
        <w:t xml:space="preserve"> of the DPO;</w:t>
      </w:r>
    </w:p>
    <w:p w:rsidR="00DB5157" w:rsidRPr="00960D2A" w:rsidRDefault="00DB5157" w:rsidP="00DB5157">
      <w:pPr>
        <w:pStyle w:val="Heading2"/>
      </w:pPr>
      <w:r w:rsidRPr="00960D2A">
        <w:rPr>
          <w:b/>
        </w:rPr>
        <w:t>Owner</w:t>
      </w:r>
      <w:r w:rsidRPr="00960D2A">
        <w:t xml:space="preserve"> means the person or persons registered or entitled from time to time to be registered by the Registrar of Titles as the proprietor or proprietors of an estate in fee simple of the Land or any part of it, and includes a Mortgagee in possession;</w:t>
      </w:r>
    </w:p>
    <w:p w:rsidR="00DB5157" w:rsidRPr="00960D2A" w:rsidRDefault="00DB5157" w:rsidP="00DB5157">
      <w:pPr>
        <w:pStyle w:val="Heading2"/>
      </w:pPr>
      <w:r w:rsidRPr="00960D2A">
        <w:rPr>
          <w:b/>
        </w:rPr>
        <w:t>party or parties</w:t>
      </w:r>
      <w:r w:rsidRPr="00960D2A">
        <w:t xml:space="preserve"> means the Owner and the Responsible Authority under this Agreement as appropriate; </w:t>
      </w:r>
    </w:p>
    <w:p w:rsidR="00DB5157" w:rsidRPr="00960D2A" w:rsidRDefault="00DB5157" w:rsidP="00DB5157">
      <w:pPr>
        <w:pStyle w:val="Heading2"/>
      </w:pPr>
      <w:r w:rsidRPr="00960D2A">
        <w:rPr>
          <w:b/>
        </w:rPr>
        <w:t>Planning Scheme</w:t>
      </w:r>
      <w:r w:rsidRPr="00960D2A">
        <w:t xml:space="preserve"> means the Greater Geelong Planning Scheme and any successor instrument or other planning scheme which applies to the Land;</w:t>
      </w:r>
      <w:r w:rsidRPr="00960D2A">
        <w:rPr>
          <w:b/>
        </w:rPr>
        <w:t xml:space="preserve"> </w:t>
      </w:r>
    </w:p>
    <w:p w:rsidR="00E75E8D" w:rsidRPr="009751B9" w:rsidRDefault="00270558" w:rsidP="00DB5157">
      <w:pPr>
        <w:pStyle w:val="Heading2"/>
      </w:pPr>
      <w:r w:rsidRPr="009751B9">
        <w:rPr>
          <w:b/>
        </w:rPr>
        <w:t>Residential Lot</w:t>
      </w:r>
      <w:r w:rsidR="00E75E8D">
        <w:t xml:space="preserve"> means a lot to be created on a proposed subdivision of the Land which in the reasonably formed view of the Responsible Authority is intended </w:t>
      </w:r>
      <w:r w:rsidR="0085114F">
        <w:t xml:space="preserve">for development for the purpose of a dwelling without further subdivision.  </w:t>
      </w:r>
    </w:p>
    <w:p w:rsidR="00DB5157" w:rsidRPr="00960D2A" w:rsidRDefault="00DB5157" w:rsidP="00DB5157">
      <w:pPr>
        <w:pStyle w:val="Heading2"/>
      </w:pPr>
      <w:r w:rsidRPr="00960D2A">
        <w:rPr>
          <w:b/>
        </w:rPr>
        <w:t>Responsible Authority</w:t>
      </w:r>
      <w:r w:rsidRPr="00960D2A">
        <w:t xml:space="preserve"> means Greater Geelong City Council as the authority responsible for administering and enforcing the Planning Scheme and includes its agents, officers, employees, servants, workers and contractors and any subsequent person or body which is the responsible author</w:t>
      </w:r>
      <w:r w:rsidR="008B0D46">
        <w:t xml:space="preserve">ity for the Planning Scheme; </w:t>
      </w:r>
    </w:p>
    <w:p w:rsidR="00DB5157" w:rsidRPr="00960D2A" w:rsidRDefault="00DB5157" w:rsidP="00DB5157">
      <w:pPr>
        <w:pStyle w:val="Heading2"/>
      </w:pPr>
      <w:r>
        <w:rPr>
          <w:b/>
        </w:rPr>
        <w:t xml:space="preserve">Road Network and </w:t>
      </w:r>
      <w:r w:rsidRPr="00960D2A">
        <w:rPr>
          <w:b/>
        </w:rPr>
        <w:t xml:space="preserve">Traffic Management Plan </w:t>
      </w:r>
      <w:r w:rsidRPr="00960D2A">
        <w:t xml:space="preserve">means the </w:t>
      </w:r>
      <w:r>
        <w:t xml:space="preserve">Road Network and </w:t>
      </w:r>
      <w:r w:rsidRPr="00960D2A">
        <w:t xml:space="preserve">Traffic Management Plan required to be prepared as part of the Development Plan under clause </w:t>
      </w:r>
      <w:r w:rsidRPr="00A73F74">
        <w:t>3.0</w:t>
      </w:r>
      <w:r w:rsidRPr="00960D2A">
        <w:t xml:space="preserve"> of the DPO</w:t>
      </w:r>
      <w:r w:rsidR="00230768">
        <w:t>;</w:t>
      </w:r>
      <w:r w:rsidR="008B0D46">
        <w:t xml:space="preserve"> and</w:t>
      </w:r>
    </w:p>
    <w:p w:rsidR="00DB5157" w:rsidRPr="00960D2A" w:rsidRDefault="00DB5157" w:rsidP="00DB5157">
      <w:pPr>
        <w:pStyle w:val="Heading2"/>
      </w:pPr>
      <w:r w:rsidRPr="00960D2A">
        <w:rPr>
          <w:b/>
        </w:rPr>
        <w:t xml:space="preserve">Urban Design Masterplan </w:t>
      </w:r>
      <w:r w:rsidRPr="00960D2A">
        <w:t xml:space="preserve">means the Urban Design Masterplan required to be prepared as part of the Development Plan under clause </w:t>
      </w:r>
      <w:r w:rsidRPr="00A73F74">
        <w:t>3.0</w:t>
      </w:r>
      <w:r w:rsidRPr="00960D2A">
        <w:t xml:space="preserve"> of the DPO</w:t>
      </w:r>
      <w:r w:rsidR="00230768">
        <w:t>.</w:t>
      </w:r>
    </w:p>
    <w:p w:rsidR="00DB5157" w:rsidRPr="00960D2A" w:rsidRDefault="00DB5157" w:rsidP="00DB5157">
      <w:pPr>
        <w:pStyle w:val="Heading9"/>
      </w:pPr>
      <w:r w:rsidRPr="00960D2A">
        <w:t>Interpretation</w:t>
      </w:r>
    </w:p>
    <w:p w:rsidR="00DB5157" w:rsidRPr="00960D2A" w:rsidRDefault="00DB5157" w:rsidP="00DB5157">
      <w:pPr>
        <w:pStyle w:val="Heading1"/>
      </w:pPr>
      <w:r w:rsidRPr="00960D2A">
        <w:t>In the interpretation of this Agreement unless inconsistent with the context or subject matter:</w:t>
      </w:r>
    </w:p>
    <w:p w:rsidR="00DB5157" w:rsidRPr="00960D2A" w:rsidRDefault="00DB5157" w:rsidP="00DB5157">
      <w:pPr>
        <w:pStyle w:val="Heading2"/>
      </w:pPr>
      <w:r w:rsidRPr="00960D2A">
        <w:t>The singular includes the plural and the plural includes the singular;</w:t>
      </w:r>
    </w:p>
    <w:p w:rsidR="00DB5157" w:rsidRPr="00960D2A" w:rsidRDefault="00DB5157" w:rsidP="00DB5157">
      <w:pPr>
        <w:pStyle w:val="Heading2"/>
      </w:pPr>
      <w:r w:rsidRPr="00960D2A">
        <w:t>A reference to a gender includes a reference to all other genders;</w:t>
      </w:r>
    </w:p>
    <w:p w:rsidR="00DB5157" w:rsidRPr="00960D2A" w:rsidRDefault="00DB5157" w:rsidP="00DB5157">
      <w:pPr>
        <w:pStyle w:val="Heading2"/>
      </w:pPr>
      <w:r w:rsidRPr="00960D2A">
        <w:t xml:space="preserve">Words (including defined expressions) denoting persons will be deemed to include all trusts, bodies and associations, corporate or unincorporated, and vice versa; </w:t>
      </w:r>
    </w:p>
    <w:p w:rsidR="00DB5157" w:rsidRPr="00960D2A" w:rsidRDefault="00DB5157" w:rsidP="00DB5157">
      <w:pPr>
        <w:pStyle w:val="Heading2"/>
      </w:pPr>
      <w:r w:rsidRPr="00960D2A">
        <w:t>A reference to a person includes a reference to a firm, corporation, association or other entity and their successors in law;</w:t>
      </w:r>
    </w:p>
    <w:p w:rsidR="00DB5157" w:rsidRPr="00960D2A" w:rsidRDefault="00DB5157" w:rsidP="00DB5157">
      <w:pPr>
        <w:pStyle w:val="Heading2"/>
      </w:pPr>
      <w:r w:rsidRPr="00960D2A">
        <w:t>A reference to a statute includes any statute amending, consolidating or replacing that statute and includes any subordinate instruments made under that statute;</w:t>
      </w:r>
    </w:p>
    <w:p w:rsidR="00DB5157" w:rsidRPr="00960D2A" w:rsidRDefault="00DB5157" w:rsidP="00DB5157">
      <w:pPr>
        <w:pStyle w:val="Heading2"/>
      </w:pPr>
      <w:r w:rsidRPr="00960D2A">
        <w:t>The Recitals to this Agreement are and will be deemed to form part of this Agreement including any terms defined within the Recitals;</w:t>
      </w:r>
    </w:p>
    <w:p w:rsidR="00DB5157" w:rsidRPr="00960D2A" w:rsidRDefault="00DB5157" w:rsidP="00DB5157">
      <w:pPr>
        <w:pStyle w:val="Heading2"/>
      </w:pPr>
      <w:r w:rsidRPr="00960D2A">
        <w:t xml:space="preserve">References to the parties will include their transferees, heirs, assigns, and liquidators, executors and legal personal representatives as the case may be; </w:t>
      </w:r>
    </w:p>
    <w:p w:rsidR="00DB5157" w:rsidRPr="00960D2A" w:rsidRDefault="00DB5157" w:rsidP="00DB5157">
      <w:pPr>
        <w:pStyle w:val="Heading2"/>
      </w:pPr>
      <w:r w:rsidRPr="00960D2A">
        <w:t xml:space="preserve">Reference to a document or agreement includes reference to that document or agreement as changed, novated or replaced from time to time; and </w:t>
      </w:r>
    </w:p>
    <w:p w:rsidR="00DB5157" w:rsidRPr="00960D2A" w:rsidRDefault="00DB5157" w:rsidP="00DB5157">
      <w:pPr>
        <w:pStyle w:val="Heading2"/>
      </w:pPr>
      <w:r w:rsidRPr="00960D2A">
        <w:t>Where a word or phrase is given a definite meaning in this Agreement, a part of speech or other grammatical form for that word or phrase has a corresponding meaning.</w:t>
      </w:r>
    </w:p>
    <w:p w:rsidR="00DB5157" w:rsidRPr="00960D2A" w:rsidRDefault="00DB5157" w:rsidP="00DB5157">
      <w:pPr>
        <w:pStyle w:val="Heading9"/>
      </w:pPr>
      <w:r w:rsidRPr="00960D2A">
        <w:t>Specific Obligations of the Owner</w:t>
      </w:r>
    </w:p>
    <w:p w:rsidR="00DB5157" w:rsidRPr="00933249" w:rsidRDefault="00DB5157" w:rsidP="00DB5157">
      <w:pPr>
        <w:pStyle w:val="Heading1"/>
        <w:numPr>
          <w:ilvl w:val="0"/>
          <w:numId w:val="0"/>
        </w:numPr>
        <w:ind w:left="720" w:hanging="720"/>
        <w:rPr>
          <w:u w:val="single"/>
        </w:rPr>
      </w:pPr>
      <w:r w:rsidRPr="00933249">
        <w:rPr>
          <w:u w:val="single"/>
        </w:rPr>
        <w:t xml:space="preserve">Intersection works at </w:t>
      </w:r>
      <w:r w:rsidR="003749C7" w:rsidRPr="00933249">
        <w:rPr>
          <w:u w:val="single"/>
        </w:rPr>
        <w:t>the Hams Road and Ghazeepore Road junction</w:t>
      </w:r>
    </w:p>
    <w:p w:rsidR="00DB5157" w:rsidRPr="00933249" w:rsidRDefault="00DB5157" w:rsidP="005C72D0">
      <w:pPr>
        <w:pStyle w:val="Heading1"/>
      </w:pPr>
      <w:r w:rsidRPr="00933249">
        <w:t>The Owner covenants, acknowledges and agrees with the Responsible Authority that</w:t>
      </w:r>
      <w:r w:rsidR="00802ABD">
        <w:t xml:space="preserve"> unless otherwise agreed in writing</w:t>
      </w:r>
      <w:r w:rsidRPr="00933249">
        <w:t>:</w:t>
      </w:r>
    </w:p>
    <w:p w:rsidR="00DB5157" w:rsidRDefault="00DB5157" w:rsidP="00DB5157">
      <w:pPr>
        <w:pStyle w:val="Heading2"/>
      </w:pPr>
      <w:r w:rsidRPr="00933249">
        <w:t xml:space="preserve">It will construct the Intersection to such standard as specified in the approved </w:t>
      </w:r>
      <w:r w:rsidR="008B0D46">
        <w:t xml:space="preserve">Road Network and </w:t>
      </w:r>
      <w:r w:rsidRPr="00933249">
        <w:t>Traffic Management Plan and in detailed design plans subsequently approved pursuant to planning permits issued for development of the Land to the satisfaction of the Responsible Authority;</w:t>
      </w:r>
    </w:p>
    <w:p w:rsidR="00270558" w:rsidRDefault="00270558" w:rsidP="009751B9">
      <w:pPr>
        <w:pStyle w:val="HeadIndent2"/>
      </w:pPr>
    </w:p>
    <w:p w:rsidR="00364827" w:rsidRDefault="00802ABD">
      <w:pPr>
        <w:pStyle w:val="Heading2"/>
      </w:pPr>
      <w:r>
        <w:t xml:space="preserve">It will construct the Intersection </w:t>
      </w:r>
      <w:r w:rsidR="001114DE">
        <w:t xml:space="preserve">prior to or at the time specified in the approved Road Network and Traffic Management Plan. </w:t>
      </w:r>
      <w:r>
        <w:t xml:space="preserve"> </w:t>
      </w:r>
    </w:p>
    <w:p w:rsidR="008B0D46" w:rsidRDefault="00DB5157" w:rsidP="00E67E0B">
      <w:pPr>
        <w:pStyle w:val="Heading2"/>
      </w:pPr>
      <w:r w:rsidRPr="00933249">
        <w:t xml:space="preserve">It is responsible for all </w:t>
      </w:r>
      <w:r w:rsidR="001114DE">
        <w:t xml:space="preserve">approvals, maintenance periods, </w:t>
      </w:r>
      <w:r w:rsidRPr="00933249">
        <w:t>costs, fees and charges associated with the construction of the I</w:t>
      </w:r>
      <w:r w:rsidR="005C72D0" w:rsidRPr="00933249">
        <w:t>ntersection.</w:t>
      </w:r>
    </w:p>
    <w:p w:rsidR="00E67E0B" w:rsidRPr="00E67E0B" w:rsidRDefault="00E67E0B" w:rsidP="00E67E0B">
      <w:pPr>
        <w:pStyle w:val="HeadIndent2"/>
      </w:pPr>
    </w:p>
    <w:p w:rsidR="00DB5157" w:rsidRPr="00933249" w:rsidRDefault="00DB5157" w:rsidP="00DB5157">
      <w:pPr>
        <w:pStyle w:val="Heading1"/>
        <w:numPr>
          <w:ilvl w:val="0"/>
          <w:numId w:val="0"/>
        </w:numPr>
        <w:rPr>
          <w:u w:val="single"/>
        </w:rPr>
      </w:pPr>
      <w:r w:rsidRPr="00933249">
        <w:rPr>
          <w:u w:val="single"/>
        </w:rPr>
        <w:t xml:space="preserve">Upgrades to </w:t>
      </w:r>
      <w:r w:rsidR="005C72D0" w:rsidRPr="00933249">
        <w:rPr>
          <w:u w:val="single"/>
        </w:rPr>
        <w:t>Hams Road</w:t>
      </w:r>
    </w:p>
    <w:p w:rsidR="00DB5157" w:rsidRPr="00933249" w:rsidRDefault="00DB5157" w:rsidP="00DB5157">
      <w:pPr>
        <w:pStyle w:val="Heading1"/>
      </w:pPr>
      <w:r w:rsidRPr="00933249">
        <w:t>The Owner covenants, acknowledges and agrees with the Responsible Authority that</w:t>
      </w:r>
      <w:r w:rsidR="00C52955">
        <w:t xml:space="preserve"> unless otherwise agreed in writing</w:t>
      </w:r>
      <w:r w:rsidRPr="00933249">
        <w:t>:</w:t>
      </w:r>
    </w:p>
    <w:p w:rsidR="00D90003" w:rsidRPr="00933249" w:rsidRDefault="00D90003" w:rsidP="00D91038">
      <w:pPr>
        <w:pStyle w:val="Heading2"/>
      </w:pPr>
      <w:r w:rsidRPr="00933249">
        <w:t xml:space="preserve">It will undertake improvements within the Hams Road reserve to the standard specified in the approved </w:t>
      </w:r>
      <w:r w:rsidR="008B0D46">
        <w:t xml:space="preserve">Road Network and </w:t>
      </w:r>
      <w:r w:rsidRPr="00933249">
        <w:t>Traffic Management Plan, Urban Design Masterplan and in detailed plans approved pursuant to planning permits issued for development of the Land to the satisfacti</w:t>
      </w:r>
      <w:r w:rsidR="00B757E3" w:rsidRPr="00933249">
        <w:t>on of the Responsible Authority;</w:t>
      </w:r>
    </w:p>
    <w:p w:rsidR="00F17C57" w:rsidRDefault="00D90003" w:rsidP="00D90003">
      <w:pPr>
        <w:pStyle w:val="Heading2"/>
      </w:pPr>
      <w:r w:rsidRPr="00933249">
        <w:t xml:space="preserve">Improvements must include, but not be limited to: </w:t>
      </w:r>
      <w:proofErr w:type="spellStart"/>
      <w:r w:rsidRPr="00933249">
        <w:t>roadworks</w:t>
      </w:r>
      <w:proofErr w:type="spellEnd"/>
      <w:r w:rsidRPr="00933249">
        <w:t xml:space="preserve"> such as asphalting, line marking</w:t>
      </w:r>
      <w:r w:rsidR="00D91038" w:rsidRPr="00933249">
        <w:t>, kerb</w:t>
      </w:r>
      <w:r w:rsidRPr="00933249">
        <w:t xml:space="preserve"> and channel and </w:t>
      </w:r>
      <w:r w:rsidR="008B0D46">
        <w:t xml:space="preserve">connection to the </w:t>
      </w:r>
      <w:r w:rsidRPr="00933249">
        <w:t>intersect</w:t>
      </w:r>
      <w:r w:rsidR="008B0D46">
        <w:t xml:space="preserve">ion </w:t>
      </w:r>
      <w:r w:rsidRPr="00933249">
        <w:t xml:space="preserve">at Ghazeepore Road; drainage works; </w:t>
      </w:r>
      <w:r w:rsidR="00D91038" w:rsidRPr="00933249">
        <w:t xml:space="preserve">footpaths; </w:t>
      </w:r>
      <w:r w:rsidRPr="00933249">
        <w:t>pedestria</w:t>
      </w:r>
      <w:r w:rsidR="00D91038" w:rsidRPr="00933249">
        <w:t>n crossings; signage.</w:t>
      </w:r>
    </w:p>
    <w:p w:rsidR="00F17C57" w:rsidRPr="00F17C57" w:rsidRDefault="00F17C57" w:rsidP="00F17C57">
      <w:pPr>
        <w:pStyle w:val="Heading2"/>
      </w:pPr>
      <w:r w:rsidRPr="00F17C57">
        <w:t>It will construct the</w:t>
      </w:r>
      <w:r>
        <w:t xml:space="preserve"> improvements within the Hams Road reserve</w:t>
      </w:r>
      <w:r w:rsidRPr="00F17C57">
        <w:t xml:space="preserve"> prior to or at the time specified in the approved Road Network and Traffic Management Plan.  </w:t>
      </w:r>
    </w:p>
    <w:p w:rsidR="00270558" w:rsidRDefault="00270558" w:rsidP="009751B9">
      <w:pPr>
        <w:pStyle w:val="Heading2"/>
        <w:numPr>
          <w:ilvl w:val="0"/>
          <w:numId w:val="0"/>
        </w:numPr>
        <w:ind w:left="1584"/>
      </w:pPr>
    </w:p>
    <w:p w:rsidR="00D90003" w:rsidRPr="00933249" w:rsidRDefault="0091329F" w:rsidP="007D489A">
      <w:pPr>
        <w:pStyle w:val="Heading2"/>
      </w:pPr>
      <w:r w:rsidRPr="0091329F">
        <w:t xml:space="preserve">It is responsible for all approvals, maintenance periods, costs, fees and charges associated with the construction of the </w:t>
      </w:r>
      <w:r w:rsidR="007D489A" w:rsidRPr="00933249">
        <w:t>improvement</w:t>
      </w:r>
      <w:r>
        <w:t>s</w:t>
      </w:r>
      <w:r w:rsidR="007D489A" w:rsidRPr="00933249">
        <w:t xml:space="preserve"> </w:t>
      </w:r>
      <w:r>
        <w:t>to</w:t>
      </w:r>
      <w:r w:rsidRPr="00933249">
        <w:t xml:space="preserve"> </w:t>
      </w:r>
      <w:r w:rsidR="00B757E3" w:rsidRPr="00933249">
        <w:t xml:space="preserve">the </w:t>
      </w:r>
      <w:r w:rsidR="007D489A" w:rsidRPr="00933249">
        <w:t xml:space="preserve">Hams </w:t>
      </w:r>
      <w:r w:rsidR="00B757E3" w:rsidRPr="00933249">
        <w:t>Road reserve.</w:t>
      </w:r>
      <w:r w:rsidR="00D90003" w:rsidRPr="00933249">
        <w:tab/>
      </w:r>
    </w:p>
    <w:p w:rsidR="00DB5157" w:rsidRPr="00933249" w:rsidRDefault="00DB5157" w:rsidP="00DB5157">
      <w:pPr>
        <w:pStyle w:val="Heading2"/>
        <w:keepNext/>
        <w:numPr>
          <w:ilvl w:val="0"/>
          <w:numId w:val="0"/>
        </w:numPr>
        <w:jc w:val="left"/>
        <w:rPr>
          <w:u w:val="single"/>
        </w:rPr>
      </w:pPr>
      <w:r w:rsidRPr="00933249">
        <w:rPr>
          <w:u w:val="single"/>
        </w:rPr>
        <w:t xml:space="preserve">Upgrades to </w:t>
      </w:r>
      <w:r w:rsidR="00D90003" w:rsidRPr="00933249">
        <w:rPr>
          <w:u w:val="single"/>
        </w:rPr>
        <w:t>Ghazeepore Road</w:t>
      </w:r>
    </w:p>
    <w:p w:rsidR="00DB5157" w:rsidRPr="00933249" w:rsidRDefault="00DB5157" w:rsidP="00DB5157">
      <w:pPr>
        <w:pStyle w:val="Heading1"/>
      </w:pPr>
      <w:r w:rsidRPr="00933249">
        <w:t>The Owner covenants, acknowledges and agrees with the Responsible Authority that</w:t>
      </w:r>
      <w:r w:rsidR="00C52955">
        <w:t xml:space="preserve"> unless otherwise agreed in writing</w:t>
      </w:r>
      <w:r w:rsidRPr="00933249">
        <w:t>:</w:t>
      </w:r>
    </w:p>
    <w:p w:rsidR="00DB5157" w:rsidRPr="00933249" w:rsidRDefault="00DB5157" w:rsidP="00DB5157">
      <w:pPr>
        <w:pStyle w:val="Heading2"/>
      </w:pPr>
      <w:r w:rsidRPr="00933249">
        <w:t xml:space="preserve">It will </w:t>
      </w:r>
      <w:r w:rsidR="00D90003" w:rsidRPr="00933249">
        <w:t>undertake</w:t>
      </w:r>
      <w:r w:rsidRPr="00933249">
        <w:t xml:space="preserve"> improvements within the </w:t>
      </w:r>
      <w:r w:rsidR="00D90003" w:rsidRPr="00933249">
        <w:t>Ghazeepore Road</w:t>
      </w:r>
      <w:r w:rsidRPr="00933249">
        <w:t xml:space="preserve"> reserve to the standard specified in the approved </w:t>
      </w:r>
      <w:r w:rsidR="008B0D46">
        <w:t xml:space="preserve">Road Network and </w:t>
      </w:r>
      <w:r w:rsidRPr="00933249">
        <w:t>Traffic Management Plan, Urban Design Masterplan, Landscape Masterplan and in detailed plans approved pursuant to planning permits issued for development of the Land to the satisfaction of the Responsible Authority;</w:t>
      </w:r>
    </w:p>
    <w:p w:rsidR="00BB4D44" w:rsidRDefault="00BB4D44" w:rsidP="00DB5157">
      <w:pPr>
        <w:pStyle w:val="Heading2"/>
      </w:pPr>
      <w:r w:rsidRPr="00933249">
        <w:t xml:space="preserve">Improvements must include, but not be limited to: </w:t>
      </w:r>
      <w:proofErr w:type="spellStart"/>
      <w:r w:rsidRPr="00933249">
        <w:t>roadworks</w:t>
      </w:r>
      <w:proofErr w:type="spellEnd"/>
      <w:r w:rsidRPr="00933249">
        <w:t xml:space="preserve"> such as asphalting, line marki</w:t>
      </w:r>
      <w:r w:rsidR="00D91038" w:rsidRPr="00933249">
        <w:t>ng including bicycle lanes, kerb</w:t>
      </w:r>
      <w:r w:rsidRPr="00933249">
        <w:t xml:space="preserve"> and channel and </w:t>
      </w:r>
      <w:r w:rsidR="008B0D46">
        <w:t xml:space="preserve">connection to the </w:t>
      </w:r>
      <w:r w:rsidRPr="00933249">
        <w:t xml:space="preserve">intersection </w:t>
      </w:r>
      <w:r w:rsidR="008B0D46">
        <w:t>at</w:t>
      </w:r>
      <w:r w:rsidRPr="00933249">
        <w:t xml:space="preserve"> Hams Road; drainage works; pedestria</w:t>
      </w:r>
      <w:r w:rsidR="00B757E3" w:rsidRPr="00933249">
        <w:t xml:space="preserve">n crossings; </w:t>
      </w:r>
      <w:r w:rsidR="00D91038" w:rsidRPr="00933249">
        <w:t>footpaths; signage.</w:t>
      </w:r>
    </w:p>
    <w:p w:rsidR="00270558" w:rsidRDefault="00270558" w:rsidP="009751B9">
      <w:pPr>
        <w:pStyle w:val="HeadIndent2"/>
      </w:pPr>
    </w:p>
    <w:p w:rsidR="00270558" w:rsidRDefault="00F17C57" w:rsidP="009751B9">
      <w:pPr>
        <w:pStyle w:val="Heading2"/>
      </w:pPr>
      <w:r>
        <w:t>It will construct the</w:t>
      </w:r>
      <w:r w:rsidRPr="00F17C57">
        <w:t xml:space="preserve"> improvements within the Ghazeepore Road reserve</w:t>
      </w:r>
      <w:r>
        <w:t xml:space="preserve"> prior to or at the time specified in the approved </w:t>
      </w:r>
      <w:r w:rsidR="001406C0" w:rsidRPr="001406C0">
        <w:t xml:space="preserve">Road Network and Traffic Management Plan, Urban Design Masterplan, </w:t>
      </w:r>
      <w:r w:rsidR="00083B82">
        <w:t xml:space="preserve">and </w:t>
      </w:r>
      <w:r w:rsidR="001406C0" w:rsidRPr="001406C0">
        <w:t>Landscape Masterplan</w:t>
      </w:r>
      <w:r>
        <w:t xml:space="preserve">.  </w:t>
      </w:r>
    </w:p>
    <w:p w:rsidR="00270558" w:rsidRDefault="00270558" w:rsidP="009751B9">
      <w:pPr>
        <w:pStyle w:val="HeadIndent2"/>
      </w:pPr>
    </w:p>
    <w:p w:rsidR="00BB4D44" w:rsidRPr="00933249" w:rsidRDefault="00E75E8D" w:rsidP="007D489A">
      <w:pPr>
        <w:pStyle w:val="Heading2"/>
      </w:pPr>
      <w:r w:rsidRPr="00E75E8D">
        <w:t xml:space="preserve">It is responsible for all approvals, maintenance periods, costs, fees and charges associated with the construction of the </w:t>
      </w:r>
      <w:r w:rsidR="007D489A" w:rsidRPr="00933249">
        <w:t>improvement</w:t>
      </w:r>
      <w:r>
        <w:t>s</w:t>
      </w:r>
      <w:r w:rsidR="007D489A" w:rsidRPr="00933249">
        <w:t xml:space="preserve"> </w:t>
      </w:r>
      <w:r>
        <w:t>to</w:t>
      </w:r>
      <w:r w:rsidRPr="00933249">
        <w:t xml:space="preserve"> </w:t>
      </w:r>
      <w:r w:rsidR="007D489A" w:rsidRPr="00933249">
        <w:t>the Ghazeepore Road reserve.</w:t>
      </w:r>
    </w:p>
    <w:p w:rsidR="00DB5157" w:rsidRPr="00933249" w:rsidRDefault="00D60B67" w:rsidP="00DB5157">
      <w:pPr>
        <w:pStyle w:val="Heading2"/>
        <w:keepNext/>
        <w:numPr>
          <w:ilvl w:val="0"/>
          <w:numId w:val="0"/>
        </w:numPr>
        <w:tabs>
          <w:tab w:val="num" w:pos="851"/>
        </w:tabs>
        <w:jc w:val="left"/>
        <w:rPr>
          <w:u w:val="single"/>
        </w:rPr>
      </w:pPr>
      <w:r w:rsidRPr="00933249">
        <w:rPr>
          <w:u w:val="single"/>
        </w:rPr>
        <w:t>External</w:t>
      </w:r>
      <w:r w:rsidR="00BB4D44" w:rsidRPr="00933249">
        <w:rPr>
          <w:u w:val="single"/>
        </w:rPr>
        <w:t xml:space="preserve"> drainage works</w:t>
      </w:r>
    </w:p>
    <w:p w:rsidR="00DB5157" w:rsidRPr="00933249" w:rsidRDefault="00DB5157" w:rsidP="00DB5157">
      <w:pPr>
        <w:pStyle w:val="Heading1"/>
      </w:pPr>
      <w:r w:rsidRPr="00933249">
        <w:t>The Owner covenants, acknowledges and agrees with the Responsible Authority that</w:t>
      </w:r>
      <w:r w:rsidR="00C52955">
        <w:t xml:space="preserve"> unless otherwise agreed in writing</w:t>
      </w:r>
      <w:r w:rsidRPr="00933249">
        <w:t>:</w:t>
      </w:r>
    </w:p>
    <w:p w:rsidR="00BB4D44" w:rsidRPr="00933249" w:rsidRDefault="00DB5157" w:rsidP="00DB5157">
      <w:pPr>
        <w:pStyle w:val="Heading2"/>
      </w:pPr>
      <w:r w:rsidRPr="00933249">
        <w:t xml:space="preserve">It will </w:t>
      </w:r>
      <w:r w:rsidR="00BB4D44" w:rsidRPr="00933249">
        <w:t xml:space="preserve">be responsible for the all </w:t>
      </w:r>
      <w:r w:rsidR="00C52955">
        <w:t>External Drainage Works</w:t>
      </w:r>
      <w:r w:rsidR="00C52955" w:rsidRPr="00933249">
        <w:t xml:space="preserve"> </w:t>
      </w:r>
      <w:r w:rsidR="00BB4D44" w:rsidRPr="00933249">
        <w:t>within the VicRoads reserve (Geelong Ring</w:t>
      </w:r>
      <w:r w:rsidR="008B0D46">
        <w:t xml:space="preserve"> Road</w:t>
      </w:r>
      <w:r w:rsidR="00BB4D44" w:rsidRPr="00933249">
        <w:t xml:space="preserve"> Section 4B) to connect and channel the</w:t>
      </w:r>
      <w:r w:rsidR="00B757E3" w:rsidRPr="00933249">
        <w:t xml:space="preserve"> existing drainage network extending from</w:t>
      </w:r>
      <w:r w:rsidR="00BB4D44" w:rsidRPr="00933249">
        <w:t xml:space="preserve"> the Ring Road</w:t>
      </w:r>
      <w:r w:rsidR="00531636" w:rsidRPr="00933249">
        <w:t>/shared path</w:t>
      </w:r>
      <w:r w:rsidR="00BB4D44" w:rsidRPr="00933249">
        <w:t xml:space="preserve">, </w:t>
      </w:r>
      <w:r w:rsidR="00531636" w:rsidRPr="00933249">
        <w:t>to the open waterway reserve in</w:t>
      </w:r>
      <w:r w:rsidR="00BB4D44" w:rsidRPr="00933249">
        <w:t xml:space="preserve"> the Land</w:t>
      </w:r>
      <w:r w:rsidR="00B757E3" w:rsidRPr="00933249">
        <w:t>, to the standard specified in the approved Flooding, Stormwater and Drainage Masterplan and in detailed plans approved pursuant to planning permits issued for development of the Land to the satisfaction of the Responsible Authority;</w:t>
      </w:r>
    </w:p>
    <w:p w:rsidR="00870126" w:rsidRDefault="00B757E3" w:rsidP="00870126">
      <w:pPr>
        <w:pStyle w:val="Heading2"/>
      </w:pPr>
      <w:r w:rsidRPr="00933249">
        <w:t xml:space="preserve">It will be responsible for </w:t>
      </w:r>
      <w:r w:rsidR="00C52955">
        <w:t>External Drainage Works</w:t>
      </w:r>
      <w:r w:rsidR="008B0D46">
        <w:t>, including but not</w:t>
      </w:r>
      <w:r w:rsidR="00C431BD">
        <w:t xml:space="preserve"> be</w:t>
      </w:r>
      <w:r w:rsidR="008B0D46">
        <w:t xml:space="preserve"> li</w:t>
      </w:r>
      <w:r w:rsidR="00C431BD">
        <w:t>mited to</w:t>
      </w:r>
      <w:r w:rsidR="00CC0FAF">
        <w:t>:</w:t>
      </w:r>
      <w:r w:rsidR="00C431BD">
        <w:t xml:space="preserve"> cleaning and upgrading, where necessary</w:t>
      </w:r>
      <w:r w:rsidR="00CC0FAF">
        <w:t>,</w:t>
      </w:r>
      <w:r w:rsidR="00060657" w:rsidRPr="00933249">
        <w:t xml:space="preserve"> to the Ghazeepore Road culvert and </w:t>
      </w:r>
      <w:r w:rsidRPr="00933249">
        <w:t>Geelong-Warrnambool railway culvert to the standard specified in the approved Flooding, Stormwater and Drainage Masterplan and in detailed plans approved pursuant to planning permits issued for development of the Land to the satisfaction of the Responsible Authority;</w:t>
      </w:r>
    </w:p>
    <w:p w:rsidR="00270558" w:rsidRDefault="00270558" w:rsidP="009751B9">
      <w:pPr>
        <w:pStyle w:val="HeadIndent2"/>
      </w:pPr>
    </w:p>
    <w:p w:rsidR="00C52955" w:rsidRPr="00802ABD" w:rsidRDefault="00C52955" w:rsidP="00C52955">
      <w:pPr>
        <w:pStyle w:val="Heading2"/>
      </w:pPr>
      <w:r>
        <w:t>It will construct the</w:t>
      </w:r>
      <w:r w:rsidRPr="00F17C57">
        <w:t xml:space="preserve"> </w:t>
      </w:r>
      <w:r>
        <w:t>External Drainage Works</w:t>
      </w:r>
      <w:r w:rsidRPr="00F17C57">
        <w:t xml:space="preserve"> </w:t>
      </w:r>
      <w:r>
        <w:t xml:space="preserve">prior to or at the time specified in the approved </w:t>
      </w:r>
      <w:r w:rsidRPr="00C52955">
        <w:t>Flooding, Stormwater and Drainage Masterplan</w:t>
      </w:r>
      <w:r>
        <w:t xml:space="preserve">.  </w:t>
      </w:r>
    </w:p>
    <w:p w:rsidR="00270558" w:rsidRDefault="00270558" w:rsidP="009751B9">
      <w:pPr>
        <w:pStyle w:val="HeadIndent2"/>
      </w:pPr>
    </w:p>
    <w:p w:rsidR="007D489A" w:rsidRPr="00933249" w:rsidRDefault="00BE41D1" w:rsidP="00BE41D1">
      <w:pPr>
        <w:pStyle w:val="Heading2"/>
      </w:pPr>
      <w:r w:rsidRPr="00BE41D1">
        <w:t xml:space="preserve">It is responsible for all approvals, maintenance periods, costs, fees and charges associated with the construction of </w:t>
      </w:r>
      <w:r w:rsidR="007D489A" w:rsidRPr="00933249">
        <w:t xml:space="preserve">the </w:t>
      </w:r>
      <w:r>
        <w:t>External Drainage Works</w:t>
      </w:r>
      <w:r w:rsidR="007D489A" w:rsidRPr="00933249">
        <w:t>.</w:t>
      </w:r>
    </w:p>
    <w:p w:rsidR="007D1FF7" w:rsidRPr="00933249" w:rsidRDefault="007D1FF7" w:rsidP="007D1FF7">
      <w:pPr>
        <w:pStyle w:val="HeadIndent2"/>
      </w:pPr>
    </w:p>
    <w:p w:rsidR="007D1FF7" w:rsidRPr="00933249" w:rsidRDefault="007D1FF7" w:rsidP="007D1FF7">
      <w:pPr>
        <w:pStyle w:val="HeadIndent2"/>
        <w:ind w:left="0"/>
        <w:rPr>
          <w:u w:val="single"/>
        </w:rPr>
      </w:pPr>
      <w:r w:rsidRPr="00933249">
        <w:rPr>
          <w:u w:val="single"/>
        </w:rPr>
        <w:t xml:space="preserve">Community Infrastructure </w:t>
      </w:r>
      <w:r w:rsidR="0045660B">
        <w:rPr>
          <w:u w:val="single"/>
        </w:rPr>
        <w:t>Contribution</w:t>
      </w:r>
    </w:p>
    <w:p w:rsidR="00DF3B74" w:rsidRPr="00933249" w:rsidRDefault="00DF3B74" w:rsidP="00DF3B74">
      <w:pPr>
        <w:pStyle w:val="Heading1"/>
      </w:pPr>
      <w:r w:rsidRPr="00933249">
        <w:t>The Owner covenants, acknowledges and agrees with the Responsible Authority that:</w:t>
      </w:r>
    </w:p>
    <w:p w:rsidR="0045660B" w:rsidRDefault="0045660B" w:rsidP="0045660B">
      <w:pPr>
        <w:pStyle w:val="Heading2"/>
      </w:pPr>
      <w:r>
        <w:t>Prior to the issue of a Statement of Compliance under the Subdivision Act 1988 in respect of any subdivision or stage of subdivision</w:t>
      </w:r>
      <w:r w:rsidR="00D0539E">
        <w:t xml:space="preserve"> which would create a Residential Lot</w:t>
      </w:r>
      <w:r>
        <w:t xml:space="preserve">, it will pay the Responsible Authority the community infrastructure contribution and will be determined by multiplying the </w:t>
      </w:r>
      <w:r w:rsidR="00E75E8D">
        <w:t xml:space="preserve">number of Residential Lots </w:t>
      </w:r>
      <w:r w:rsidR="00367BF5">
        <w:t xml:space="preserve">to be </w:t>
      </w:r>
      <w:r>
        <w:t>created by the plan of subdivision by the contribution amount per lot, being $900 per lot as at the date of this Agreement;</w:t>
      </w:r>
    </w:p>
    <w:p w:rsidR="00DF3B74" w:rsidRPr="00933249" w:rsidRDefault="00DF3B74" w:rsidP="00C431BD">
      <w:pPr>
        <w:pStyle w:val="Heading2"/>
      </w:pPr>
      <w:r w:rsidRPr="00933249">
        <w:t>The community infrastructure contribut</w:t>
      </w:r>
      <w:r w:rsidR="00C431BD">
        <w:t>ion referred to in this clause 7</w:t>
      </w:r>
      <w:r w:rsidRPr="00933249">
        <w:t xml:space="preserve"> will be adjusted on 1 July each year by reference to the Adjustment Index.</w:t>
      </w:r>
    </w:p>
    <w:p w:rsidR="001406C0" w:rsidRDefault="001406C0" w:rsidP="00DF3B74">
      <w:pPr>
        <w:pStyle w:val="HeadIndent1"/>
        <w:ind w:left="0"/>
        <w:rPr>
          <w:u w:val="single"/>
        </w:rPr>
      </w:pPr>
    </w:p>
    <w:p w:rsidR="00DF3B74" w:rsidRPr="00230768" w:rsidRDefault="00DF3B74" w:rsidP="00E0798E">
      <w:pPr>
        <w:pStyle w:val="HeadIndent1"/>
        <w:keepNext/>
        <w:ind w:left="0"/>
        <w:rPr>
          <w:u w:val="single"/>
        </w:rPr>
      </w:pPr>
      <w:r w:rsidRPr="00230768">
        <w:rPr>
          <w:u w:val="single"/>
        </w:rPr>
        <w:t>Public Open Space</w:t>
      </w:r>
      <w:r w:rsidR="00CC0FAF">
        <w:rPr>
          <w:u w:val="single"/>
        </w:rPr>
        <w:t xml:space="preserve"> Contribution</w:t>
      </w:r>
    </w:p>
    <w:p w:rsidR="00DF3B74" w:rsidRPr="00933249" w:rsidRDefault="00DF3B74" w:rsidP="00DB5157">
      <w:pPr>
        <w:pStyle w:val="Heading1"/>
      </w:pPr>
      <w:r w:rsidRPr="00933249">
        <w:t>The Owner covenants, acknowledges and agrees with the Responsible Authority that:</w:t>
      </w:r>
    </w:p>
    <w:p w:rsidR="00762B31" w:rsidRPr="00933249" w:rsidRDefault="0045660B" w:rsidP="00762B31">
      <w:pPr>
        <w:pStyle w:val="Heading2"/>
      </w:pPr>
      <w:r>
        <w:t xml:space="preserve">Prior to the issue of </w:t>
      </w:r>
      <w:r w:rsidR="00CC0FAF">
        <w:t xml:space="preserve">a Statement of Compliance </w:t>
      </w:r>
      <w:r>
        <w:t>for each stage of subdivision on the Land, i</w:t>
      </w:r>
      <w:r w:rsidR="004301C9" w:rsidRPr="00933249">
        <w:t xml:space="preserve">t will make a contribution to </w:t>
      </w:r>
      <w:r>
        <w:t>the Responsible Authority</w:t>
      </w:r>
      <w:r w:rsidR="004301C9" w:rsidRPr="00933249">
        <w:t xml:space="preserve"> for public open space of 10% of </w:t>
      </w:r>
      <w:r>
        <w:t>all developable residential land in the subdivision,</w:t>
      </w:r>
      <w:r w:rsidR="004301C9" w:rsidRPr="00933249">
        <w:t xml:space="preserve"> </w:t>
      </w:r>
      <w:r w:rsidR="0068408F" w:rsidRPr="00933249">
        <w:t>or 10% of the site value of the Land</w:t>
      </w:r>
      <w:r w:rsidR="001C7397">
        <w:t xml:space="preserve"> in the subdivision</w:t>
      </w:r>
      <w:r w:rsidR="0068408F" w:rsidRPr="00933249">
        <w:t>, or a combination of both</w:t>
      </w:r>
      <w:r w:rsidR="001C7397">
        <w:t xml:space="preserve"> which is to the Responsible Authority’s </w:t>
      </w:r>
      <w:r w:rsidR="005311DB">
        <w:t>satisfaction</w:t>
      </w:r>
      <w:r w:rsidR="0068408F" w:rsidRPr="00933249">
        <w:t>.</w:t>
      </w:r>
    </w:p>
    <w:p w:rsidR="00DF3B74" w:rsidRPr="00933249" w:rsidRDefault="00762B31" w:rsidP="00DF3B74">
      <w:pPr>
        <w:pStyle w:val="Heading2"/>
      </w:pPr>
      <w:r w:rsidRPr="00933249">
        <w:t xml:space="preserve">The </w:t>
      </w:r>
      <w:r w:rsidR="0045660B">
        <w:t xml:space="preserve">public open space </w:t>
      </w:r>
      <w:r w:rsidRPr="00933249">
        <w:t xml:space="preserve">contribution of 10% of </w:t>
      </w:r>
      <w:r w:rsidR="0045660B">
        <w:t>d</w:t>
      </w:r>
      <w:r w:rsidRPr="00933249">
        <w:t xml:space="preserve">evelopable </w:t>
      </w:r>
      <w:r w:rsidR="0045660B">
        <w:t>residential land</w:t>
      </w:r>
      <w:r w:rsidRPr="00933249">
        <w:t xml:space="preserve"> will only be credited where:</w:t>
      </w:r>
    </w:p>
    <w:p w:rsidR="00762B31" w:rsidRPr="00933249" w:rsidRDefault="00762B31" w:rsidP="00762B31">
      <w:pPr>
        <w:pStyle w:val="Heading3"/>
      </w:pPr>
      <w:r w:rsidRPr="00933249">
        <w:t>The land is</w:t>
      </w:r>
      <w:r w:rsidR="005311DB">
        <w:t xml:space="preserve"> to be</w:t>
      </w:r>
      <w:r w:rsidRPr="00933249">
        <w:t xml:space="preserve"> vested or transferred to the Responsible Authority</w:t>
      </w:r>
      <w:r w:rsidR="005311DB">
        <w:t xml:space="preserve"> via the relevant plan of subdivision</w:t>
      </w:r>
      <w:r w:rsidRPr="00933249">
        <w:t>;</w:t>
      </w:r>
    </w:p>
    <w:p w:rsidR="00762B31" w:rsidRPr="00933249" w:rsidRDefault="00762B31" w:rsidP="00762B31">
      <w:pPr>
        <w:pStyle w:val="Heading3"/>
      </w:pPr>
      <w:r w:rsidRPr="00933249">
        <w:t xml:space="preserve">It is identified as open space in the </w:t>
      </w:r>
      <w:r w:rsidR="0045660B">
        <w:t xml:space="preserve">approved </w:t>
      </w:r>
      <w:r w:rsidRPr="00933249">
        <w:t>Open Space and Landscape Masterplan or any other component of the Development Plan.</w:t>
      </w:r>
    </w:p>
    <w:p w:rsidR="00762B31" w:rsidRDefault="00762B31" w:rsidP="00762B31">
      <w:pPr>
        <w:pStyle w:val="Heading3"/>
      </w:pPr>
      <w:r w:rsidRPr="00933249">
        <w:t>The land is not Encumbered Land.</w:t>
      </w:r>
    </w:p>
    <w:p w:rsidR="00270558" w:rsidRDefault="00270558" w:rsidP="009751B9"/>
    <w:p w:rsidR="00364827" w:rsidRDefault="005311DB">
      <w:pPr>
        <w:pStyle w:val="Heading3"/>
      </w:pPr>
      <w:r>
        <w:t>The land is otherwise free from any contamination, and sown to grass or such other finish as is approved by the Responsible Authority.</w:t>
      </w:r>
    </w:p>
    <w:p w:rsidR="00DB5157" w:rsidRPr="004838AE" w:rsidRDefault="00933249" w:rsidP="00933249">
      <w:pPr>
        <w:pStyle w:val="Heading2"/>
      </w:pPr>
      <w:r>
        <w:t>Each area of public open space identified as public open space in the approved Development Plan must be shown as a reserve on the plan of subdivision for the relevant part of the Land so as to vest in the Responsible Authority upon the registration of the plan of subdivision.</w:t>
      </w:r>
    </w:p>
    <w:p w:rsidR="00B17B72" w:rsidRPr="00933249" w:rsidRDefault="00CC0FAF" w:rsidP="00B17B72">
      <w:pPr>
        <w:pStyle w:val="Heading2"/>
        <w:keepNext/>
        <w:numPr>
          <w:ilvl w:val="0"/>
          <w:numId w:val="0"/>
        </w:numPr>
        <w:tabs>
          <w:tab w:val="num" w:pos="851"/>
        </w:tabs>
        <w:jc w:val="left"/>
        <w:rPr>
          <w:u w:val="single"/>
        </w:rPr>
      </w:pPr>
      <w:r>
        <w:rPr>
          <w:u w:val="single"/>
        </w:rPr>
        <w:t>Public Open Space Improvements</w:t>
      </w:r>
    </w:p>
    <w:p w:rsidR="00B17B72" w:rsidRPr="00933249" w:rsidRDefault="00B17B72" w:rsidP="00B17B72">
      <w:pPr>
        <w:pStyle w:val="Heading1"/>
      </w:pPr>
      <w:r w:rsidRPr="00933249">
        <w:t>The Owner covenants, acknowledges and agrees with the Responsible Authority that:</w:t>
      </w:r>
    </w:p>
    <w:p w:rsidR="00CC0FAF" w:rsidRDefault="00400C05" w:rsidP="00B17B72">
      <w:pPr>
        <w:pStyle w:val="Heading2"/>
      </w:pPr>
      <w:r>
        <w:t>Prior to vesting</w:t>
      </w:r>
      <w:r w:rsidR="00367BF5">
        <w:t xml:space="preserve"> public open space</w:t>
      </w:r>
      <w:r>
        <w:t xml:space="preserve"> in Council </w:t>
      </w:r>
      <w:r w:rsidR="00CC0FAF">
        <w:t xml:space="preserve">will undertake improvements within public open space areas to the standard specified in the Open Space and Landscape Masterplan, Urban Design Masterplan and in detailed plans approved pursuant to planning permits issued for development of the Land to the satisfaction of the Responsible Authority.  </w:t>
      </w:r>
    </w:p>
    <w:p w:rsidR="00CC0FAF" w:rsidRDefault="00CC0FAF" w:rsidP="00DB5157">
      <w:pPr>
        <w:pStyle w:val="Heading2"/>
      </w:pPr>
      <w:r>
        <w:t>It will be responsible for improvement</w:t>
      </w:r>
      <w:r w:rsidR="00866F7D">
        <w:t>s</w:t>
      </w:r>
      <w:r>
        <w:t xml:space="preserve">, including but not be limited to: landscaping, fencing, seating, </w:t>
      </w:r>
      <w:proofErr w:type="spellStart"/>
      <w:r>
        <w:t>wayfinding</w:t>
      </w:r>
      <w:proofErr w:type="spellEnd"/>
      <w:r>
        <w:t xml:space="preserve">/signage and the shared pathway to be constructed along the natural west-east waterway connecting to the existing road and shared path network. </w:t>
      </w:r>
    </w:p>
    <w:p w:rsidR="00B17B72" w:rsidRDefault="00B17B72" w:rsidP="00DB5157">
      <w:pPr>
        <w:pStyle w:val="Heading2"/>
      </w:pPr>
      <w:r w:rsidRPr="00933249">
        <w:t xml:space="preserve">It is responsible for all costs, fees and charges associated with the </w:t>
      </w:r>
      <w:r w:rsidR="00CC0FAF">
        <w:t>improvement</w:t>
      </w:r>
      <w:r w:rsidRPr="00933249">
        <w:t xml:space="preserve"> </w:t>
      </w:r>
      <w:r w:rsidR="00CC0FAF">
        <w:t>of the public open space areas</w:t>
      </w:r>
      <w:r w:rsidR="00083B82">
        <w:t>.</w:t>
      </w:r>
      <w:r w:rsidR="00400C05">
        <w:t xml:space="preserve"> </w:t>
      </w:r>
    </w:p>
    <w:p w:rsidR="00400C05" w:rsidRDefault="007A640E" w:rsidP="00DB5157">
      <w:pPr>
        <w:pStyle w:val="Heading9"/>
      </w:pPr>
      <w:r>
        <w:t>Costs associated with works and improvements external to Land</w:t>
      </w:r>
    </w:p>
    <w:p w:rsidR="00270558" w:rsidRDefault="007A640E" w:rsidP="009751B9">
      <w:pPr>
        <w:pStyle w:val="Heading1"/>
      </w:pPr>
      <w:r w:rsidRPr="006A3FD5">
        <w:t>The Owner agrees that:</w:t>
      </w:r>
    </w:p>
    <w:p w:rsidR="00270558" w:rsidRDefault="007A640E" w:rsidP="009751B9">
      <w:pPr>
        <w:pStyle w:val="Heading2"/>
      </w:pPr>
      <w:r w:rsidRPr="006A3FD5">
        <w:t xml:space="preserve">Where the </w:t>
      </w:r>
      <w:r w:rsidR="00FE325C" w:rsidRPr="006A3FD5">
        <w:t xml:space="preserve">timing in the approved Development Plan (including all plans which form part of </w:t>
      </w:r>
      <w:r w:rsidR="00FE325C" w:rsidRPr="003D0403">
        <w:t xml:space="preserve">the Development Plan) </w:t>
      </w:r>
      <w:r w:rsidRPr="003D0403">
        <w:t>trigger works e</w:t>
      </w:r>
      <w:r w:rsidR="00FE325C" w:rsidRPr="003D0403">
        <w:t xml:space="preserve">xternal to the Land </w:t>
      </w:r>
      <w:r w:rsidR="00B839EA">
        <w:t xml:space="preserve">identified </w:t>
      </w:r>
      <w:r w:rsidR="00FE325C" w:rsidRPr="003D0403">
        <w:t xml:space="preserve">under this </w:t>
      </w:r>
      <w:r w:rsidR="00FE325C" w:rsidRPr="00B839EA">
        <w:t>A</w:t>
      </w:r>
      <w:r w:rsidRPr="00B839EA">
        <w:t>greement</w:t>
      </w:r>
      <w:r w:rsidR="00FE325C" w:rsidRPr="00B839EA">
        <w:t xml:space="preserve">, it will undertake the triggered works prior to the issue of </w:t>
      </w:r>
      <w:r w:rsidR="006A3FD5">
        <w:t xml:space="preserve">any </w:t>
      </w:r>
      <w:r w:rsidR="00FE325C" w:rsidRPr="006A3FD5">
        <w:t>statement of compliance under the Subdivision Act 1988</w:t>
      </w:r>
      <w:r w:rsidR="006A3FD5">
        <w:t xml:space="preserve"> </w:t>
      </w:r>
      <w:r w:rsidR="007C6C26">
        <w:t xml:space="preserve">that would trigger the works or any further statement of compliance under the Subdivision Act 1988 </w:t>
      </w:r>
      <w:r w:rsidR="006A3FD5">
        <w:t xml:space="preserve">in respect of </w:t>
      </w:r>
      <w:r w:rsidR="00B839EA">
        <w:t xml:space="preserve">any part of </w:t>
      </w:r>
      <w:r w:rsidR="006A3FD5">
        <w:t>the Land.</w:t>
      </w:r>
    </w:p>
    <w:p w:rsidR="00270558" w:rsidRDefault="00270558" w:rsidP="009751B9">
      <w:pPr>
        <w:pStyle w:val="HeadIndent2"/>
      </w:pPr>
    </w:p>
    <w:p w:rsidR="00270558" w:rsidRDefault="006A3FD5" w:rsidP="009751B9">
      <w:pPr>
        <w:pStyle w:val="Heading2"/>
      </w:pPr>
      <w:r>
        <w:t>Clause 10.1 applies whether or not there is a</w:t>
      </w:r>
      <w:r w:rsidR="003D0403">
        <w:t xml:space="preserve"> planning</w:t>
      </w:r>
      <w:r>
        <w:t xml:space="preserve"> nexus between the works triggered under the Develo</w:t>
      </w:r>
      <w:r w:rsidR="003D0403">
        <w:t xml:space="preserve">pment Plan and </w:t>
      </w:r>
      <w:r w:rsidR="00427687">
        <w:t>any and all</w:t>
      </w:r>
      <w:r w:rsidR="003D0403">
        <w:t xml:space="preserve"> relevant subdivision</w:t>
      </w:r>
      <w:r w:rsidR="00427687">
        <w:t>s</w:t>
      </w:r>
      <w:r w:rsidR="003D0403">
        <w:t xml:space="preserve"> of the Land</w:t>
      </w:r>
      <w:r w:rsidR="00427687">
        <w:t xml:space="preserve"> for which a Statement of Compliance under the Subdivision Act 1988 is sought</w:t>
      </w:r>
      <w:r w:rsidR="003D0403">
        <w:t>.</w:t>
      </w:r>
    </w:p>
    <w:p w:rsidR="00270558" w:rsidRDefault="003D0403" w:rsidP="009751B9">
      <w:pPr>
        <w:pStyle w:val="Heading2"/>
      </w:pPr>
      <w:r>
        <w:t>Owner 1 and Owner</w:t>
      </w:r>
      <w:r w:rsidR="0042329C">
        <w:t xml:space="preserve"> 2 have entered into a separate deed of agreement concerning their respective interests in the Land and which deed provides for the </w:t>
      </w:r>
      <w:r w:rsidR="0042329C" w:rsidRPr="0042329C">
        <w:t>a</w:t>
      </w:r>
      <w:r w:rsidR="007A640E" w:rsidRPr="0042329C">
        <w:t>pportionment of payment for the external infrastructure items</w:t>
      </w:r>
      <w:r w:rsidR="0042329C">
        <w:t xml:space="preserve"> and works identified under this Agreement.</w:t>
      </w:r>
    </w:p>
    <w:p w:rsidR="00270558" w:rsidRDefault="00A30831" w:rsidP="009751B9">
      <w:pPr>
        <w:pStyle w:val="Heading2"/>
      </w:pPr>
      <w:r>
        <w:t>It</w:t>
      </w:r>
      <w:r w:rsidR="00C637B2">
        <w:t xml:space="preserve"> will not bring any proceeding under the Subdivision Act 1988 seeking to force the issue of a Statement of Compliance under that Act unless any triggered external works identified under this Agreement have been </w:t>
      </w:r>
      <w:r>
        <w:t xml:space="preserve">implemented to the satisfaction of the Responsible Authority.  </w:t>
      </w:r>
    </w:p>
    <w:p w:rsidR="00270558" w:rsidRDefault="00270558" w:rsidP="009751B9">
      <w:pPr>
        <w:pStyle w:val="HeadIndent2"/>
      </w:pPr>
    </w:p>
    <w:p w:rsidR="00270558" w:rsidRDefault="00A30831" w:rsidP="009751B9">
      <w:pPr>
        <w:pStyle w:val="Heading2"/>
      </w:pPr>
      <w:r>
        <w:t xml:space="preserve">The Responsible Authority has no responsibility for the cost of any works identified under the Agreement or for the apportionment of costs </w:t>
      </w:r>
      <w:r w:rsidR="008872AB">
        <w:t>of providing infrastructure under this Agreement as between the current owners or any future owners of the Land</w:t>
      </w:r>
      <w:r>
        <w:t xml:space="preserve">.  </w:t>
      </w:r>
    </w:p>
    <w:p w:rsidR="00270558" w:rsidRDefault="00270558" w:rsidP="009751B9">
      <w:pPr>
        <w:pStyle w:val="HeadIndent2"/>
      </w:pPr>
    </w:p>
    <w:p w:rsidR="00270558" w:rsidRDefault="00270558" w:rsidP="009751B9">
      <w:pPr>
        <w:pStyle w:val="HeadIndent2"/>
      </w:pPr>
    </w:p>
    <w:p w:rsidR="00DB5157" w:rsidRPr="00960D2A" w:rsidRDefault="00DB5157" w:rsidP="00DB5157">
      <w:pPr>
        <w:pStyle w:val="Heading9"/>
      </w:pPr>
      <w:r w:rsidRPr="00960D2A">
        <w:t>Further Covenants of the Owner</w:t>
      </w:r>
    </w:p>
    <w:p w:rsidR="00DB5157" w:rsidRPr="00960D2A" w:rsidRDefault="00DB5157" w:rsidP="00DB5157">
      <w:pPr>
        <w:pStyle w:val="Heading1"/>
      </w:pPr>
      <w:r w:rsidRPr="00960D2A">
        <w:t>The Owner warrants and covenants with the Responsible Authority that:</w:t>
      </w:r>
    </w:p>
    <w:p w:rsidR="00DB5157" w:rsidRPr="00960D2A" w:rsidRDefault="00DB5157" w:rsidP="00DB5157">
      <w:pPr>
        <w:pStyle w:val="Heading2"/>
      </w:pPr>
      <w:r w:rsidRPr="00960D2A">
        <w:t>It is the registered proprietor (or entitled to be so) of the Land;</w:t>
      </w:r>
    </w:p>
    <w:p w:rsidR="00DB5157" w:rsidRPr="00960D2A" w:rsidRDefault="00DB5157" w:rsidP="00DB5157">
      <w:pPr>
        <w:pStyle w:val="Heading2"/>
      </w:pPr>
      <w:r w:rsidRPr="00960D2A">
        <w:t>Save as shown in the certificate of title to the Land, there are no mortgages, liens, charges, easements or other encumbrances or any rights inherent in any person affecting the Land or any part of it and not disclosed by the usual searches;</w:t>
      </w:r>
    </w:p>
    <w:p w:rsidR="00DB5157" w:rsidRPr="00960D2A" w:rsidRDefault="00DB5157" w:rsidP="00DB5157">
      <w:pPr>
        <w:pStyle w:val="Heading2"/>
      </w:pPr>
      <w:r w:rsidRPr="00960D2A">
        <w:t xml:space="preserve">Neither the Land nor any part of it is subject to any right obtained by adverse possession or subject to any easements, rights or encumbrances mentioned in section 42 of the </w:t>
      </w:r>
      <w:r w:rsidRPr="00960D2A">
        <w:rPr>
          <w:i/>
        </w:rPr>
        <w:t xml:space="preserve">Transfer of Land Act </w:t>
      </w:r>
      <w:r w:rsidRPr="00960D2A">
        <w:t xml:space="preserve">1958 (Vic); </w:t>
      </w:r>
    </w:p>
    <w:p w:rsidR="00DB5157" w:rsidRPr="00960D2A" w:rsidRDefault="00DB5157" w:rsidP="00DB5157">
      <w:pPr>
        <w:pStyle w:val="Heading2"/>
      </w:pPr>
      <w:r w:rsidRPr="00960D2A">
        <w:t>It will not sell, transfer, dispose of, assign, mortgage or otherwise part with possession of the Land or any part of it without first providing to its successors a copy of this Agreement;</w:t>
      </w:r>
    </w:p>
    <w:p w:rsidR="00DB5157" w:rsidRPr="00960D2A" w:rsidRDefault="00DB5157" w:rsidP="00DB5157">
      <w:pPr>
        <w:pStyle w:val="Heading2"/>
        <w:rPr>
          <w:sz w:val="23"/>
        </w:rPr>
      </w:pPr>
      <w:r w:rsidRPr="00960D2A">
        <w:t>It will within 28 days of written demand pay to the Responsible Authority the Responsible Authority’s reasonable costs (including legal costs) and expenses of and incidental to the preparation, execution, an</w:t>
      </w:r>
      <w:r>
        <w:t>y</w:t>
      </w:r>
      <w:r w:rsidRPr="00960D2A">
        <w:t xml:space="preserve"> amendment and recording of this Agreement.  To the extent that such costs and expenses constitute legal professional costs, the Responsible Authority may at its absolute discretion have these costs assessed by the Law Institute of Victoria and the parties will be bound by the amount of that assessment, with any fee for obtaining such an assessment being borne equally by the Responsible Authority and the Owner.  Such costs payable by the Owner will include the costs and disbursements associated with the recording, cancellation or alteration of this Agreement in the Register; </w:t>
      </w:r>
    </w:p>
    <w:p w:rsidR="00DB5157" w:rsidRPr="00960D2A" w:rsidRDefault="00DB5157" w:rsidP="00DB5157">
      <w:pPr>
        <w:pStyle w:val="Heading2"/>
      </w:pPr>
      <w:r w:rsidRPr="00960D2A">
        <w:t>It will do all that is necessary to enable the Responsible Authority to make application to the Registrar of Titles to record this Agreement in the Register in accordance with the Act, including the signing of any further agreement, acknowledgment or other document; and</w:t>
      </w:r>
    </w:p>
    <w:p w:rsidR="003749C7" w:rsidRPr="00960D2A" w:rsidRDefault="003749C7" w:rsidP="003749C7">
      <w:pPr>
        <w:pStyle w:val="Heading2"/>
      </w:pPr>
      <w:r w:rsidRPr="00960D2A">
        <w:t>Until such time as this Agreement is recorded in the Register, the Owner must ensure that successors in title will give effect to this Agreement, and do all acts and sign all documents which will require those successors to give effect to this Agreement, including executing a deed agreeing to be bound by the terms of this Agreement.</w:t>
      </w:r>
    </w:p>
    <w:p w:rsidR="00DB5157" w:rsidRPr="00FC416E" w:rsidRDefault="00DB5157" w:rsidP="003749C7">
      <w:pPr>
        <w:pStyle w:val="HeadIndent2"/>
        <w:ind w:left="0"/>
      </w:pPr>
    </w:p>
    <w:p w:rsidR="00DB5157" w:rsidRPr="00284D4F" w:rsidRDefault="00DB5157" w:rsidP="00DB5157">
      <w:pPr>
        <w:pStyle w:val="Heading1"/>
        <w:numPr>
          <w:ilvl w:val="0"/>
          <w:numId w:val="0"/>
        </w:numPr>
        <w:ind w:left="720" w:hanging="720"/>
        <w:rPr>
          <w:b/>
        </w:rPr>
      </w:pPr>
      <w:r w:rsidRPr="00284D4F">
        <w:rPr>
          <w:b/>
        </w:rPr>
        <w:t xml:space="preserve">Obligations of the Responsible Authority  </w:t>
      </w:r>
    </w:p>
    <w:p w:rsidR="00426504" w:rsidRDefault="00426504" w:rsidP="00DB5157">
      <w:pPr>
        <w:pStyle w:val="Heading1"/>
      </w:pPr>
      <w:r>
        <w:t>The Responsible Authority agrees that:</w:t>
      </w:r>
    </w:p>
    <w:p w:rsidR="00DB5157" w:rsidRDefault="00426504" w:rsidP="00426504">
      <w:pPr>
        <w:pStyle w:val="Heading2"/>
      </w:pPr>
      <w:r>
        <w:t xml:space="preserve">The Community Infrastructure Contribution collected will be applied at its sole discretion but towards </w:t>
      </w:r>
      <w:r w:rsidR="00083B82">
        <w:t xml:space="preserve">community </w:t>
      </w:r>
      <w:r w:rsidR="00AD475B">
        <w:t xml:space="preserve">infrastructure projects </w:t>
      </w:r>
      <w:r>
        <w:t>that will provide community benefits in the Waurn Ponds/Grovedale/Armstrong Creek West Precinct areas unless otherwise agreed in writing between the Responsible Authority and the Owner.</w:t>
      </w:r>
    </w:p>
    <w:p w:rsidR="00DB5157" w:rsidRPr="00960D2A" w:rsidRDefault="00DB5157" w:rsidP="00DB5157">
      <w:pPr>
        <w:pStyle w:val="Heading9"/>
      </w:pPr>
      <w:r w:rsidRPr="00960D2A">
        <w:t>Further assurance</w:t>
      </w:r>
    </w:p>
    <w:p w:rsidR="00DE300E" w:rsidRDefault="00DB5157" w:rsidP="00DE300E">
      <w:pPr>
        <w:pStyle w:val="Heading1"/>
      </w:pPr>
      <w:r w:rsidRPr="00960D2A">
        <w:t>The parties to this Agreement will do all things necessary (including signing any further agreement, acknowledgement or document) to give full effect to the terms of this Agreement and to enable this Agreement to be recorded in the Register in accordance with the Act.</w:t>
      </w:r>
      <w:r w:rsidR="007D489A">
        <w:t xml:space="preserve"> </w:t>
      </w:r>
    </w:p>
    <w:p w:rsidR="00DB5157" w:rsidRPr="00960D2A" w:rsidRDefault="00DB5157" w:rsidP="00DB5157">
      <w:pPr>
        <w:pStyle w:val="Heading9"/>
      </w:pPr>
      <w:r w:rsidRPr="00960D2A">
        <w:t>Amendment</w:t>
      </w:r>
    </w:p>
    <w:p w:rsidR="00DB5157" w:rsidRPr="00960D2A" w:rsidRDefault="00DB5157" w:rsidP="00DB5157">
      <w:pPr>
        <w:pStyle w:val="Heading1"/>
      </w:pPr>
      <w:r w:rsidRPr="00960D2A">
        <w:t xml:space="preserve">This Agreement may be amended only in accordance with the requirements of the Act.  </w:t>
      </w:r>
    </w:p>
    <w:p w:rsidR="00DB5157" w:rsidRPr="00960D2A" w:rsidRDefault="00DB5157" w:rsidP="00DB5157">
      <w:pPr>
        <w:pStyle w:val="Heading9"/>
      </w:pPr>
      <w:r w:rsidRPr="00960D2A">
        <w:t>No waiver</w:t>
      </w:r>
    </w:p>
    <w:p w:rsidR="00DB5157" w:rsidRPr="00960D2A" w:rsidRDefault="00DB5157" w:rsidP="00DB5157">
      <w:pPr>
        <w:pStyle w:val="Heading1"/>
      </w:pPr>
      <w:r w:rsidRPr="00960D2A">
        <w:t xml:space="preserve">No waiver by any party of any default in the strict and literal performance of or compliance with any provision, condition or requirement in this Agreement will be deemed to be a waiver of strict and literal performance of and compliance with any other provision, condition or requirement of this Agreement nor to be a waiver of or in any way release any party from compliance with any provision, condition or requirement in the future nor will any delay or omission of any party to exercise any right under this Agreement in any manner impair the exercise of such right accruing to it thereafter. </w:t>
      </w:r>
    </w:p>
    <w:p w:rsidR="00DB5157" w:rsidRPr="00960D2A" w:rsidRDefault="00DB5157" w:rsidP="00DB5157">
      <w:pPr>
        <w:pStyle w:val="Heading9"/>
      </w:pPr>
      <w:r w:rsidRPr="00960D2A">
        <w:t>No Fettering of Powers of Responsible Authority</w:t>
      </w:r>
    </w:p>
    <w:p w:rsidR="00E67E0B" w:rsidRDefault="00DB5157" w:rsidP="00DB5157">
      <w:pPr>
        <w:pStyle w:val="Heading1"/>
      </w:pPr>
      <w:r w:rsidRPr="00960D2A">
        <w:t xml:space="preserve">The parties acknowledge and agree that this Agreement does not fetter or restrict the power or discretion of the Responsible Authority to make any decision or impose any requirements or conditions in connection with the granting of any planning approval or certification of any plans of subdivision applicable to the Land or relating to any use or development of the Land. </w:t>
      </w:r>
    </w:p>
    <w:p w:rsidR="00DB5157" w:rsidRPr="00960D2A" w:rsidRDefault="00DB5157" w:rsidP="00DB5157">
      <w:pPr>
        <w:pStyle w:val="Heading9"/>
      </w:pPr>
      <w:r w:rsidRPr="00960D2A">
        <w:t>Notices</w:t>
      </w:r>
    </w:p>
    <w:p w:rsidR="00DB5157" w:rsidRPr="00960D2A" w:rsidRDefault="00DB5157" w:rsidP="00DB5157">
      <w:pPr>
        <w:pStyle w:val="Heading1"/>
      </w:pPr>
      <w:r w:rsidRPr="00960D2A">
        <w:t>All notices and other communications under this Agreement will be sent by prepaid mail, by hand delivery, email or by facsimile to the addresses of the parties as specified in this Agreement or to such other address or person as any party may specify by notice in writing to the other party or parties, and may be sent by an agent of the party sending the notice.  Each notice or communication will be deemed to have been duly received:</w:t>
      </w:r>
    </w:p>
    <w:p w:rsidR="00DB5157" w:rsidRPr="00960D2A" w:rsidRDefault="00DB5157" w:rsidP="00DB5157">
      <w:pPr>
        <w:pStyle w:val="Heading2"/>
      </w:pPr>
      <w:r w:rsidRPr="00960D2A">
        <w:t>not later than two business days after being deposited in the mail with postage prepaid;</w:t>
      </w:r>
    </w:p>
    <w:p w:rsidR="00DB5157" w:rsidRPr="00960D2A" w:rsidRDefault="00DB5157" w:rsidP="00DB5157">
      <w:pPr>
        <w:pStyle w:val="Heading2"/>
      </w:pPr>
      <w:r w:rsidRPr="00960D2A">
        <w:t>when delivered by hand;</w:t>
      </w:r>
    </w:p>
    <w:p w:rsidR="00DB5157" w:rsidRPr="00960D2A" w:rsidRDefault="00DB5157" w:rsidP="00DB5157">
      <w:pPr>
        <w:pStyle w:val="Heading2"/>
      </w:pPr>
      <w:r w:rsidRPr="00960D2A">
        <w:t>if sent by email upon production of a delivery confirmation report received by the sender which records the time the email was delivered unless the sender received a delivery failure notification; or</w:t>
      </w:r>
    </w:p>
    <w:p w:rsidR="00DB5157" w:rsidRPr="00960D2A" w:rsidRDefault="00DB5157" w:rsidP="00DB5157">
      <w:pPr>
        <w:pStyle w:val="Heading2"/>
      </w:pPr>
      <w:r w:rsidRPr="00960D2A">
        <w:t xml:space="preserve">if sent by facsimile transmission upon completion of that transmission and production of a transmission report stating that the facsimile was sent to the addressee’s facsimile number. </w:t>
      </w:r>
    </w:p>
    <w:p w:rsidR="00DB5157" w:rsidRPr="00960D2A" w:rsidRDefault="00DB5157" w:rsidP="00DB5157">
      <w:pPr>
        <w:pStyle w:val="Heading9"/>
      </w:pPr>
      <w:r w:rsidRPr="00960D2A">
        <w:t>Costs on Default</w:t>
      </w:r>
    </w:p>
    <w:p w:rsidR="00DB5157" w:rsidRPr="00960D2A" w:rsidRDefault="00DB5157" w:rsidP="00DB5157">
      <w:pPr>
        <w:pStyle w:val="Heading1"/>
      </w:pPr>
      <w:r w:rsidRPr="00960D2A">
        <w:t xml:space="preserve">If the Owner defaults in the performance of any obligations under this Agreement it will pay to the Responsible Authority its reasonable costs of action taken to achieve compliance with this Agreement.  </w:t>
      </w:r>
    </w:p>
    <w:p w:rsidR="00DB5157" w:rsidRPr="00960D2A" w:rsidRDefault="00DB5157" w:rsidP="00DB5157">
      <w:pPr>
        <w:pStyle w:val="Heading9"/>
      </w:pPr>
      <w:r w:rsidRPr="00960D2A">
        <w:t>Invalidity of any Clause</w:t>
      </w:r>
    </w:p>
    <w:p w:rsidR="00DB5157" w:rsidRPr="00960D2A" w:rsidRDefault="00DB5157" w:rsidP="00DB5157">
      <w:pPr>
        <w:pStyle w:val="Heading1"/>
      </w:pPr>
      <w:r w:rsidRPr="00960D2A">
        <w:t xml:space="preserve">Notwithstanding anything to the contrary in this Agreement, if any provision of this Agreement will be invalid and not enforceable in accordance with its terms, all other provisions which are self-sustaining and capable of separate enforcement without regard to the invalid provisions and will be and continue to be valid and enforceable in accordance with those terms. </w:t>
      </w:r>
    </w:p>
    <w:p w:rsidR="00DB5157" w:rsidRPr="00960D2A" w:rsidRDefault="00DB5157" w:rsidP="00DB5157">
      <w:pPr>
        <w:pStyle w:val="Heading9"/>
      </w:pPr>
      <w:r w:rsidRPr="00960D2A">
        <w:t>Agreement Binding on Successors of Owners</w:t>
      </w:r>
    </w:p>
    <w:p w:rsidR="00DB5157" w:rsidRPr="00960D2A" w:rsidRDefault="00DB5157" w:rsidP="00DB5157">
      <w:pPr>
        <w:pStyle w:val="Heading1"/>
      </w:pPr>
      <w:r w:rsidRPr="00960D2A">
        <w:t xml:space="preserve">This Agreement will extend to and bind the Owner’s successors, assigns, administrators, transferees and legal personal representatives and the obligations imposed upon them will also be binding on their successors, transferees, purchasers, mortgagees and assigns as if each of them had separately executed this Agreement. </w:t>
      </w:r>
    </w:p>
    <w:p w:rsidR="00DB5157" w:rsidRPr="00960D2A" w:rsidRDefault="00DB5157" w:rsidP="00DB5157">
      <w:pPr>
        <w:pStyle w:val="Heading9"/>
      </w:pPr>
      <w:r w:rsidRPr="00960D2A">
        <w:t>Joint Obligations</w:t>
      </w:r>
    </w:p>
    <w:p w:rsidR="00DB5157" w:rsidRPr="00960D2A" w:rsidRDefault="00DB5157" w:rsidP="00DB5157">
      <w:pPr>
        <w:pStyle w:val="Heading1"/>
      </w:pPr>
      <w:r w:rsidRPr="00960D2A">
        <w:t xml:space="preserve">In the case of each party that consists of more than one person (including in that expression any corporation) each of those persons covenants, agrees and declares that all of the covenants, agreements, declarations and consents contained in this Agreement and made and given by that party have been entered into, made and given and are binding upon that person both severally and also jointly with the other person or persons constituting that party.  </w:t>
      </w:r>
    </w:p>
    <w:p w:rsidR="00DB5157" w:rsidRDefault="00DB5157" w:rsidP="00DB5157">
      <w:pPr>
        <w:pStyle w:val="Heading9"/>
      </w:pPr>
      <w:r>
        <w:t>GST</w:t>
      </w:r>
    </w:p>
    <w:p w:rsidR="00DB5157" w:rsidRDefault="00DB5157" w:rsidP="00DB5157">
      <w:pPr>
        <w:pStyle w:val="Heading1"/>
      </w:pPr>
      <w:r>
        <w:t>In respect of GST:</w:t>
      </w:r>
    </w:p>
    <w:p w:rsidR="00DB5157" w:rsidRPr="00D349B3" w:rsidRDefault="00DB5157" w:rsidP="00DB5157">
      <w:pPr>
        <w:pStyle w:val="Heading2"/>
      </w:pPr>
      <w:r w:rsidRPr="00D349B3">
        <w:t xml:space="preserve">In this clause </w:t>
      </w:r>
      <w:r>
        <w:t>20</w:t>
      </w:r>
      <w:r w:rsidRPr="00D349B3">
        <w:t>, ‘GST Act’ means the A New Tax System (Goods and Services Tax) Act 1999 (</w:t>
      </w:r>
      <w:proofErr w:type="spellStart"/>
      <w:r w:rsidRPr="00D349B3">
        <w:t>Cth</w:t>
      </w:r>
      <w:proofErr w:type="spellEnd"/>
      <w:r w:rsidRPr="00D349B3">
        <w:t>).</w:t>
      </w:r>
    </w:p>
    <w:p w:rsidR="00DB5157" w:rsidRPr="00D349B3" w:rsidRDefault="00DB5157" w:rsidP="00DB5157">
      <w:pPr>
        <w:pStyle w:val="Heading2"/>
      </w:pPr>
      <w:r w:rsidRPr="00D349B3">
        <w:t>Expressions used in this clause and in the GST Act have the same meanings as when used in the GST Act.</w:t>
      </w:r>
    </w:p>
    <w:p w:rsidR="00DB5157" w:rsidRPr="00D349B3" w:rsidRDefault="00DB5157" w:rsidP="00DB5157">
      <w:pPr>
        <w:pStyle w:val="Heading2"/>
      </w:pPr>
      <w:r w:rsidRPr="00D349B3">
        <w:t>Amounts payable and consideration provided under or in respect of this Agreement are GST exclusive.</w:t>
      </w:r>
    </w:p>
    <w:p w:rsidR="00DB5157" w:rsidRPr="00D349B3" w:rsidRDefault="00DB5157" w:rsidP="00DB5157">
      <w:pPr>
        <w:pStyle w:val="Heading2"/>
      </w:pPr>
      <w:r w:rsidRPr="00D349B3">
        <w:t>The recipient of a taxable supply made under or in respect of this Agreement must pay to the supplier, at the time the consideration for the supply is due, the GST payable in respect of the supply. This obligation extends to supply consisting of a party’s entry into this document.</w:t>
      </w:r>
    </w:p>
    <w:p w:rsidR="00DB5157" w:rsidRPr="00D349B3" w:rsidRDefault="00DB5157" w:rsidP="00DB5157">
      <w:pPr>
        <w:pStyle w:val="Heading2"/>
      </w:pPr>
      <w:r w:rsidRPr="00D349B3">
        <w:t xml:space="preserve">A party is not obliged, under clause </w:t>
      </w:r>
      <w:r>
        <w:t>20.3</w:t>
      </w:r>
      <w:r w:rsidRPr="00D349B3">
        <w:t>, to pay the GST on a taxable supply to it until given a valid tax invoice for the supply.</w:t>
      </w:r>
    </w:p>
    <w:p w:rsidR="00DB5157" w:rsidRPr="00960D2A" w:rsidRDefault="00DB5157" w:rsidP="00DB5157">
      <w:pPr>
        <w:pStyle w:val="Heading9"/>
      </w:pPr>
      <w:r w:rsidRPr="00960D2A">
        <w:t>Entire Agreement</w:t>
      </w:r>
    </w:p>
    <w:p w:rsidR="00DB5157" w:rsidRPr="00960D2A" w:rsidRDefault="00DB5157" w:rsidP="00DB5157">
      <w:pPr>
        <w:pStyle w:val="Heading1"/>
      </w:pPr>
      <w:r w:rsidRPr="00960D2A">
        <w:t>This Agreement constitutes the entire agreement between the parties in connection with its subject matter and supersedes all previous Agreements or understandings between the parties in connection with its subject matter.</w:t>
      </w:r>
    </w:p>
    <w:p w:rsidR="00DB5157" w:rsidRPr="00960D2A" w:rsidRDefault="00DB5157" w:rsidP="00DB5157">
      <w:pPr>
        <w:pStyle w:val="Heading9"/>
      </w:pPr>
      <w:r w:rsidRPr="00960D2A">
        <w:t>Commencement and Ending of Agreement</w:t>
      </w:r>
    </w:p>
    <w:p w:rsidR="00DB5157" w:rsidRPr="00960D2A" w:rsidRDefault="00DB5157" w:rsidP="00DB5157">
      <w:pPr>
        <w:pStyle w:val="Heading1"/>
      </w:pPr>
      <w:r w:rsidRPr="00960D2A">
        <w:t xml:space="preserve">This Agreement will commence on date that </w:t>
      </w:r>
      <w:r>
        <w:t>Amendment is approved by the Minister for Planning</w:t>
      </w:r>
      <w:r w:rsidR="005550FA">
        <w:t>.</w:t>
      </w:r>
    </w:p>
    <w:p w:rsidR="00AD475B" w:rsidRDefault="00DB5157" w:rsidP="00DB5157">
      <w:pPr>
        <w:pStyle w:val="Heading1"/>
      </w:pPr>
      <w:r w:rsidRPr="00960D2A">
        <w:t>This agreement will end</w:t>
      </w:r>
      <w:r w:rsidR="00AD475B">
        <w:t>:</w:t>
      </w:r>
    </w:p>
    <w:p w:rsidR="00270558" w:rsidRDefault="00AD475B" w:rsidP="00605897">
      <w:pPr>
        <w:pStyle w:val="Heading2"/>
      </w:pPr>
      <w:r>
        <w:t>In respect of any Residential Lot, upon registration of the plan of subdivision creating that lot;</w:t>
      </w:r>
    </w:p>
    <w:p w:rsidR="00270558" w:rsidRDefault="00DB5157" w:rsidP="00605897">
      <w:pPr>
        <w:pStyle w:val="Heading2"/>
      </w:pPr>
      <w:r w:rsidRPr="00960D2A">
        <w:t xml:space="preserve">by agreement between the parties or otherwise in accordance with the provisions of the Act. </w:t>
      </w:r>
    </w:p>
    <w:p w:rsidR="00DB5157" w:rsidRPr="00960D2A" w:rsidRDefault="00DB5157" w:rsidP="00DB5157">
      <w:pPr>
        <w:rPr>
          <w:b/>
        </w:rPr>
      </w:pPr>
    </w:p>
    <w:p w:rsidR="00DB5157" w:rsidRPr="00960D2A" w:rsidRDefault="00230768" w:rsidP="00DB5157">
      <w:pPr>
        <w:rPr>
          <w:b/>
        </w:rPr>
      </w:pPr>
      <w:r>
        <w:rPr>
          <w:b/>
        </w:rPr>
        <w:t>EXECUTED AS A DEED</w:t>
      </w:r>
    </w:p>
    <w:p w:rsidR="00DB5157" w:rsidRPr="00960D2A" w:rsidRDefault="00DB5157" w:rsidP="00DB5157">
      <w:bookmarkStart w:id="1" w:name="Melbourne_City"/>
    </w:p>
    <w:p w:rsidR="00DB5157" w:rsidRDefault="00DB5157" w:rsidP="00DB5157">
      <w:pPr>
        <w:rPr>
          <w:rFonts w:eastAsia="Calibri" w:cs="Arial"/>
          <w:lang w:eastAsia="en-US"/>
        </w:rPr>
      </w:pPr>
    </w:p>
    <w:tbl>
      <w:tblPr>
        <w:tblW w:w="0" w:type="auto"/>
        <w:tblCellMar>
          <w:left w:w="0" w:type="dxa"/>
          <w:right w:w="0" w:type="dxa"/>
        </w:tblCellMar>
        <w:tblLook w:val="04A0"/>
      </w:tblPr>
      <w:tblGrid>
        <w:gridCol w:w="4602"/>
        <w:gridCol w:w="4506"/>
      </w:tblGrid>
      <w:tr w:rsidR="00CB6206" w:rsidRPr="00D64782" w:rsidTr="00ED44A0">
        <w:trPr>
          <w:cantSplit/>
        </w:trPr>
        <w:tc>
          <w:tcPr>
            <w:tcW w:w="4602" w:type="dxa"/>
            <w:tcMar>
              <w:top w:w="0" w:type="dxa"/>
              <w:left w:w="108" w:type="dxa"/>
              <w:bottom w:w="0" w:type="dxa"/>
              <w:right w:w="108" w:type="dxa"/>
            </w:tcMar>
            <w:hideMark/>
          </w:tcPr>
          <w:p w:rsidR="00CB6206" w:rsidRPr="00D64782" w:rsidRDefault="00CB6206" w:rsidP="00CB6206">
            <w:pPr>
              <w:keepNext/>
              <w:rPr>
                <w:rFonts w:ascii="Calibri" w:eastAsia="Calibri" w:hAnsi="Calibri"/>
                <w:sz w:val="22"/>
                <w:szCs w:val="22"/>
                <w:lang w:val="en-GB"/>
              </w:rPr>
            </w:pPr>
            <w:r w:rsidRPr="00D64782">
              <w:rPr>
                <w:b/>
                <w:lang w:val="en-GB"/>
              </w:rPr>
              <w:t>SIGNED SEALED AND DELIVERED</w:t>
            </w:r>
            <w:r w:rsidRPr="00D64782">
              <w:rPr>
                <w:lang w:val="en-GB"/>
              </w:rPr>
              <w:t xml:space="preserve"> on behalf of the </w:t>
            </w:r>
            <w:r w:rsidRPr="00D64782">
              <w:rPr>
                <w:b/>
                <w:lang w:val="en-GB"/>
              </w:rPr>
              <w:t>GREATER GEELONG CITY COUNCIL</w:t>
            </w:r>
            <w:r w:rsidRPr="00D64782">
              <w:rPr>
                <w:lang w:val="en-GB"/>
              </w:rPr>
              <w:t xml:space="preserve"> </w:t>
            </w:r>
            <w:r w:rsidRPr="00E75819">
              <w:rPr>
                <w:lang w:val="en-GB"/>
              </w:rPr>
              <w:t>by Peter Bettess, General Manager Planning &amp; Tourism pursuant to an instrument of delegation authorised by Council resolution, in the presence of:</w:t>
            </w:r>
          </w:p>
        </w:tc>
        <w:tc>
          <w:tcPr>
            <w:tcW w:w="4506" w:type="dxa"/>
            <w:tcBorders>
              <w:top w:val="nil"/>
              <w:left w:val="nil"/>
              <w:bottom w:val="dotted" w:sz="8" w:space="0" w:color="auto"/>
              <w:right w:val="nil"/>
            </w:tcBorders>
            <w:tcMar>
              <w:top w:w="0" w:type="dxa"/>
              <w:left w:w="108" w:type="dxa"/>
              <w:bottom w:w="0" w:type="dxa"/>
              <w:right w:w="108" w:type="dxa"/>
            </w:tcMar>
            <w:hideMark/>
          </w:tcPr>
          <w:p w:rsidR="00CB6206" w:rsidRPr="00D64782" w:rsidRDefault="00CB6206" w:rsidP="00ED44A0"/>
        </w:tc>
      </w:tr>
      <w:tr w:rsidR="00CB6206" w:rsidRPr="00D64782" w:rsidTr="00ED44A0">
        <w:trPr>
          <w:cantSplit/>
        </w:trPr>
        <w:tc>
          <w:tcPr>
            <w:tcW w:w="4602" w:type="dxa"/>
            <w:tcMar>
              <w:top w:w="0" w:type="dxa"/>
              <w:left w:w="108" w:type="dxa"/>
              <w:bottom w:w="0" w:type="dxa"/>
              <w:right w:w="108" w:type="dxa"/>
            </w:tcMar>
          </w:tcPr>
          <w:p w:rsidR="00CB6206" w:rsidRPr="00D64782" w:rsidRDefault="00CB6206" w:rsidP="00ED44A0">
            <w:pPr>
              <w:keepNext/>
              <w:spacing w:line="360" w:lineRule="auto"/>
              <w:rPr>
                <w:rFonts w:ascii="Calibri" w:eastAsia="Calibri" w:hAnsi="Calibri"/>
                <w:sz w:val="22"/>
                <w:szCs w:val="22"/>
                <w:lang w:val="en-GB"/>
              </w:rPr>
            </w:pPr>
          </w:p>
        </w:tc>
        <w:tc>
          <w:tcPr>
            <w:tcW w:w="4506" w:type="dxa"/>
            <w:tcMar>
              <w:top w:w="0" w:type="dxa"/>
              <w:left w:w="108" w:type="dxa"/>
              <w:bottom w:w="0" w:type="dxa"/>
              <w:right w:w="108" w:type="dxa"/>
            </w:tcMar>
            <w:hideMark/>
          </w:tcPr>
          <w:p w:rsidR="00CB6206" w:rsidRPr="00D64782" w:rsidRDefault="00CB6206" w:rsidP="00ED44A0">
            <w:pPr>
              <w:rPr>
                <w:rFonts w:ascii="Calibri" w:eastAsia="Calibri" w:hAnsi="Calibri"/>
                <w:sz w:val="22"/>
                <w:szCs w:val="22"/>
                <w:lang w:val="en-GB"/>
              </w:rPr>
            </w:pPr>
            <w:r w:rsidRPr="00D64782">
              <w:rPr>
                <w:lang w:val="en-GB"/>
              </w:rPr>
              <w:t>P Bettess</w:t>
            </w:r>
          </w:p>
        </w:tc>
      </w:tr>
      <w:tr w:rsidR="00CB6206" w:rsidRPr="00D64782" w:rsidTr="00ED44A0">
        <w:trPr>
          <w:cantSplit/>
        </w:trPr>
        <w:tc>
          <w:tcPr>
            <w:tcW w:w="4602" w:type="dxa"/>
            <w:tcBorders>
              <w:top w:val="nil"/>
              <w:left w:val="nil"/>
              <w:bottom w:val="dotted" w:sz="8" w:space="0" w:color="auto"/>
              <w:right w:val="nil"/>
            </w:tcBorders>
            <w:tcMar>
              <w:top w:w="0" w:type="dxa"/>
              <w:left w:w="108" w:type="dxa"/>
              <w:bottom w:w="0" w:type="dxa"/>
              <w:right w:w="108" w:type="dxa"/>
            </w:tcMar>
          </w:tcPr>
          <w:p w:rsidR="00CB6206" w:rsidRPr="00D64782" w:rsidRDefault="00CB6206" w:rsidP="00ED44A0">
            <w:pPr>
              <w:keepNext/>
              <w:spacing w:line="360" w:lineRule="auto"/>
              <w:rPr>
                <w:rFonts w:ascii="Calibri" w:eastAsia="Calibri" w:hAnsi="Calibri"/>
                <w:sz w:val="22"/>
                <w:szCs w:val="22"/>
                <w:lang w:val="en-GB"/>
              </w:rPr>
            </w:pPr>
          </w:p>
        </w:tc>
        <w:tc>
          <w:tcPr>
            <w:tcW w:w="4506" w:type="dxa"/>
            <w:vMerge w:val="restart"/>
            <w:tcMar>
              <w:top w:w="0" w:type="dxa"/>
              <w:left w:w="108" w:type="dxa"/>
              <w:bottom w:w="0" w:type="dxa"/>
              <w:right w:w="108" w:type="dxa"/>
            </w:tcMar>
          </w:tcPr>
          <w:p w:rsidR="00CB6206" w:rsidRPr="00D64782" w:rsidRDefault="00CB6206" w:rsidP="00ED44A0">
            <w:pPr>
              <w:spacing w:line="360" w:lineRule="auto"/>
              <w:rPr>
                <w:rFonts w:ascii="Calibri" w:eastAsia="Calibri" w:hAnsi="Calibri"/>
                <w:sz w:val="22"/>
                <w:szCs w:val="22"/>
                <w:lang w:val="en-GB"/>
              </w:rPr>
            </w:pPr>
          </w:p>
        </w:tc>
      </w:tr>
      <w:tr w:rsidR="00CB6206" w:rsidRPr="00D64782" w:rsidTr="00ED44A0">
        <w:trPr>
          <w:cantSplit/>
        </w:trPr>
        <w:tc>
          <w:tcPr>
            <w:tcW w:w="4602" w:type="dxa"/>
            <w:tcMar>
              <w:top w:w="0" w:type="dxa"/>
              <w:left w:w="108" w:type="dxa"/>
              <w:bottom w:w="0" w:type="dxa"/>
              <w:right w:w="108" w:type="dxa"/>
            </w:tcMar>
            <w:hideMark/>
          </w:tcPr>
          <w:p w:rsidR="00CB6206" w:rsidRPr="00D64782" w:rsidRDefault="00CB6206" w:rsidP="00ED44A0">
            <w:pPr>
              <w:keepNext/>
              <w:spacing w:line="360" w:lineRule="auto"/>
              <w:rPr>
                <w:rFonts w:ascii="Calibri" w:eastAsia="Calibri" w:hAnsi="Calibri"/>
                <w:sz w:val="22"/>
                <w:szCs w:val="22"/>
                <w:lang w:val="en-GB"/>
              </w:rPr>
            </w:pPr>
            <w:r w:rsidRPr="00D64782">
              <w:rPr>
                <w:lang w:val="en-GB"/>
              </w:rPr>
              <w:t>Witness</w:t>
            </w:r>
          </w:p>
        </w:tc>
        <w:tc>
          <w:tcPr>
            <w:tcW w:w="0" w:type="auto"/>
            <w:vMerge/>
            <w:vAlign w:val="center"/>
            <w:hideMark/>
          </w:tcPr>
          <w:p w:rsidR="00CB6206" w:rsidRPr="00D64782" w:rsidRDefault="00CB6206" w:rsidP="00ED44A0">
            <w:pPr>
              <w:rPr>
                <w:rFonts w:ascii="Calibri" w:eastAsia="Calibri" w:hAnsi="Calibri"/>
                <w:sz w:val="22"/>
                <w:szCs w:val="22"/>
                <w:lang w:val="en-GB"/>
              </w:rPr>
            </w:pPr>
          </w:p>
        </w:tc>
      </w:tr>
    </w:tbl>
    <w:p w:rsidR="00CB6206" w:rsidRDefault="00CB6206" w:rsidP="00ED44A0"/>
    <w:p w:rsidR="00CB6206" w:rsidRDefault="00CB6206" w:rsidP="00DB5157">
      <w:pPr>
        <w:rPr>
          <w:rFonts w:eastAsia="Calibri" w:cs="Arial"/>
          <w:lang w:eastAsia="en-US"/>
        </w:rPr>
      </w:pPr>
    </w:p>
    <w:p w:rsidR="00CB6206" w:rsidRPr="00960D2A" w:rsidRDefault="00CB6206" w:rsidP="00DB5157">
      <w:pPr>
        <w:rPr>
          <w:rFonts w:eastAsia="Calibri" w:cs="Arial"/>
          <w:lang w:eastAsia="en-US"/>
        </w:rPr>
      </w:pPr>
    </w:p>
    <w:tbl>
      <w:tblPr>
        <w:tblW w:w="0" w:type="auto"/>
        <w:tblLayout w:type="fixed"/>
        <w:tblLook w:val="0000"/>
      </w:tblPr>
      <w:tblGrid>
        <w:gridCol w:w="4320"/>
        <w:gridCol w:w="288"/>
        <w:gridCol w:w="4590"/>
      </w:tblGrid>
      <w:tr w:rsidR="00DB5157" w:rsidRPr="00026857" w:rsidTr="001E299B">
        <w:tc>
          <w:tcPr>
            <w:tcW w:w="4608" w:type="dxa"/>
            <w:gridSpan w:val="2"/>
          </w:tcPr>
          <w:p w:rsidR="00DB5157" w:rsidRPr="00FC416E" w:rsidRDefault="00DB5157" w:rsidP="00866F7D">
            <w:r w:rsidRPr="00026857">
              <w:rPr>
                <w:rFonts w:cs="Arial"/>
                <w:b/>
                <w:lang w:val="en-GB"/>
              </w:rPr>
              <w:t xml:space="preserve">EXECUTED </w:t>
            </w:r>
            <w:r w:rsidRPr="00026857">
              <w:rPr>
                <w:rFonts w:cs="Arial"/>
                <w:lang w:val="en-GB"/>
              </w:rPr>
              <w:t xml:space="preserve">by </w:t>
            </w:r>
            <w:r w:rsidR="00866F7D">
              <w:rPr>
                <w:b/>
              </w:rPr>
              <w:t xml:space="preserve">ECHIN PTY LTD. </w:t>
            </w:r>
            <w:r w:rsidRPr="00FC416E">
              <w:rPr>
                <w:b/>
              </w:rPr>
              <w:t xml:space="preserve"> </w:t>
            </w:r>
            <w:r w:rsidRPr="00026857">
              <w:rPr>
                <w:rFonts w:cs="Arial"/>
                <w:lang w:val="en-GB"/>
              </w:rPr>
              <w:t>in accordance with Section 127 of the Corporations Act 2001:</w:t>
            </w:r>
          </w:p>
        </w:tc>
        <w:tc>
          <w:tcPr>
            <w:tcW w:w="4590" w:type="dxa"/>
          </w:tcPr>
          <w:p w:rsidR="00DB5157" w:rsidRPr="00026857" w:rsidRDefault="00DB5157" w:rsidP="001E299B"/>
        </w:tc>
      </w:tr>
      <w:tr w:rsidR="00DB5157" w:rsidRPr="00026857" w:rsidTr="001E299B">
        <w:tc>
          <w:tcPr>
            <w:tcW w:w="4320" w:type="dxa"/>
            <w:tcBorders>
              <w:bottom w:val="dotted" w:sz="8" w:space="0" w:color="auto"/>
            </w:tcBorders>
          </w:tcPr>
          <w:p w:rsidR="00DB5157" w:rsidRPr="00026857" w:rsidRDefault="00DB5157" w:rsidP="001E299B">
            <w:pPr>
              <w:keepNext/>
              <w:spacing w:line="360" w:lineRule="auto"/>
              <w:rPr>
                <w:lang w:val="en-GB"/>
              </w:rPr>
            </w:pPr>
          </w:p>
        </w:tc>
        <w:tc>
          <w:tcPr>
            <w:tcW w:w="288" w:type="dxa"/>
          </w:tcPr>
          <w:p w:rsidR="00DB5157" w:rsidRPr="00026857" w:rsidRDefault="00DB5157" w:rsidP="001E299B">
            <w:pPr>
              <w:keepNext/>
              <w:spacing w:line="360" w:lineRule="auto"/>
              <w:rPr>
                <w:lang w:val="en-GB"/>
              </w:rPr>
            </w:pPr>
          </w:p>
        </w:tc>
        <w:tc>
          <w:tcPr>
            <w:tcW w:w="4590" w:type="dxa"/>
            <w:tcBorders>
              <w:bottom w:val="dotted" w:sz="8" w:space="0" w:color="auto"/>
            </w:tcBorders>
          </w:tcPr>
          <w:p w:rsidR="00DB5157" w:rsidRPr="00026857" w:rsidRDefault="00DB5157" w:rsidP="001E299B">
            <w:pPr>
              <w:keepNext/>
              <w:spacing w:line="360" w:lineRule="auto"/>
              <w:rPr>
                <w:lang w:val="en-GB"/>
              </w:rPr>
            </w:pPr>
          </w:p>
        </w:tc>
      </w:tr>
      <w:tr w:rsidR="00DB5157" w:rsidRPr="00026857" w:rsidTr="00DE300E">
        <w:tc>
          <w:tcPr>
            <w:tcW w:w="4320" w:type="dxa"/>
            <w:tcBorders>
              <w:top w:val="dotted" w:sz="8" w:space="0" w:color="auto"/>
            </w:tcBorders>
          </w:tcPr>
          <w:p w:rsidR="00DB5157" w:rsidRPr="00026857" w:rsidRDefault="00DB5157" w:rsidP="001E299B">
            <w:pPr>
              <w:keepNext/>
              <w:rPr>
                <w:lang w:val="en-GB"/>
              </w:rPr>
            </w:pPr>
            <w:r w:rsidRPr="00026857">
              <w:rPr>
                <w:lang w:val="en-GB"/>
              </w:rPr>
              <w:t>Director</w:t>
            </w:r>
          </w:p>
        </w:tc>
        <w:tc>
          <w:tcPr>
            <w:tcW w:w="288" w:type="dxa"/>
          </w:tcPr>
          <w:p w:rsidR="00DB5157" w:rsidRPr="00026857" w:rsidRDefault="00DB5157" w:rsidP="001E299B">
            <w:pPr>
              <w:keepNext/>
              <w:rPr>
                <w:lang w:val="en-GB"/>
              </w:rPr>
            </w:pPr>
          </w:p>
        </w:tc>
        <w:tc>
          <w:tcPr>
            <w:tcW w:w="4590" w:type="dxa"/>
            <w:tcBorders>
              <w:top w:val="dotted" w:sz="8" w:space="0" w:color="auto"/>
            </w:tcBorders>
          </w:tcPr>
          <w:p w:rsidR="00DB5157" w:rsidRPr="00026857" w:rsidRDefault="00DB5157" w:rsidP="001E299B">
            <w:pPr>
              <w:keepNext/>
              <w:rPr>
                <w:lang w:val="en-GB"/>
              </w:rPr>
            </w:pPr>
            <w:r w:rsidRPr="00026857">
              <w:rPr>
                <w:lang w:val="en-GB"/>
              </w:rPr>
              <w:t xml:space="preserve">Director/Secretary </w:t>
            </w:r>
          </w:p>
        </w:tc>
      </w:tr>
    </w:tbl>
    <w:p w:rsidR="00DB5157" w:rsidRDefault="00DB5157" w:rsidP="00DB5157"/>
    <w:tbl>
      <w:tblPr>
        <w:tblW w:w="0" w:type="auto"/>
        <w:tblLayout w:type="fixed"/>
        <w:tblLook w:val="0000"/>
      </w:tblPr>
      <w:tblGrid>
        <w:gridCol w:w="288"/>
        <w:gridCol w:w="4356"/>
        <w:gridCol w:w="4554"/>
      </w:tblGrid>
      <w:tr w:rsidR="00126753" w:rsidRPr="00026857" w:rsidTr="001E299B">
        <w:trPr>
          <w:gridAfter w:val="2"/>
          <w:wAfter w:w="8910" w:type="dxa"/>
        </w:trPr>
        <w:tc>
          <w:tcPr>
            <w:tcW w:w="288" w:type="dxa"/>
          </w:tcPr>
          <w:p w:rsidR="00126753" w:rsidRPr="00FC416E" w:rsidRDefault="00126753" w:rsidP="001E299B">
            <w:pPr>
              <w:keepNext/>
              <w:rPr>
                <w:highlight w:val="yellow"/>
                <w:lang w:val="en-GB"/>
              </w:rPr>
            </w:pPr>
          </w:p>
        </w:tc>
      </w:tr>
      <w:tr w:rsidR="00605897" w:rsidRPr="001719F9" w:rsidTr="001D4574">
        <w:tc>
          <w:tcPr>
            <w:tcW w:w="4644" w:type="dxa"/>
            <w:gridSpan w:val="2"/>
            <w:tcBorders>
              <w:bottom w:val="dotted" w:sz="8" w:space="0" w:color="auto"/>
            </w:tcBorders>
          </w:tcPr>
          <w:p w:rsidR="00605897" w:rsidRPr="001719F9" w:rsidRDefault="00605897" w:rsidP="00DE300E">
            <w:pPr>
              <w:keepNext/>
              <w:rPr>
                <w:lang w:val="en-GB"/>
              </w:rPr>
            </w:pPr>
            <w:r w:rsidRPr="001719F9">
              <w:rPr>
                <w:b/>
                <w:lang w:val="en-GB"/>
              </w:rPr>
              <w:t>SIGNED</w:t>
            </w:r>
            <w:r w:rsidRPr="001719F9">
              <w:rPr>
                <w:lang w:val="en-GB"/>
              </w:rPr>
              <w:t xml:space="preserve"> by the said </w:t>
            </w:r>
            <w:r w:rsidRPr="00322084">
              <w:rPr>
                <w:b/>
              </w:rPr>
              <w:t>DEAN JOHN FARMER</w:t>
            </w:r>
            <w:r w:rsidRPr="001719F9">
              <w:rPr>
                <w:lang w:val="en-GB"/>
              </w:rPr>
              <w:t xml:space="preserve"> in the presence of:</w:t>
            </w:r>
          </w:p>
        </w:tc>
        <w:tc>
          <w:tcPr>
            <w:tcW w:w="4554" w:type="dxa"/>
          </w:tcPr>
          <w:p w:rsidR="00605897" w:rsidRPr="00886F5A" w:rsidRDefault="00605897" w:rsidP="001D4574"/>
          <w:p w:rsidR="00605897" w:rsidRPr="00886F5A" w:rsidRDefault="00605897" w:rsidP="001D4574"/>
          <w:p w:rsidR="00605897" w:rsidRDefault="00605897" w:rsidP="001D4574">
            <w:pPr>
              <w:pBdr>
                <w:top w:val="dotted" w:sz="4" w:space="1" w:color="auto"/>
              </w:pBdr>
            </w:pPr>
          </w:p>
          <w:p w:rsidR="00605897" w:rsidRPr="00886F5A" w:rsidRDefault="00605897" w:rsidP="001D4574"/>
        </w:tc>
      </w:tr>
      <w:tr w:rsidR="00605897" w:rsidRPr="001719F9" w:rsidTr="001D4574">
        <w:tc>
          <w:tcPr>
            <w:tcW w:w="4644" w:type="dxa"/>
            <w:gridSpan w:val="2"/>
            <w:tcBorders>
              <w:top w:val="dotted" w:sz="8" w:space="0" w:color="auto"/>
              <w:bottom w:val="dotted" w:sz="8" w:space="0" w:color="auto"/>
            </w:tcBorders>
          </w:tcPr>
          <w:p w:rsidR="00605897" w:rsidRDefault="00605897" w:rsidP="001D4574">
            <w:pPr>
              <w:spacing w:line="360" w:lineRule="auto"/>
              <w:rPr>
                <w:lang w:val="en-GB"/>
              </w:rPr>
            </w:pPr>
            <w:r w:rsidRPr="001719F9">
              <w:rPr>
                <w:lang w:val="en-GB"/>
              </w:rPr>
              <w:t>Witness</w:t>
            </w:r>
            <w:r>
              <w:rPr>
                <w:lang w:val="en-GB"/>
              </w:rPr>
              <w:t xml:space="preserve"> signature</w:t>
            </w:r>
          </w:p>
          <w:p w:rsidR="00605897" w:rsidRPr="001719F9" w:rsidRDefault="00605897" w:rsidP="001D4574">
            <w:pPr>
              <w:spacing w:line="360" w:lineRule="auto"/>
              <w:rPr>
                <w:lang w:val="en-GB"/>
              </w:rPr>
            </w:pPr>
          </w:p>
        </w:tc>
        <w:tc>
          <w:tcPr>
            <w:tcW w:w="4554" w:type="dxa"/>
          </w:tcPr>
          <w:p w:rsidR="00605897" w:rsidRPr="00886F5A" w:rsidRDefault="00605897" w:rsidP="001D4574"/>
        </w:tc>
      </w:tr>
      <w:tr w:rsidR="00605897" w:rsidRPr="001719F9" w:rsidTr="001D4574">
        <w:tc>
          <w:tcPr>
            <w:tcW w:w="4644" w:type="dxa"/>
            <w:gridSpan w:val="2"/>
            <w:tcBorders>
              <w:top w:val="dotted" w:sz="8" w:space="0" w:color="auto"/>
              <w:bottom w:val="dotted" w:sz="8" w:space="0" w:color="auto"/>
            </w:tcBorders>
          </w:tcPr>
          <w:p w:rsidR="00605897" w:rsidRDefault="00605897" w:rsidP="001D4574">
            <w:pPr>
              <w:spacing w:line="360" w:lineRule="auto"/>
              <w:rPr>
                <w:lang w:val="en-GB"/>
              </w:rPr>
            </w:pPr>
            <w:r>
              <w:rPr>
                <w:lang w:val="en-GB"/>
              </w:rPr>
              <w:t>Witness name (print)</w:t>
            </w:r>
          </w:p>
          <w:p w:rsidR="00605897" w:rsidRPr="001719F9" w:rsidRDefault="00605897" w:rsidP="001D4574">
            <w:pPr>
              <w:spacing w:line="360" w:lineRule="auto"/>
              <w:rPr>
                <w:lang w:val="en-GB"/>
              </w:rPr>
            </w:pPr>
          </w:p>
        </w:tc>
        <w:tc>
          <w:tcPr>
            <w:tcW w:w="4554" w:type="dxa"/>
          </w:tcPr>
          <w:p w:rsidR="00605897" w:rsidRPr="00886F5A" w:rsidRDefault="00605897" w:rsidP="001D4574"/>
        </w:tc>
      </w:tr>
      <w:tr w:rsidR="00605897" w:rsidRPr="001719F9" w:rsidTr="001D4574">
        <w:tc>
          <w:tcPr>
            <w:tcW w:w="4644" w:type="dxa"/>
            <w:gridSpan w:val="2"/>
            <w:tcBorders>
              <w:top w:val="dotted" w:sz="8" w:space="0" w:color="auto"/>
            </w:tcBorders>
          </w:tcPr>
          <w:p w:rsidR="00605897" w:rsidRDefault="00605897" w:rsidP="001D4574">
            <w:pPr>
              <w:spacing w:line="360" w:lineRule="auto"/>
              <w:rPr>
                <w:lang w:val="en-GB"/>
              </w:rPr>
            </w:pPr>
            <w:r>
              <w:rPr>
                <w:lang w:val="en-GB"/>
              </w:rPr>
              <w:t>Witness address</w:t>
            </w:r>
          </w:p>
        </w:tc>
        <w:tc>
          <w:tcPr>
            <w:tcW w:w="4554" w:type="dxa"/>
          </w:tcPr>
          <w:p w:rsidR="00605897" w:rsidRPr="00886F5A" w:rsidRDefault="00605897" w:rsidP="001D4574"/>
        </w:tc>
      </w:tr>
    </w:tbl>
    <w:p w:rsidR="00605897" w:rsidRDefault="00605897" w:rsidP="00605897"/>
    <w:p w:rsidR="00605897" w:rsidRPr="00886F5A" w:rsidRDefault="00605897" w:rsidP="00605897"/>
    <w:tbl>
      <w:tblPr>
        <w:tblW w:w="0" w:type="auto"/>
        <w:tblLayout w:type="fixed"/>
        <w:tblLook w:val="0000"/>
      </w:tblPr>
      <w:tblGrid>
        <w:gridCol w:w="4644"/>
        <w:gridCol w:w="4554"/>
      </w:tblGrid>
      <w:tr w:rsidR="00605897" w:rsidRPr="001719F9" w:rsidTr="001D4574">
        <w:tc>
          <w:tcPr>
            <w:tcW w:w="4644" w:type="dxa"/>
            <w:tcBorders>
              <w:bottom w:val="dotted" w:sz="8" w:space="0" w:color="auto"/>
            </w:tcBorders>
          </w:tcPr>
          <w:p w:rsidR="00605897" w:rsidRPr="001719F9" w:rsidRDefault="00605897" w:rsidP="001D4574">
            <w:pPr>
              <w:keepNext/>
              <w:rPr>
                <w:lang w:val="en-GB"/>
              </w:rPr>
            </w:pPr>
            <w:r w:rsidRPr="001719F9">
              <w:rPr>
                <w:b/>
                <w:lang w:val="en-GB"/>
              </w:rPr>
              <w:t>SIGNED</w:t>
            </w:r>
            <w:r w:rsidRPr="001719F9">
              <w:rPr>
                <w:lang w:val="en-GB"/>
              </w:rPr>
              <w:t xml:space="preserve"> by the said </w:t>
            </w:r>
            <w:r w:rsidRPr="00322084">
              <w:rPr>
                <w:b/>
              </w:rPr>
              <w:t>NIGEL JOHN PATRICK KINGSTON</w:t>
            </w:r>
            <w:r w:rsidRPr="001719F9">
              <w:rPr>
                <w:lang w:val="en-GB"/>
              </w:rPr>
              <w:t xml:space="preserve"> in the presence of:</w:t>
            </w:r>
          </w:p>
          <w:p w:rsidR="00605897" w:rsidRPr="001719F9" w:rsidRDefault="00605897" w:rsidP="001D4574">
            <w:pPr>
              <w:pStyle w:val="Seal"/>
              <w:tabs>
                <w:tab w:val="right" w:pos="5103"/>
              </w:tabs>
              <w:jc w:val="center"/>
              <w:rPr>
                <w:lang w:val="en-GB" w:eastAsia="en-US"/>
              </w:rPr>
            </w:pPr>
          </w:p>
        </w:tc>
        <w:tc>
          <w:tcPr>
            <w:tcW w:w="4554" w:type="dxa"/>
          </w:tcPr>
          <w:p w:rsidR="00605897" w:rsidRPr="00886F5A" w:rsidRDefault="00605897" w:rsidP="001D4574"/>
          <w:p w:rsidR="00605897" w:rsidRPr="00886F5A" w:rsidRDefault="00605897" w:rsidP="001D4574"/>
          <w:p w:rsidR="00605897" w:rsidRDefault="00605897" w:rsidP="001D4574">
            <w:pPr>
              <w:pBdr>
                <w:top w:val="dotted" w:sz="4" w:space="1" w:color="auto"/>
              </w:pBdr>
            </w:pPr>
          </w:p>
          <w:p w:rsidR="00605897" w:rsidRPr="00886F5A" w:rsidRDefault="00605897" w:rsidP="001D4574"/>
        </w:tc>
      </w:tr>
      <w:tr w:rsidR="00605897" w:rsidRPr="001719F9" w:rsidTr="001D4574">
        <w:tc>
          <w:tcPr>
            <w:tcW w:w="4644" w:type="dxa"/>
            <w:tcBorders>
              <w:top w:val="dotted" w:sz="8" w:space="0" w:color="auto"/>
              <w:bottom w:val="dotted" w:sz="8" w:space="0" w:color="auto"/>
            </w:tcBorders>
          </w:tcPr>
          <w:p w:rsidR="00605897" w:rsidRDefault="00605897" w:rsidP="001D4574">
            <w:pPr>
              <w:spacing w:line="360" w:lineRule="auto"/>
              <w:rPr>
                <w:lang w:val="en-GB"/>
              </w:rPr>
            </w:pPr>
            <w:r w:rsidRPr="001719F9">
              <w:rPr>
                <w:lang w:val="en-GB"/>
              </w:rPr>
              <w:t>Witness</w:t>
            </w:r>
            <w:r>
              <w:rPr>
                <w:lang w:val="en-GB"/>
              </w:rPr>
              <w:t xml:space="preserve"> signature</w:t>
            </w:r>
          </w:p>
          <w:p w:rsidR="00605897" w:rsidRPr="001719F9" w:rsidRDefault="00605897" w:rsidP="001D4574">
            <w:pPr>
              <w:spacing w:line="360" w:lineRule="auto"/>
              <w:rPr>
                <w:lang w:val="en-GB"/>
              </w:rPr>
            </w:pPr>
          </w:p>
        </w:tc>
        <w:tc>
          <w:tcPr>
            <w:tcW w:w="4554" w:type="dxa"/>
          </w:tcPr>
          <w:p w:rsidR="00605897" w:rsidRPr="00886F5A" w:rsidRDefault="00605897" w:rsidP="001D4574"/>
        </w:tc>
      </w:tr>
      <w:tr w:rsidR="00605897" w:rsidRPr="001719F9" w:rsidTr="001D4574">
        <w:tc>
          <w:tcPr>
            <w:tcW w:w="4644" w:type="dxa"/>
            <w:tcBorders>
              <w:top w:val="dotted" w:sz="8" w:space="0" w:color="auto"/>
              <w:bottom w:val="dotted" w:sz="8" w:space="0" w:color="auto"/>
            </w:tcBorders>
          </w:tcPr>
          <w:p w:rsidR="00605897" w:rsidRDefault="00605897" w:rsidP="001D4574">
            <w:pPr>
              <w:spacing w:line="360" w:lineRule="auto"/>
              <w:rPr>
                <w:lang w:val="en-GB"/>
              </w:rPr>
            </w:pPr>
            <w:r>
              <w:rPr>
                <w:lang w:val="en-GB"/>
              </w:rPr>
              <w:t>Witness name (print)</w:t>
            </w:r>
          </w:p>
          <w:p w:rsidR="00605897" w:rsidRPr="001719F9" w:rsidRDefault="00605897" w:rsidP="001D4574">
            <w:pPr>
              <w:spacing w:line="360" w:lineRule="auto"/>
              <w:rPr>
                <w:lang w:val="en-GB"/>
              </w:rPr>
            </w:pPr>
          </w:p>
        </w:tc>
        <w:tc>
          <w:tcPr>
            <w:tcW w:w="4554" w:type="dxa"/>
          </w:tcPr>
          <w:p w:rsidR="00605897" w:rsidRPr="00886F5A" w:rsidRDefault="00605897" w:rsidP="001D4574"/>
        </w:tc>
      </w:tr>
      <w:tr w:rsidR="00605897" w:rsidRPr="001719F9" w:rsidTr="001D4574">
        <w:tc>
          <w:tcPr>
            <w:tcW w:w="4644" w:type="dxa"/>
            <w:tcBorders>
              <w:top w:val="dotted" w:sz="8" w:space="0" w:color="auto"/>
            </w:tcBorders>
          </w:tcPr>
          <w:p w:rsidR="00605897" w:rsidRDefault="00605897" w:rsidP="001D4574">
            <w:pPr>
              <w:spacing w:line="360" w:lineRule="auto"/>
              <w:rPr>
                <w:lang w:val="en-GB"/>
              </w:rPr>
            </w:pPr>
            <w:r>
              <w:rPr>
                <w:lang w:val="en-GB"/>
              </w:rPr>
              <w:t>Witness address</w:t>
            </w:r>
          </w:p>
        </w:tc>
        <w:tc>
          <w:tcPr>
            <w:tcW w:w="4554" w:type="dxa"/>
          </w:tcPr>
          <w:p w:rsidR="00605897" w:rsidRPr="00886F5A" w:rsidRDefault="00605897" w:rsidP="001D4574"/>
        </w:tc>
      </w:tr>
    </w:tbl>
    <w:p w:rsidR="00605897" w:rsidRPr="00886F5A" w:rsidRDefault="00605897" w:rsidP="00605897"/>
    <w:p w:rsidR="00605897" w:rsidRDefault="00605897" w:rsidP="00605897"/>
    <w:p w:rsidR="00DB5157" w:rsidRPr="00960D2A" w:rsidRDefault="00DB5157" w:rsidP="00DB5157"/>
    <w:bookmarkEnd w:id="1"/>
    <w:p w:rsidR="00DB5157" w:rsidRPr="00960D2A" w:rsidRDefault="00DB5157" w:rsidP="00DB5157">
      <w:pPr>
        <w:sectPr w:rsidR="00DB5157" w:rsidRPr="00960D2A" w:rsidSect="00DB5157">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360" w:gutter="0"/>
          <w:pgNumType w:start="1"/>
          <w:cols w:space="708"/>
          <w:titlePg/>
          <w:docGrid w:linePitch="360"/>
        </w:sectPr>
      </w:pPr>
    </w:p>
    <w:p w:rsidR="00AB5A7F" w:rsidRDefault="00AB5A7F"/>
    <w:sectPr w:rsidR="00AB5A7F" w:rsidSect="001E299B">
      <w:type w:val="oddPage"/>
      <w:pgSz w:w="11907" w:h="16839" w:code="9"/>
      <w:pgMar w:top="1440" w:right="1440" w:bottom="1440" w:left="1440" w:header="720" w:footer="36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3F2" w:rsidRDefault="009F13F2" w:rsidP="009F13F2">
      <w:r>
        <w:separator/>
      </w:r>
    </w:p>
  </w:endnote>
  <w:endnote w:type="continuationSeparator" w:id="0">
    <w:p w:rsidR="009F13F2" w:rsidRDefault="009F13F2" w:rsidP="009F13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F2" w:rsidRDefault="009F13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F2" w:rsidRDefault="009F13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F2" w:rsidRDefault="009F13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3F2" w:rsidRDefault="009F13F2" w:rsidP="009F13F2">
      <w:r>
        <w:separator/>
      </w:r>
    </w:p>
  </w:footnote>
  <w:footnote w:type="continuationSeparator" w:id="0">
    <w:p w:rsidR="009F13F2" w:rsidRDefault="009F13F2" w:rsidP="009F13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F2" w:rsidRDefault="009F1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08797" o:spid="_x0000_s2050" type="#_x0000_t136" style="position:absolute;left:0;text-align:left;margin-left:0;margin-top:0;width:454.5pt;height:181.8pt;rotation:315;z-index:-251654144;mso-position-horizontal:center;mso-position-horizontal-relative:margin;mso-position-vertical:center;mso-position-vertical-relative:margin" o:allowincell="f" fillcolor="silver" stroked="f">
          <v:textpath style="font-family:&quot;Arial&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F2" w:rsidRDefault="009F1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08798" o:spid="_x0000_s2051" type="#_x0000_t136" style="position:absolute;left:0;text-align:left;margin-left:0;margin-top:0;width:454.5pt;height:181.8pt;rotation:315;z-index:-251652096;mso-position-horizontal:center;mso-position-horizontal-relative:margin;mso-position-vertical:center;mso-position-vertical-relative:margin" o:allowincell="f" fillcolor="silver" stroked="f">
          <v:textpath style="font-family:&quot;Arial&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3F2" w:rsidRDefault="009F13F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08796" o:spid="_x0000_s2049" type="#_x0000_t136" style="position:absolute;left:0;text-align:left;margin-left:0;margin-top:0;width:454.5pt;height:181.8pt;rotation:315;z-index:-251656192;mso-position-horizontal:center;mso-position-horizontal-relative:margin;mso-position-vertical:center;mso-position-vertical-relative:margin" o:allowincell="f" fillcolor="silver" stroked="f">
          <v:textpath style="font-family:&quot;Arial&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20BE7"/>
    <w:multiLevelType w:val="hybridMultilevel"/>
    <w:tmpl w:val="3D1CA71E"/>
    <w:lvl w:ilvl="0" w:tplc="ED1ABDAE">
      <w:start w:val="1"/>
      <w:numFmt w:val="lowerLetter"/>
      <w:lvlText w:val="%1)"/>
      <w:lvlJc w:val="left"/>
      <w:pPr>
        <w:ind w:left="1944" w:hanging="360"/>
      </w:pPr>
      <w:rPr>
        <w:rFonts w:hint="default"/>
      </w:rPr>
    </w:lvl>
    <w:lvl w:ilvl="1" w:tplc="0C090019" w:tentative="1">
      <w:start w:val="1"/>
      <w:numFmt w:val="lowerLetter"/>
      <w:lvlText w:val="%2."/>
      <w:lvlJc w:val="left"/>
      <w:pPr>
        <w:ind w:left="2664" w:hanging="360"/>
      </w:pPr>
    </w:lvl>
    <w:lvl w:ilvl="2" w:tplc="0C09001B" w:tentative="1">
      <w:start w:val="1"/>
      <w:numFmt w:val="lowerRoman"/>
      <w:lvlText w:val="%3."/>
      <w:lvlJc w:val="right"/>
      <w:pPr>
        <w:ind w:left="3384" w:hanging="180"/>
      </w:pPr>
    </w:lvl>
    <w:lvl w:ilvl="3" w:tplc="0C09000F" w:tentative="1">
      <w:start w:val="1"/>
      <w:numFmt w:val="decimal"/>
      <w:lvlText w:val="%4."/>
      <w:lvlJc w:val="left"/>
      <w:pPr>
        <w:ind w:left="4104" w:hanging="360"/>
      </w:pPr>
    </w:lvl>
    <w:lvl w:ilvl="4" w:tplc="0C090019" w:tentative="1">
      <w:start w:val="1"/>
      <w:numFmt w:val="lowerLetter"/>
      <w:lvlText w:val="%5."/>
      <w:lvlJc w:val="left"/>
      <w:pPr>
        <w:ind w:left="4824" w:hanging="360"/>
      </w:pPr>
    </w:lvl>
    <w:lvl w:ilvl="5" w:tplc="0C09001B" w:tentative="1">
      <w:start w:val="1"/>
      <w:numFmt w:val="lowerRoman"/>
      <w:lvlText w:val="%6."/>
      <w:lvlJc w:val="right"/>
      <w:pPr>
        <w:ind w:left="5544" w:hanging="180"/>
      </w:pPr>
    </w:lvl>
    <w:lvl w:ilvl="6" w:tplc="0C09000F" w:tentative="1">
      <w:start w:val="1"/>
      <w:numFmt w:val="decimal"/>
      <w:lvlText w:val="%7."/>
      <w:lvlJc w:val="left"/>
      <w:pPr>
        <w:ind w:left="6264" w:hanging="360"/>
      </w:pPr>
    </w:lvl>
    <w:lvl w:ilvl="7" w:tplc="0C090019" w:tentative="1">
      <w:start w:val="1"/>
      <w:numFmt w:val="lowerLetter"/>
      <w:lvlText w:val="%8."/>
      <w:lvlJc w:val="left"/>
      <w:pPr>
        <w:ind w:left="6984" w:hanging="360"/>
      </w:pPr>
    </w:lvl>
    <w:lvl w:ilvl="8" w:tplc="0C09001B" w:tentative="1">
      <w:start w:val="1"/>
      <w:numFmt w:val="lowerRoman"/>
      <w:lvlText w:val="%9."/>
      <w:lvlJc w:val="right"/>
      <w:pPr>
        <w:ind w:left="7704" w:hanging="180"/>
      </w:pPr>
    </w:lvl>
  </w:abstractNum>
  <w:abstractNum w:abstractNumId="1">
    <w:nsid w:val="5A8F67F2"/>
    <w:multiLevelType w:val="hybridMultilevel"/>
    <w:tmpl w:val="0680AB00"/>
    <w:lvl w:ilvl="0" w:tplc="121ABB6E">
      <w:start w:val="1"/>
      <w:numFmt w:val="lowerLetter"/>
      <w:lvlText w:val="%1)"/>
      <w:lvlJc w:val="left"/>
      <w:pPr>
        <w:ind w:left="1284" w:hanging="360"/>
      </w:pPr>
      <w:rPr>
        <w:rFonts w:hint="default"/>
      </w:rPr>
    </w:lvl>
    <w:lvl w:ilvl="1" w:tplc="0C090019" w:tentative="1">
      <w:start w:val="1"/>
      <w:numFmt w:val="lowerLetter"/>
      <w:lvlText w:val="%2."/>
      <w:lvlJc w:val="left"/>
      <w:pPr>
        <w:ind w:left="2004" w:hanging="360"/>
      </w:pPr>
    </w:lvl>
    <w:lvl w:ilvl="2" w:tplc="0C09001B" w:tentative="1">
      <w:start w:val="1"/>
      <w:numFmt w:val="lowerRoman"/>
      <w:lvlText w:val="%3."/>
      <w:lvlJc w:val="right"/>
      <w:pPr>
        <w:ind w:left="2724" w:hanging="180"/>
      </w:pPr>
    </w:lvl>
    <w:lvl w:ilvl="3" w:tplc="0C09000F" w:tentative="1">
      <w:start w:val="1"/>
      <w:numFmt w:val="decimal"/>
      <w:lvlText w:val="%4."/>
      <w:lvlJc w:val="left"/>
      <w:pPr>
        <w:ind w:left="3444" w:hanging="360"/>
      </w:pPr>
    </w:lvl>
    <w:lvl w:ilvl="4" w:tplc="0C090019" w:tentative="1">
      <w:start w:val="1"/>
      <w:numFmt w:val="lowerLetter"/>
      <w:lvlText w:val="%5."/>
      <w:lvlJc w:val="left"/>
      <w:pPr>
        <w:ind w:left="4164" w:hanging="360"/>
      </w:pPr>
    </w:lvl>
    <w:lvl w:ilvl="5" w:tplc="0C09001B" w:tentative="1">
      <w:start w:val="1"/>
      <w:numFmt w:val="lowerRoman"/>
      <w:lvlText w:val="%6."/>
      <w:lvlJc w:val="right"/>
      <w:pPr>
        <w:ind w:left="4884" w:hanging="180"/>
      </w:pPr>
    </w:lvl>
    <w:lvl w:ilvl="6" w:tplc="0C09000F" w:tentative="1">
      <w:start w:val="1"/>
      <w:numFmt w:val="decimal"/>
      <w:lvlText w:val="%7."/>
      <w:lvlJc w:val="left"/>
      <w:pPr>
        <w:ind w:left="5604" w:hanging="360"/>
      </w:pPr>
    </w:lvl>
    <w:lvl w:ilvl="7" w:tplc="0C090019" w:tentative="1">
      <w:start w:val="1"/>
      <w:numFmt w:val="lowerLetter"/>
      <w:lvlText w:val="%8."/>
      <w:lvlJc w:val="left"/>
      <w:pPr>
        <w:ind w:left="6324" w:hanging="360"/>
      </w:pPr>
    </w:lvl>
    <w:lvl w:ilvl="8" w:tplc="0C09001B" w:tentative="1">
      <w:start w:val="1"/>
      <w:numFmt w:val="lowerRoman"/>
      <w:lvlText w:val="%9."/>
      <w:lvlJc w:val="right"/>
      <w:pPr>
        <w:ind w:left="7044" w:hanging="180"/>
      </w:pPr>
    </w:lvl>
  </w:abstractNum>
  <w:abstractNum w:abstractNumId="2">
    <w:nsid w:val="5C543BB4"/>
    <w:multiLevelType w:val="multilevel"/>
    <w:tmpl w:val="CB168282"/>
    <w:lvl w:ilvl="0">
      <w:start w:val="1"/>
      <w:numFmt w:val="decimal"/>
      <w:pStyle w:val="Heading1"/>
      <w:lvlText w:val="%1."/>
      <w:lvlJc w:val="left"/>
      <w:pPr>
        <w:tabs>
          <w:tab w:val="num" w:pos="720"/>
        </w:tabs>
        <w:ind w:left="720" w:hanging="720"/>
      </w:pPr>
      <w:rPr>
        <w:b w:val="0"/>
        <w:color w:val="auto"/>
      </w:rPr>
    </w:lvl>
    <w:lvl w:ilvl="1">
      <w:start w:val="1"/>
      <w:numFmt w:val="decimal"/>
      <w:pStyle w:val="Heading2"/>
      <w:lvlText w:val="%1.%2."/>
      <w:lvlJc w:val="left"/>
      <w:pPr>
        <w:tabs>
          <w:tab w:val="num" w:pos="1584"/>
        </w:tabs>
        <w:ind w:left="1584" w:hanging="864"/>
      </w:pPr>
      <w:rPr>
        <w:b w:val="0"/>
        <w:color w:val="auto"/>
        <w:sz w:val="20"/>
        <w:szCs w:val="20"/>
      </w:rPr>
    </w:lvl>
    <w:lvl w:ilvl="2">
      <w:start w:val="1"/>
      <w:numFmt w:val="decimal"/>
      <w:pStyle w:val="Heading3"/>
      <w:lvlText w:val="%1.%2.%3."/>
      <w:lvlJc w:val="left"/>
      <w:pPr>
        <w:tabs>
          <w:tab w:val="num" w:pos="2592"/>
        </w:tabs>
        <w:ind w:left="2592" w:hanging="1008"/>
      </w:pPr>
    </w:lvl>
    <w:lvl w:ilvl="3">
      <w:start w:val="1"/>
      <w:numFmt w:val="decimal"/>
      <w:pStyle w:val="Heading4"/>
      <w:lvlText w:val="%1.%2.%3.%4."/>
      <w:lvlJc w:val="left"/>
      <w:pPr>
        <w:tabs>
          <w:tab w:val="num" w:pos="3744"/>
        </w:tabs>
        <w:ind w:left="3744" w:hanging="1152"/>
      </w:pPr>
    </w:lvl>
    <w:lvl w:ilvl="4">
      <w:start w:val="1"/>
      <w:numFmt w:val="decimal"/>
      <w:pStyle w:val="Heading5"/>
      <w:lvlText w:val="%1.%2.%3.%4.%5."/>
      <w:lvlJc w:val="left"/>
      <w:pPr>
        <w:tabs>
          <w:tab w:val="num" w:pos="5040"/>
        </w:tabs>
        <w:ind w:left="5040" w:hanging="1296"/>
      </w:pPr>
    </w:lvl>
    <w:lvl w:ilvl="5">
      <w:start w:val="1"/>
      <w:numFmt w:val="decimal"/>
      <w:pStyle w:val="Heading6"/>
      <w:lvlText w:val="%1.%2.%3.%4.%5.%6."/>
      <w:lvlJc w:val="left"/>
      <w:pPr>
        <w:tabs>
          <w:tab w:val="num" w:pos="6480"/>
        </w:tabs>
        <w:ind w:left="6480" w:hanging="1440"/>
      </w:pPr>
    </w:lvl>
    <w:lvl w:ilvl="6">
      <w:start w:val="1"/>
      <w:numFmt w:val="decimal"/>
      <w:pStyle w:val="Heading7"/>
      <w:lvlText w:val="%1.%2.%3.%4.%5.%6.%7."/>
      <w:lvlJc w:val="left"/>
      <w:pPr>
        <w:tabs>
          <w:tab w:val="num" w:pos="8064"/>
        </w:tabs>
        <w:ind w:left="8064" w:hanging="1584"/>
      </w:pPr>
    </w:lvl>
    <w:lvl w:ilvl="7">
      <w:start w:val="1"/>
      <w:numFmt w:val="decimal"/>
      <w:lvlText w:val="%1.%2.%3.%4.%5.%6.%7.%8."/>
      <w:lvlJc w:val="left"/>
      <w:pPr>
        <w:tabs>
          <w:tab w:val="num" w:pos="9792"/>
        </w:tabs>
        <w:ind w:left="9792" w:hanging="1728"/>
      </w:pPr>
    </w:lvl>
    <w:lvl w:ilvl="8">
      <w:start w:val="1"/>
      <w:numFmt w:val="decimal"/>
      <w:isLgl/>
      <w:lvlText w:val="%1.%2.%3.%4.%5.%6.%7.%8.%9."/>
      <w:lvlJc w:val="left"/>
      <w:pPr>
        <w:tabs>
          <w:tab w:val="num" w:pos="11952"/>
        </w:tabs>
        <w:ind w:left="11664" w:hanging="1872"/>
      </w:pPr>
    </w:lvl>
  </w:abstractNum>
  <w:abstractNum w:abstractNumId="3">
    <w:nsid w:val="5D4E3EA8"/>
    <w:multiLevelType w:val="hybridMultilevel"/>
    <w:tmpl w:val="00D2F590"/>
    <w:lvl w:ilvl="0" w:tplc="215298BC">
      <w:start w:val="1"/>
      <w:numFmt w:val="decimal"/>
      <w:pStyle w:val="Recitals"/>
      <w:lvlText w:val="R.%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47D3B0E"/>
    <w:multiLevelType w:val="multilevel"/>
    <w:tmpl w:val="19F2B912"/>
    <w:lvl w:ilvl="0">
      <w:start w:val="1"/>
      <w:numFmt w:val="decimal"/>
      <w:pStyle w:val="Parties"/>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D4D3A6D"/>
    <w:multiLevelType w:val="singleLevel"/>
    <w:tmpl w:val="32E84938"/>
    <w:lvl w:ilvl="0">
      <w:start w:val="1"/>
      <w:numFmt w:val="decimal"/>
      <w:pStyle w:val="NumIndentBold"/>
      <w:lvlText w:val="%1)"/>
      <w:lvlJc w:val="left"/>
      <w:pPr>
        <w:tabs>
          <w:tab w:val="num" w:pos="360"/>
        </w:tabs>
        <w:ind w:left="360" w:hanging="360"/>
      </w:pPr>
    </w:lvl>
  </w:abstractNum>
  <w:num w:numId="1">
    <w:abstractNumId w:val="2"/>
  </w:num>
  <w:num w:numId="2">
    <w:abstractNumId w:val="3"/>
  </w:num>
  <w:num w:numId="3">
    <w:abstractNumId w:val="4"/>
  </w:num>
  <w:num w:numId="4">
    <w:abstractNumId w:val="0"/>
  </w:num>
  <w:num w:numId="5">
    <w:abstractNumId w:val="5"/>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DB5157"/>
    <w:rsid w:val="00060657"/>
    <w:rsid w:val="0006740F"/>
    <w:rsid w:val="000710D8"/>
    <w:rsid w:val="000756DF"/>
    <w:rsid w:val="00083B82"/>
    <w:rsid w:val="000910BD"/>
    <w:rsid w:val="00110344"/>
    <w:rsid w:val="001114DE"/>
    <w:rsid w:val="00126753"/>
    <w:rsid w:val="001406C0"/>
    <w:rsid w:val="00151C90"/>
    <w:rsid w:val="001919AC"/>
    <w:rsid w:val="001931A4"/>
    <w:rsid w:val="001C1096"/>
    <w:rsid w:val="001C7397"/>
    <w:rsid w:val="001D2649"/>
    <w:rsid w:val="001E299B"/>
    <w:rsid w:val="00207D01"/>
    <w:rsid w:val="0021262B"/>
    <w:rsid w:val="00230768"/>
    <w:rsid w:val="00270558"/>
    <w:rsid w:val="002A073F"/>
    <w:rsid w:val="002A7190"/>
    <w:rsid w:val="002B0CDC"/>
    <w:rsid w:val="00322084"/>
    <w:rsid w:val="00345ACD"/>
    <w:rsid w:val="00364827"/>
    <w:rsid w:val="00367BF5"/>
    <w:rsid w:val="003749C7"/>
    <w:rsid w:val="003D0403"/>
    <w:rsid w:val="00400C05"/>
    <w:rsid w:val="0042329C"/>
    <w:rsid w:val="00426504"/>
    <w:rsid w:val="00427687"/>
    <w:rsid w:val="004301C9"/>
    <w:rsid w:val="0045660B"/>
    <w:rsid w:val="004632E5"/>
    <w:rsid w:val="004D064B"/>
    <w:rsid w:val="00517017"/>
    <w:rsid w:val="005311DB"/>
    <w:rsid w:val="00531636"/>
    <w:rsid w:val="005375D1"/>
    <w:rsid w:val="005550FA"/>
    <w:rsid w:val="00567D23"/>
    <w:rsid w:val="005C6613"/>
    <w:rsid w:val="005C72D0"/>
    <w:rsid w:val="005E5F86"/>
    <w:rsid w:val="00605897"/>
    <w:rsid w:val="0066624B"/>
    <w:rsid w:val="0068408F"/>
    <w:rsid w:val="006A3FD5"/>
    <w:rsid w:val="006C4779"/>
    <w:rsid w:val="006D1F1F"/>
    <w:rsid w:val="00715620"/>
    <w:rsid w:val="00762B31"/>
    <w:rsid w:val="00774B94"/>
    <w:rsid w:val="007A640E"/>
    <w:rsid w:val="007C6C26"/>
    <w:rsid w:val="007D1FF7"/>
    <w:rsid w:val="007D489A"/>
    <w:rsid w:val="00802ABD"/>
    <w:rsid w:val="0081771A"/>
    <w:rsid w:val="00833659"/>
    <w:rsid w:val="0085114F"/>
    <w:rsid w:val="00866F7D"/>
    <w:rsid w:val="00870126"/>
    <w:rsid w:val="0087226A"/>
    <w:rsid w:val="0087527E"/>
    <w:rsid w:val="008872AB"/>
    <w:rsid w:val="008B0D46"/>
    <w:rsid w:val="008B10F8"/>
    <w:rsid w:val="008C46C9"/>
    <w:rsid w:val="008D5122"/>
    <w:rsid w:val="008E09D2"/>
    <w:rsid w:val="008F2F6A"/>
    <w:rsid w:val="00902CBF"/>
    <w:rsid w:val="0091329F"/>
    <w:rsid w:val="00931A83"/>
    <w:rsid w:val="00933249"/>
    <w:rsid w:val="009751B9"/>
    <w:rsid w:val="00990300"/>
    <w:rsid w:val="009E108A"/>
    <w:rsid w:val="009F13F2"/>
    <w:rsid w:val="009F1536"/>
    <w:rsid w:val="00A044E8"/>
    <w:rsid w:val="00A11D78"/>
    <w:rsid w:val="00A30831"/>
    <w:rsid w:val="00A94963"/>
    <w:rsid w:val="00AB1BDF"/>
    <w:rsid w:val="00AB5A7F"/>
    <w:rsid w:val="00AD475B"/>
    <w:rsid w:val="00B17B72"/>
    <w:rsid w:val="00B24B0F"/>
    <w:rsid w:val="00B4591D"/>
    <w:rsid w:val="00B757E3"/>
    <w:rsid w:val="00B8179B"/>
    <w:rsid w:val="00B839EA"/>
    <w:rsid w:val="00BB4D44"/>
    <w:rsid w:val="00BE41D1"/>
    <w:rsid w:val="00BE4495"/>
    <w:rsid w:val="00C06A48"/>
    <w:rsid w:val="00C125CA"/>
    <w:rsid w:val="00C431BD"/>
    <w:rsid w:val="00C52955"/>
    <w:rsid w:val="00C637B2"/>
    <w:rsid w:val="00C867E9"/>
    <w:rsid w:val="00CA4096"/>
    <w:rsid w:val="00CB6206"/>
    <w:rsid w:val="00CC0FAF"/>
    <w:rsid w:val="00CC7726"/>
    <w:rsid w:val="00CF4C04"/>
    <w:rsid w:val="00D0539E"/>
    <w:rsid w:val="00D1540A"/>
    <w:rsid w:val="00D15900"/>
    <w:rsid w:val="00D21036"/>
    <w:rsid w:val="00D502B8"/>
    <w:rsid w:val="00D60B67"/>
    <w:rsid w:val="00D90003"/>
    <w:rsid w:val="00D91038"/>
    <w:rsid w:val="00D97339"/>
    <w:rsid w:val="00DB5157"/>
    <w:rsid w:val="00DE300E"/>
    <w:rsid w:val="00DF3B74"/>
    <w:rsid w:val="00E0798E"/>
    <w:rsid w:val="00E67E0B"/>
    <w:rsid w:val="00E75E8D"/>
    <w:rsid w:val="00ED3227"/>
    <w:rsid w:val="00F17C57"/>
    <w:rsid w:val="00FC0D6F"/>
    <w:rsid w:val="00FD37E6"/>
    <w:rsid w:val="00FE325C"/>
  </w:rsids>
  <m:mathPr>
    <m:mathFont m:val="Cambria Math"/>
    <m:brkBin m:val="before"/>
    <m:brkBinSub m:val="--"/>
    <m:smallFrac m:val="off"/>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3" w:qFormat="1"/>
    <w:lsdException w:name="heading 3" w:uiPriority="15" w:qFormat="1"/>
    <w:lsdException w:name="heading 4" w:uiPriority="17" w:qFormat="1"/>
    <w:lsdException w:name="heading 5" w:uiPriority="19" w:qFormat="1"/>
    <w:lsdException w:name="heading 6" w:uiPriority="21" w:qFormat="1"/>
    <w:lsdException w:name="heading 7" w:uiPriority="23"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157"/>
    <w:pPr>
      <w:jc w:val="both"/>
    </w:pPr>
    <w:rPr>
      <w:rFonts w:ascii="Arial" w:hAnsi="Arial"/>
    </w:rPr>
  </w:style>
  <w:style w:type="paragraph" w:styleId="Heading1">
    <w:name w:val="heading 1"/>
    <w:basedOn w:val="Normal"/>
    <w:next w:val="HeadIndent1"/>
    <w:link w:val="Heading1Char"/>
    <w:uiPriority w:val="9"/>
    <w:qFormat/>
    <w:rsid w:val="00DB5157"/>
    <w:pPr>
      <w:numPr>
        <w:numId w:val="1"/>
      </w:numPr>
      <w:spacing w:before="120"/>
      <w:outlineLvl w:val="0"/>
    </w:pPr>
    <w:rPr>
      <w:kern w:val="28"/>
    </w:rPr>
  </w:style>
  <w:style w:type="paragraph" w:styleId="Heading2">
    <w:name w:val="heading 2"/>
    <w:basedOn w:val="Normal"/>
    <w:next w:val="HeadIndent2"/>
    <w:link w:val="Heading2Char"/>
    <w:uiPriority w:val="13"/>
    <w:qFormat/>
    <w:rsid w:val="00DB5157"/>
    <w:pPr>
      <w:numPr>
        <w:ilvl w:val="1"/>
        <w:numId w:val="1"/>
      </w:numPr>
      <w:spacing w:before="240"/>
      <w:outlineLvl w:val="1"/>
    </w:pPr>
  </w:style>
  <w:style w:type="paragraph" w:styleId="Heading3">
    <w:name w:val="heading 3"/>
    <w:basedOn w:val="Normal"/>
    <w:next w:val="Normal"/>
    <w:link w:val="Heading3Char"/>
    <w:uiPriority w:val="15"/>
    <w:qFormat/>
    <w:rsid w:val="00DB5157"/>
    <w:pPr>
      <w:numPr>
        <w:ilvl w:val="2"/>
        <w:numId w:val="1"/>
      </w:numPr>
      <w:spacing w:before="240"/>
      <w:outlineLvl w:val="2"/>
    </w:pPr>
  </w:style>
  <w:style w:type="paragraph" w:styleId="Heading4">
    <w:name w:val="heading 4"/>
    <w:basedOn w:val="Normal"/>
    <w:next w:val="Normal"/>
    <w:link w:val="Heading4Char"/>
    <w:uiPriority w:val="17"/>
    <w:qFormat/>
    <w:rsid w:val="00DB5157"/>
    <w:pPr>
      <w:numPr>
        <w:ilvl w:val="3"/>
        <w:numId w:val="1"/>
      </w:numPr>
      <w:spacing w:before="240"/>
      <w:outlineLvl w:val="3"/>
    </w:pPr>
  </w:style>
  <w:style w:type="paragraph" w:styleId="Heading5">
    <w:name w:val="heading 5"/>
    <w:basedOn w:val="Normal"/>
    <w:next w:val="Normal"/>
    <w:link w:val="Heading5Char"/>
    <w:uiPriority w:val="19"/>
    <w:qFormat/>
    <w:rsid w:val="00DB5157"/>
    <w:pPr>
      <w:numPr>
        <w:ilvl w:val="4"/>
        <w:numId w:val="1"/>
      </w:numPr>
      <w:spacing w:before="240"/>
      <w:outlineLvl w:val="4"/>
    </w:pPr>
  </w:style>
  <w:style w:type="paragraph" w:styleId="Heading6">
    <w:name w:val="heading 6"/>
    <w:basedOn w:val="Normal"/>
    <w:next w:val="Normal"/>
    <w:link w:val="Heading6Char"/>
    <w:uiPriority w:val="21"/>
    <w:qFormat/>
    <w:rsid w:val="00DB5157"/>
    <w:pPr>
      <w:numPr>
        <w:ilvl w:val="5"/>
        <w:numId w:val="1"/>
      </w:numPr>
      <w:spacing w:before="240"/>
      <w:outlineLvl w:val="5"/>
    </w:pPr>
  </w:style>
  <w:style w:type="paragraph" w:styleId="Heading7">
    <w:name w:val="heading 7"/>
    <w:basedOn w:val="Normal"/>
    <w:next w:val="Normal"/>
    <w:link w:val="Heading7Char"/>
    <w:uiPriority w:val="23"/>
    <w:qFormat/>
    <w:rsid w:val="00DB5157"/>
    <w:pPr>
      <w:keepNext/>
      <w:numPr>
        <w:ilvl w:val="6"/>
        <w:numId w:val="1"/>
      </w:numPr>
      <w:spacing w:line="360" w:lineRule="auto"/>
      <w:outlineLvl w:val="6"/>
    </w:pPr>
  </w:style>
  <w:style w:type="paragraph" w:styleId="Heading9">
    <w:name w:val="heading 9"/>
    <w:basedOn w:val="Normal"/>
    <w:link w:val="Heading9Char"/>
    <w:qFormat/>
    <w:rsid w:val="00DB5157"/>
    <w:pPr>
      <w:keepNext/>
      <w:spacing w:before="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5E5F86"/>
    <w:pPr>
      <w:spacing w:after="120"/>
      <w:ind w:left="1134"/>
    </w:pPr>
    <w:rPr>
      <w:color w:val="000000"/>
      <w:sz w:val="22"/>
      <w:lang w:val="en-GB"/>
    </w:rPr>
  </w:style>
  <w:style w:type="character" w:customStyle="1" w:styleId="Heading1Char">
    <w:name w:val="Heading 1 Char"/>
    <w:basedOn w:val="DefaultParagraphFont"/>
    <w:link w:val="Heading1"/>
    <w:uiPriority w:val="9"/>
    <w:rsid w:val="00DB5157"/>
    <w:rPr>
      <w:rFonts w:ascii="Arial" w:hAnsi="Arial"/>
      <w:kern w:val="28"/>
    </w:rPr>
  </w:style>
  <w:style w:type="character" w:customStyle="1" w:styleId="Heading2Char">
    <w:name w:val="Heading 2 Char"/>
    <w:basedOn w:val="DefaultParagraphFont"/>
    <w:link w:val="Heading2"/>
    <w:uiPriority w:val="13"/>
    <w:rsid w:val="00DB5157"/>
    <w:rPr>
      <w:rFonts w:ascii="Arial" w:hAnsi="Arial"/>
    </w:rPr>
  </w:style>
  <w:style w:type="character" w:customStyle="1" w:styleId="Heading3Char">
    <w:name w:val="Heading 3 Char"/>
    <w:basedOn w:val="DefaultParagraphFont"/>
    <w:link w:val="Heading3"/>
    <w:uiPriority w:val="15"/>
    <w:rsid w:val="00DB5157"/>
    <w:rPr>
      <w:rFonts w:ascii="Arial" w:hAnsi="Arial"/>
    </w:rPr>
  </w:style>
  <w:style w:type="character" w:customStyle="1" w:styleId="Heading4Char">
    <w:name w:val="Heading 4 Char"/>
    <w:basedOn w:val="DefaultParagraphFont"/>
    <w:link w:val="Heading4"/>
    <w:uiPriority w:val="17"/>
    <w:rsid w:val="00DB5157"/>
    <w:rPr>
      <w:rFonts w:ascii="Arial" w:hAnsi="Arial"/>
    </w:rPr>
  </w:style>
  <w:style w:type="character" w:customStyle="1" w:styleId="Heading5Char">
    <w:name w:val="Heading 5 Char"/>
    <w:basedOn w:val="DefaultParagraphFont"/>
    <w:link w:val="Heading5"/>
    <w:uiPriority w:val="19"/>
    <w:rsid w:val="00DB5157"/>
    <w:rPr>
      <w:rFonts w:ascii="Arial" w:hAnsi="Arial"/>
    </w:rPr>
  </w:style>
  <w:style w:type="character" w:customStyle="1" w:styleId="Heading6Char">
    <w:name w:val="Heading 6 Char"/>
    <w:basedOn w:val="DefaultParagraphFont"/>
    <w:link w:val="Heading6"/>
    <w:uiPriority w:val="21"/>
    <w:rsid w:val="00DB5157"/>
    <w:rPr>
      <w:rFonts w:ascii="Arial" w:hAnsi="Arial"/>
    </w:rPr>
  </w:style>
  <w:style w:type="character" w:customStyle="1" w:styleId="Heading7Char">
    <w:name w:val="Heading 7 Char"/>
    <w:basedOn w:val="DefaultParagraphFont"/>
    <w:link w:val="Heading7"/>
    <w:uiPriority w:val="23"/>
    <w:rsid w:val="00DB5157"/>
    <w:rPr>
      <w:rFonts w:ascii="Arial" w:hAnsi="Arial"/>
    </w:rPr>
  </w:style>
  <w:style w:type="character" w:customStyle="1" w:styleId="Heading9Char">
    <w:name w:val="Heading 9 Char"/>
    <w:basedOn w:val="DefaultParagraphFont"/>
    <w:link w:val="Heading9"/>
    <w:rsid w:val="00DB5157"/>
    <w:rPr>
      <w:rFonts w:ascii="Arial" w:hAnsi="Arial"/>
      <w:b/>
    </w:rPr>
  </w:style>
  <w:style w:type="paragraph" w:customStyle="1" w:styleId="Recitals">
    <w:name w:val="Recitals"/>
    <w:basedOn w:val="Normal"/>
    <w:qFormat/>
    <w:rsid w:val="00DB5157"/>
    <w:pPr>
      <w:numPr>
        <w:numId w:val="2"/>
      </w:numPr>
      <w:tabs>
        <w:tab w:val="left" w:pos="714"/>
      </w:tabs>
      <w:spacing w:before="240"/>
    </w:pPr>
  </w:style>
  <w:style w:type="paragraph" w:customStyle="1" w:styleId="HeadIndent2">
    <w:name w:val="Head Indent 2"/>
    <w:basedOn w:val="Normal"/>
    <w:uiPriority w:val="14"/>
    <w:rsid w:val="00DB5157"/>
    <w:pPr>
      <w:ind w:left="1584"/>
    </w:pPr>
  </w:style>
  <w:style w:type="paragraph" w:customStyle="1" w:styleId="HeadIndent1">
    <w:name w:val="Head Indent 1"/>
    <w:basedOn w:val="Normal"/>
    <w:uiPriority w:val="10"/>
    <w:rsid w:val="00DB5157"/>
    <w:pPr>
      <w:ind w:left="720"/>
    </w:pPr>
  </w:style>
  <w:style w:type="paragraph" w:customStyle="1" w:styleId="Parties">
    <w:name w:val="Parties"/>
    <w:basedOn w:val="Normal"/>
    <w:qFormat/>
    <w:rsid w:val="00DB5157"/>
    <w:pPr>
      <w:numPr>
        <w:numId w:val="3"/>
      </w:numPr>
      <w:spacing w:before="240"/>
    </w:pPr>
    <w:rPr>
      <w:snapToGrid w:val="0"/>
      <w:lang w:val="en-US" w:eastAsia="en-US"/>
    </w:rPr>
  </w:style>
  <w:style w:type="paragraph" w:customStyle="1" w:styleId="NumIndentBold">
    <w:name w:val="Num_Indent_Bold"/>
    <w:basedOn w:val="Normal"/>
    <w:rsid w:val="001E299B"/>
    <w:pPr>
      <w:numPr>
        <w:numId w:val="5"/>
      </w:numPr>
      <w:spacing w:after="160"/>
      <w:ind w:left="924" w:hanging="357"/>
    </w:pPr>
    <w:rPr>
      <w:b/>
      <w:color w:val="000000"/>
      <w:sz w:val="22"/>
      <w:lang w:val="en-GB"/>
    </w:rPr>
  </w:style>
  <w:style w:type="paragraph" w:styleId="BalloonText">
    <w:name w:val="Balloon Text"/>
    <w:basedOn w:val="Normal"/>
    <w:link w:val="BalloonTextChar"/>
    <w:uiPriority w:val="99"/>
    <w:semiHidden/>
    <w:unhideWhenUsed/>
    <w:rsid w:val="00B24B0F"/>
    <w:rPr>
      <w:rFonts w:ascii="Tahoma" w:hAnsi="Tahoma" w:cs="Tahoma"/>
      <w:sz w:val="16"/>
      <w:szCs w:val="16"/>
    </w:rPr>
  </w:style>
  <w:style w:type="character" w:customStyle="1" w:styleId="BalloonTextChar">
    <w:name w:val="Balloon Text Char"/>
    <w:basedOn w:val="DefaultParagraphFont"/>
    <w:link w:val="BalloonText"/>
    <w:uiPriority w:val="99"/>
    <w:semiHidden/>
    <w:rsid w:val="00B24B0F"/>
    <w:rPr>
      <w:rFonts w:ascii="Tahoma" w:hAnsi="Tahoma" w:cs="Tahoma"/>
      <w:sz w:val="16"/>
      <w:szCs w:val="16"/>
    </w:rPr>
  </w:style>
  <w:style w:type="character" w:styleId="CommentReference">
    <w:name w:val="annotation reference"/>
    <w:basedOn w:val="DefaultParagraphFont"/>
    <w:uiPriority w:val="99"/>
    <w:semiHidden/>
    <w:unhideWhenUsed/>
    <w:rsid w:val="006C4779"/>
    <w:rPr>
      <w:sz w:val="16"/>
      <w:szCs w:val="16"/>
    </w:rPr>
  </w:style>
  <w:style w:type="paragraph" w:styleId="CommentText">
    <w:name w:val="annotation text"/>
    <w:basedOn w:val="Normal"/>
    <w:link w:val="CommentTextChar"/>
    <w:uiPriority w:val="99"/>
    <w:semiHidden/>
    <w:unhideWhenUsed/>
    <w:rsid w:val="006C4779"/>
  </w:style>
  <w:style w:type="character" w:customStyle="1" w:styleId="CommentTextChar">
    <w:name w:val="Comment Text Char"/>
    <w:basedOn w:val="DefaultParagraphFont"/>
    <w:link w:val="CommentText"/>
    <w:uiPriority w:val="99"/>
    <w:semiHidden/>
    <w:rsid w:val="006C4779"/>
    <w:rPr>
      <w:rFonts w:ascii="Arial" w:hAnsi="Arial"/>
    </w:rPr>
  </w:style>
  <w:style w:type="paragraph" w:styleId="CommentSubject">
    <w:name w:val="annotation subject"/>
    <w:basedOn w:val="CommentText"/>
    <w:next w:val="CommentText"/>
    <w:link w:val="CommentSubjectChar"/>
    <w:uiPriority w:val="99"/>
    <w:semiHidden/>
    <w:unhideWhenUsed/>
    <w:rsid w:val="006C4779"/>
    <w:rPr>
      <w:b/>
      <w:bCs/>
    </w:rPr>
  </w:style>
  <w:style w:type="character" w:customStyle="1" w:styleId="CommentSubjectChar">
    <w:name w:val="Comment Subject Char"/>
    <w:basedOn w:val="CommentTextChar"/>
    <w:link w:val="CommentSubject"/>
    <w:uiPriority w:val="99"/>
    <w:semiHidden/>
    <w:rsid w:val="006C4779"/>
    <w:rPr>
      <w:rFonts w:ascii="Arial" w:hAnsi="Arial"/>
      <w:b/>
      <w:bCs/>
    </w:rPr>
  </w:style>
  <w:style w:type="paragraph" w:customStyle="1" w:styleId="Seal">
    <w:name w:val="Seal"/>
    <w:basedOn w:val="Normal"/>
    <w:uiPriority w:val="99"/>
    <w:rsid w:val="00605897"/>
    <w:pPr>
      <w:jc w:val="left"/>
    </w:pPr>
  </w:style>
  <w:style w:type="paragraph" w:styleId="Header">
    <w:name w:val="header"/>
    <w:basedOn w:val="Normal"/>
    <w:link w:val="HeaderChar"/>
    <w:uiPriority w:val="99"/>
    <w:semiHidden/>
    <w:unhideWhenUsed/>
    <w:rsid w:val="009F13F2"/>
    <w:pPr>
      <w:tabs>
        <w:tab w:val="center" w:pos="4513"/>
        <w:tab w:val="right" w:pos="9026"/>
      </w:tabs>
    </w:pPr>
  </w:style>
  <w:style w:type="character" w:customStyle="1" w:styleId="HeaderChar">
    <w:name w:val="Header Char"/>
    <w:basedOn w:val="DefaultParagraphFont"/>
    <w:link w:val="Header"/>
    <w:uiPriority w:val="99"/>
    <w:semiHidden/>
    <w:rsid w:val="009F13F2"/>
    <w:rPr>
      <w:rFonts w:ascii="Arial" w:hAnsi="Arial"/>
    </w:rPr>
  </w:style>
  <w:style w:type="paragraph" w:styleId="Footer">
    <w:name w:val="footer"/>
    <w:basedOn w:val="Normal"/>
    <w:link w:val="FooterChar"/>
    <w:uiPriority w:val="99"/>
    <w:semiHidden/>
    <w:unhideWhenUsed/>
    <w:rsid w:val="009F13F2"/>
    <w:pPr>
      <w:tabs>
        <w:tab w:val="center" w:pos="4513"/>
        <w:tab w:val="right" w:pos="9026"/>
      </w:tabs>
    </w:pPr>
  </w:style>
  <w:style w:type="character" w:customStyle="1" w:styleId="FooterChar">
    <w:name w:val="Footer Char"/>
    <w:basedOn w:val="DefaultParagraphFont"/>
    <w:link w:val="Footer"/>
    <w:uiPriority w:val="99"/>
    <w:semiHidden/>
    <w:rsid w:val="009F13F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870A4-E739-4A54-9C81-8046F14B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4117</Words>
  <Characters>21198</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25265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jh10848</dc:creator>
  <cp:lastModifiedBy>jh10848</cp:lastModifiedBy>
  <cp:revision>3</cp:revision>
  <dcterms:created xsi:type="dcterms:W3CDTF">2014-07-09T01:55:00Z</dcterms:created>
  <dcterms:modified xsi:type="dcterms:W3CDTF">2014-07-14T02:37:00Z</dcterms:modified>
</cp:coreProperties>
</file>