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34" w:rsidRPr="00933434" w:rsidRDefault="00933434" w:rsidP="00933434">
      <w:pPr>
        <w:spacing w:line="200" w:lineRule="exact"/>
        <w:ind w:left="-1134"/>
        <w:rPr>
          <w:b/>
          <w:sz w:val="22"/>
          <w:szCs w:val="22"/>
        </w:rPr>
      </w:pPr>
      <w:r w:rsidRPr="00933434">
        <w:rPr>
          <w:b/>
          <w:sz w:val="22"/>
          <w:szCs w:val="22"/>
        </w:rPr>
        <w:t xml:space="preserve">Schedule 2 to the General Residential Zone. </w:t>
      </w:r>
    </w:p>
    <w:p w:rsidR="00933434" w:rsidRDefault="00933434" w:rsidP="00933434">
      <w:pPr>
        <w:spacing w:line="200" w:lineRule="exact"/>
      </w:pPr>
    </w:p>
    <w:tbl>
      <w:tblPr>
        <w:tblStyle w:val="TableGrid"/>
        <w:tblW w:w="10915" w:type="dxa"/>
        <w:tblInd w:w="-1026" w:type="dxa"/>
        <w:tblLook w:val="04A0"/>
      </w:tblPr>
      <w:tblGrid>
        <w:gridCol w:w="2552"/>
        <w:gridCol w:w="4111"/>
        <w:gridCol w:w="4252"/>
      </w:tblGrid>
      <w:tr w:rsidR="00933434" w:rsidTr="0022285C">
        <w:tc>
          <w:tcPr>
            <w:tcW w:w="2552" w:type="dxa"/>
            <w:shd w:val="clear" w:color="auto" w:fill="D9D9D9" w:themeFill="background1" w:themeFillShade="D9"/>
          </w:tcPr>
          <w:p w:rsidR="00933434" w:rsidRDefault="00933434" w:rsidP="0022285C">
            <w:pPr>
              <w:spacing w:before="33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Requirements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933434" w:rsidRDefault="00933434" w:rsidP="0022285C">
            <w:pPr>
              <w:spacing w:before="33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GRZ1</w:t>
            </w:r>
          </w:p>
          <w:p w:rsidR="00933434" w:rsidRDefault="00933434" w:rsidP="0022285C">
            <w:pPr>
              <w:spacing w:before="1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Schedule 1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933434" w:rsidRDefault="00933434" w:rsidP="0022285C">
            <w:pPr>
              <w:spacing w:before="33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GRZ2</w:t>
            </w:r>
          </w:p>
          <w:p w:rsidR="00933434" w:rsidRDefault="00933434" w:rsidP="0022285C">
            <w:pPr>
              <w:spacing w:before="1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Schedule 2 – Incremental Change</w:t>
            </w:r>
            <w:r>
              <w:rPr>
                <w:rFonts w:eastAsia="Arial" w:cs="Arial"/>
                <w:b/>
                <w:bCs/>
                <w:color w:val="231F20"/>
                <w:spacing w:val="-7"/>
              </w:rPr>
              <w:t xml:space="preserve"> </w:t>
            </w:r>
            <w:r>
              <w:rPr>
                <w:rFonts w:eastAsia="Arial" w:cs="Arial"/>
                <w:b/>
                <w:bCs/>
                <w:color w:val="231F20"/>
              </w:rPr>
              <w:t>Areas</w:t>
            </w:r>
          </w:p>
        </w:tc>
      </w:tr>
      <w:tr w:rsidR="00933434" w:rsidTr="0022285C">
        <w:tc>
          <w:tcPr>
            <w:tcW w:w="2552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</w:rPr>
              <w:t>Height</w:t>
            </w:r>
          </w:p>
        </w:tc>
        <w:tc>
          <w:tcPr>
            <w:tcW w:w="4111" w:type="dxa"/>
          </w:tcPr>
          <w:p w:rsidR="00933434" w:rsidRDefault="00933434" w:rsidP="00933434">
            <w:pPr>
              <w:spacing w:before="120" w:after="120"/>
              <w:ind w:left="75" w:right="361"/>
              <w:rPr>
                <w:rFonts w:eastAsia="Arial" w:cs="Arial"/>
              </w:rPr>
            </w:pPr>
            <w:r w:rsidRPr="00BD3499">
              <w:rPr>
                <w:rFonts w:eastAsia="Arial" w:cs="Arial"/>
                <w:color w:val="231F20"/>
                <w:u w:val="single"/>
              </w:rPr>
              <w:t>Should</w:t>
            </w:r>
            <w:r>
              <w:rPr>
                <w:rFonts w:eastAsia="Arial" w:cs="Arial"/>
                <w:color w:val="231F20"/>
              </w:rPr>
              <w:t xml:space="preserve"> not exceed a height of 9 metres,</w:t>
            </w:r>
            <w:r w:rsidRPr="00090F85">
              <w:rPr>
                <w:rFonts w:cs="Arial"/>
                <w:lang w:eastAsia="en-AU"/>
              </w:rPr>
              <w:t xml:space="preserve"> unless the slope of the natural</w:t>
            </w:r>
            <w:r>
              <w:rPr>
                <w:rFonts w:cs="Arial"/>
                <w:lang w:eastAsia="en-AU"/>
              </w:rPr>
              <w:t xml:space="preserve"> </w:t>
            </w:r>
            <w:r w:rsidRPr="00090F85">
              <w:rPr>
                <w:rFonts w:cs="Arial"/>
                <w:lang w:eastAsia="en-AU"/>
              </w:rPr>
              <w:t xml:space="preserve">ground level </w:t>
            </w:r>
            <w:r>
              <w:rPr>
                <w:rFonts w:cs="Arial"/>
                <w:lang w:eastAsia="en-AU"/>
              </w:rPr>
              <w:t xml:space="preserve">at any cross section wider than </w:t>
            </w:r>
            <w:r w:rsidRPr="00090F85">
              <w:rPr>
                <w:rFonts w:cs="Arial"/>
                <w:lang w:eastAsia="en-AU"/>
              </w:rPr>
              <w:t xml:space="preserve">8 metres of </w:t>
            </w:r>
            <w:r>
              <w:rPr>
                <w:rFonts w:cs="Arial"/>
                <w:lang w:eastAsia="en-AU"/>
              </w:rPr>
              <w:t xml:space="preserve">the site of the building is 2.5 </w:t>
            </w:r>
            <w:r w:rsidRPr="00090F85">
              <w:rPr>
                <w:rFonts w:cs="Arial"/>
                <w:lang w:eastAsia="en-AU"/>
              </w:rPr>
              <w:t>degrees or more, in which case the</w:t>
            </w:r>
            <w:r>
              <w:rPr>
                <w:rFonts w:cs="Arial"/>
                <w:lang w:eastAsia="en-AU"/>
              </w:rPr>
              <w:t xml:space="preserve"> </w:t>
            </w:r>
            <w:r w:rsidRPr="00090F85">
              <w:rPr>
                <w:rFonts w:cs="Arial"/>
                <w:lang w:eastAsia="en-AU"/>
              </w:rPr>
              <w:t>maximum bu</w:t>
            </w:r>
            <w:r>
              <w:rPr>
                <w:rFonts w:cs="Arial"/>
                <w:lang w:eastAsia="en-AU"/>
              </w:rPr>
              <w:t xml:space="preserve">ilding height </w:t>
            </w:r>
            <w:r w:rsidRPr="00BD3499">
              <w:rPr>
                <w:rFonts w:cs="Arial"/>
                <w:u w:val="single"/>
                <w:lang w:eastAsia="en-AU"/>
              </w:rPr>
              <w:t>should</w:t>
            </w:r>
            <w:r>
              <w:rPr>
                <w:rFonts w:cs="Arial"/>
                <w:lang w:eastAsia="en-AU"/>
              </w:rPr>
              <w:t xml:space="preserve"> not exceed </w:t>
            </w:r>
            <w:r w:rsidRPr="00090F85">
              <w:rPr>
                <w:rFonts w:cs="Arial"/>
                <w:lang w:eastAsia="en-AU"/>
              </w:rPr>
              <w:t>10 metres.</w:t>
            </w:r>
          </w:p>
        </w:tc>
        <w:tc>
          <w:tcPr>
            <w:tcW w:w="4252" w:type="dxa"/>
          </w:tcPr>
          <w:p w:rsidR="00933434" w:rsidRDefault="00933434" w:rsidP="00933434">
            <w:pPr>
              <w:spacing w:before="120" w:after="120"/>
              <w:ind w:left="75" w:right="432"/>
              <w:rPr>
                <w:rFonts w:eastAsia="Arial" w:cs="Arial"/>
              </w:rPr>
            </w:pPr>
            <w:r w:rsidRPr="00BD3499">
              <w:rPr>
                <w:rFonts w:eastAsia="Arial" w:cs="Arial"/>
                <w:color w:val="231F20"/>
                <w:u w:val="single"/>
              </w:rPr>
              <w:t>Must</w:t>
            </w:r>
            <w:r>
              <w:rPr>
                <w:rFonts w:eastAsia="Arial" w:cs="Arial"/>
                <w:color w:val="231F20"/>
              </w:rPr>
              <w:t xml:space="preserve"> not exceed a height of 9 metres, </w:t>
            </w:r>
            <w:r w:rsidRPr="00090F85">
              <w:rPr>
                <w:rFonts w:cs="Arial"/>
                <w:lang w:eastAsia="en-AU"/>
              </w:rPr>
              <w:t>unless the slope of the natural</w:t>
            </w:r>
            <w:r>
              <w:rPr>
                <w:rFonts w:cs="Arial"/>
                <w:lang w:eastAsia="en-AU"/>
              </w:rPr>
              <w:t xml:space="preserve"> </w:t>
            </w:r>
            <w:r w:rsidRPr="00090F85">
              <w:rPr>
                <w:rFonts w:cs="Arial"/>
                <w:lang w:eastAsia="en-AU"/>
              </w:rPr>
              <w:t xml:space="preserve">ground level </w:t>
            </w:r>
            <w:r>
              <w:rPr>
                <w:rFonts w:cs="Arial"/>
                <w:lang w:eastAsia="en-AU"/>
              </w:rPr>
              <w:t xml:space="preserve">at any cross section wider than </w:t>
            </w:r>
            <w:r w:rsidRPr="00090F85">
              <w:rPr>
                <w:rFonts w:cs="Arial"/>
                <w:lang w:eastAsia="en-AU"/>
              </w:rPr>
              <w:t xml:space="preserve">8 metres of </w:t>
            </w:r>
            <w:r>
              <w:rPr>
                <w:rFonts w:cs="Arial"/>
                <w:lang w:eastAsia="en-AU"/>
              </w:rPr>
              <w:t xml:space="preserve">the site of the building is 2.5 </w:t>
            </w:r>
            <w:r w:rsidRPr="00090F85">
              <w:rPr>
                <w:rFonts w:cs="Arial"/>
                <w:lang w:eastAsia="en-AU"/>
              </w:rPr>
              <w:t>degrees or more, in which case the</w:t>
            </w:r>
            <w:r>
              <w:rPr>
                <w:rFonts w:cs="Arial"/>
                <w:lang w:eastAsia="en-AU"/>
              </w:rPr>
              <w:t xml:space="preserve"> </w:t>
            </w:r>
            <w:r w:rsidRPr="00090F85">
              <w:rPr>
                <w:rFonts w:cs="Arial"/>
                <w:lang w:eastAsia="en-AU"/>
              </w:rPr>
              <w:t>maximum bu</w:t>
            </w:r>
            <w:r>
              <w:rPr>
                <w:rFonts w:cs="Arial"/>
                <w:lang w:eastAsia="en-AU"/>
              </w:rPr>
              <w:t xml:space="preserve">ilding height </w:t>
            </w:r>
            <w:r w:rsidRPr="00BD3499">
              <w:rPr>
                <w:rFonts w:cs="Arial"/>
                <w:u w:val="single"/>
                <w:lang w:eastAsia="en-AU"/>
              </w:rPr>
              <w:t>must</w:t>
            </w:r>
            <w:r>
              <w:rPr>
                <w:rFonts w:cs="Arial"/>
                <w:lang w:eastAsia="en-AU"/>
              </w:rPr>
              <w:t xml:space="preserve"> not exceed </w:t>
            </w:r>
            <w:r w:rsidRPr="00090F85">
              <w:rPr>
                <w:rFonts w:cs="Arial"/>
                <w:lang w:eastAsia="en-AU"/>
              </w:rPr>
              <w:t>10 metres.</w:t>
            </w:r>
          </w:p>
        </w:tc>
      </w:tr>
      <w:tr w:rsidR="00933434" w:rsidTr="0022285C">
        <w:tc>
          <w:tcPr>
            <w:tcW w:w="2552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</w:rPr>
              <w:t>Landscaping</w:t>
            </w:r>
          </w:p>
        </w:tc>
        <w:tc>
          <w:tcPr>
            <w:tcW w:w="4111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</w:rPr>
              <w:t>None specified.</w:t>
            </w:r>
          </w:p>
        </w:tc>
        <w:tc>
          <w:tcPr>
            <w:tcW w:w="4252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</w:rPr>
              <w:t>One canopy tree per dwelling.</w:t>
            </w:r>
          </w:p>
        </w:tc>
      </w:tr>
      <w:tr w:rsidR="00933434" w:rsidTr="0022285C">
        <w:tc>
          <w:tcPr>
            <w:tcW w:w="2552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</w:rPr>
              <w:t>Private open space – single dwelling</w:t>
            </w:r>
          </w:p>
        </w:tc>
        <w:tc>
          <w:tcPr>
            <w:tcW w:w="4111" w:type="dxa"/>
            <w:shd w:val="clear" w:color="auto" w:fill="auto"/>
          </w:tcPr>
          <w:p w:rsidR="00933434" w:rsidRDefault="00933434" w:rsidP="00933434">
            <w:pPr>
              <w:spacing w:before="120" w:after="120"/>
              <w:ind w:left="74" w:right="95"/>
              <w:rPr>
                <w:rFonts w:eastAsia="Arial" w:cs="Arial"/>
              </w:rPr>
            </w:pPr>
            <w:r w:rsidRPr="000C4765">
              <w:rPr>
                <w:rFonts w:cs="Arial"/>
                <w:lang w:eastAsia="en-AU"/>
              </w:rPr>
              <w:t>A dwelling should have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private open space consisting of an area of 80 square metres or 20 per cent of the area of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 xml:space="preserve">the lot, whichever is the lesser, but not less than 40 square metres. 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At least one part of the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private open space should consist of secluded private open space with a minimum area of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25 square metres and a minimum dimension of 3 metres at the side or rear of the dwelling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with convenient access from a living room</w:t>
            </w:r>
            <w:r>
              <w:rPr>
                <w:rFonts w:ascii="Times New Roman" w:hAnsi="Times New Roman"/>
                <w:lang w:eastAsia="en-AU"/>
              </w:rPr>
              <w:t>.</w:t>
            </w:r>
            <w:r>
              <w:rPr>
                <w:rFonts w:eastAsia="Arial" w:cs="Arial"/>
                <w:color w:val="231F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933434" w:rsidRDefault="00933434" w:rsidP="00933434">
            <w:pPr>
              <w:spacing w:before="120" w:after="120"/>
              <w:ind w:left="75" w:right="399"/>
              <w:rPr>
                <w:rFonts w:eastAsia="Arial" w:cs="Arial"/>
              </w:rPr>
            </w:pPr>
            <w:r w:rsidRPr="00702AE3">
              <w:rPr>
                <w:rFonts w:cs="Arial"/>
                <w:lang w:eastAsia="en-AU"/>
              </w:rPr>
              <w:t>An area of 60 square metres, with one part of the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private open space to consist of secluded private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open space at the side or rear of the dwelling or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residential building with minimum area of 40 square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metres, a minimum dimension of 5 metres and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convenient access from a living room. It cannot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include a balcony or roof top terrace.</w:t>
            </w:r>
          </w:p>
        </w:tc>
      </w:tr>
      <w:tr w:rsidR="00933434" w:rsidTr="0022285C">
        <w:tc>
          <w:tcPr>
            <w:tcW w:w="2552" w:type="dxa"/>
          </w:tcPr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Private open space – </w:t>
            </w:r>
          </w:p>
          <w:p w:rsidR="00933434" w:rsidRDefault="00933434" w:rsidP="00933434">
            <w:pPr>
              <w:spacing w:before="120" w:after="120"/>
              <w:ind w:left="75" w:right="-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two or more dwellings</w:t>
            </w:r>
          </w:p>
        </w:tc>
        <w:tc>
          <w:tcPr>
            <w:tcW w:w="4111" w:type="dxa"/>
            <w:shd w:val="clear" w:color="auto" w:fill="auto"/>
          </w:tcPr>
          <w:p w:rsidR="00933434" w:rsidRDefault="00933434" w:rsidP="00933434">
            <w:pPr>
              <w:spacing w:before="120" w:after="120"/>
              <w:ind w:left="74" w:right="95"/>
              <w:rPr>
                <w:rFonts w:cs="Arial"/>
                <w:lang w:eastAsia="en-AU"/>
              </w:rPr>
            </w:pPr>
            <w:r w:rsidRPr="000C4765">
              <w:rPr>
                <w:rFonts w:cs="Arial"/>
                <w:lang w:eastAsia="en-AU"/>
              </w:rPr>
              <w:t xml:space="preserve">A dwelling </w:t>
            </w:r>
            <w:r>
              <w:rPr>
                <w:rFonts w:cs="Arial"/>
                <w:lang w:eastAsia="en-AU"/>
              </w:rPr>
              <w:t xml:space="preserve">or residential building </w:t>
            </w:r>
            <w:r w:rsidRPr="000C4765">
              <w:rPr>
                <w:rFonts w:cs="Arial"/>
                <w:lang w:eastAsia="en-AU"/>
              </w:rPr>
              <w:t>should have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private open space consisting of</w:t>
            </w:r>
            <w:r>
              <w:rPr>
                <w:rFonts w:cs="Arial"/>
                <w:lang w:eastAsia="en-AU"/>
              </w:rPr>
              <w:t>:</w:t>
            </w:r>
          </w:p>
          <w:p w:rsidR="00933434" w:rsidRDefault="00933434" w:rsidP="00933434">
            <w:pPr>
              <w:autoSpaceDE w:val="0"/>
              <w:autoSpaceDN w:val="0"/>
              <w:adjustRightInd w:val="0"/>
              <w:spacing w:before="120" w:after="120"/>
              <w:ind w:left="79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 </w:t>
            </w:r>
            <w:r w:rsidRPr="000C4765">
              <w:rPr>
                <w:rFonts w:cs="Arial"/>
                <w:lang w:eastAsia="en-AU"/>
              </w:rPr>
              <w:t xml:space="preserve">An area of 40 square metres, with one part of the private open space to </w:t>
            </w:r>
            <w:r>
              <w:rPr>
                <w:rFonts w:cs="Arial"/>
                <w:lang w:eastAsia="en-AU"/>
              </w:rPr>
              <w:t>c</w:t>
            </w:r>
            <w:r w:rsidRPr="000C4765">
              <w:rPr>
                <w:rFonts w:cs="Arial"/>
                <w:lang w:eastAsia="en-AU"/>
              </w:rPr>
              <w:t>onsist of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secluded private open space at the side or rear of the dwelling or residential building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with a minimum area of 25 square metres, a minimum dimension of 3 metres and</w:t>
            </w:r>
            <w:r>
              <w:rPr>
                <w:rFonts w:cs="Arial"/>
                <w:lang w:eastAsia="en-AU"/>
              </w:rPr>
              <w:t xml:space="preserve"> </w:t>
            </w:r>
            <w:r w:rsidRPr="000C4765">
              <w:rPr>
                <w:rFonts w:cs="Arial"/>
                <w:lang w:eastAsia="en-AU"/>
              </w:rPr>
              <w:t>convenient access from a living room</w:t>
            </w:r>
            <w:r>
              <w:rPr>
                <w:rFonts w:cs="Arial"/>
                <w:lang w:eastAsia="en-AU"/>
              </w:rPr>
              <w:t>; or</w:t>
            </w:r>
          </w:p>
          <w:p w:rsidR="00933434" w:rsidRDefault="00933434" w:rsidP="00933434">
            <w:pPr>
              <w:autoSpaceDE w:val="0"/>
              <w:autoSpaceDN w:val="0"/>
              <w:adjustRightInd w:val="0"/>
              <w:spacing w:before="120" w:after="120"/>
              <w:ind w:left="79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 A balcony of 8 square metres with a minimum width of 1.6 metres and convenient access from a living room; or</w:t>
            </w:r>
          </w:p>
          <w:p w:rsidR="00933434" w:rsidRDefault="00933434" w:rsidP="00933434">
            <w:pPr>
              <w:autoSpaceDE w:val="0"/>
              <w:autoSpaceDN w:val="0"/>
              <w:adjustRightInd w:val="0"/>
              <w:spacing w:before="120" w:after="120"/>
              <w:ind w:left="79"/>
              <w:rPr>
                <w:rFonts w:eastAsia="Arial" w:cs="Arial"/>
                <w:color w:val="231F20"/>
              </w:rPr>
            </w:pPr>
            <w:r>
              <w:rPr>
                <w:rFonts w:cs="Arial"/>
                <w:lang w:eastAsia="en-AU"/>
              </w:rPr>
              <w:t>-  A rooftop area of 10 square metres with a minimum width of 2 metres and convenient access from a living room.</w:t>
            </w:r>
          </w:p>
        </w:tc>
        <w:tc>
          <w:tcPr>
            <w:tcW w:w="4252" w:type="dxa"/>
            <w:shd w:val="clear" w:color="auto" w:fill="auto"/>
          </w:tcPr>
          <w:p w:rsidR="00933434" w:rsidRDefault="00933434" w:rsidP="00933434">
            <w:pPr>
              <w:spacing w:before="120" w:after="120"/>
              <w:ind w:left="74" w:right="23"/>
              <w:rPr>
                <w:rFonts w:eastAsia="Arial" w:cs="Arial"/>
                <w:color w:val="231F20"/>
              </w:rPr>
            </w:pPr>
            <w:r w:rsidRPr="00702AE3">
              <w:rPr>
                <w:rFonts w:cs="Arial"/>
                <w:lang w:eastAsia="en-AU"/>
              </w:rPr>
              <w:t>An area of 60 square metres, with one part of the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private open space to consist of secluded private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open space at the side or rear of the dwelling or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residential building with minimum area of 40 square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metres, a minimum dimension of 5 metres and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convenient access from a living room. It cannot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include a balcony or roof top terrace.</w:t>
            </w:r>
          </w:p>
        </w:tc>
      </w:tr>
      <w:tr w:rsidR="00933434" w:rsidTr="0022285C">
        <w:tc>
          <w:tcPr>
            <w:tcW w:w="2552" w:type="dxa"/>
          </w:tcPr>
          <w:p w:rsidR="00933434" w:rsidRDefault="00933434" w:rsidP="00933434">
            <w:pPr>
              <w:spacing w:before="120" w:after="120"/>
            </w:pPr>
            <w:r>
              <w:t>Application requirements</w:t>
            </w:r>
          </w:p>
        </w:tc>
        <w:tc>
          <w:tcPr>
            <w:tcW w:w="4111" w:type="dxa"/>
          </w:tcPr>
          <w:p w:rsidR="00933434" w:rsidRDefault="00933434" w:rsidP="00933434">
            <w:pPr>
              <w:spacing w:before="120" w:after="120"/>
            </w:pPr>
            <w:r>
              <w:t>None specified.</w:t>
            </w:r>
          </w:p>
        </w:tc>
        <w:tc>
          <w:tcPr>
            <w:tcW w:w="4252" w:type="dxa"/>
          </w:tcPr>
          <w:p w:rsidR="00933434" w:rsidRDefault="00933434" w:rsidP="00933434">
            <w:pPr>
              <w:spacing w:before="120" w:after="120"/>
              <w:ind w:left="79"/>
            </w:pPr>
            <w:r>
              <w:t xml:space="preserve">Subdivision:   </w:t>
            </w:r>
          </w:p>
          <w:p w:rsidR="00933434" w:rsidRDefault="00933434" w:rsidP="00933434">
            <w:pPr>
              <w:spacing w:before="120" w:after="120"/>
              <w:ind w:left="79"/>
            </w:pPr>
            <w:r w:rsidRPr="00702AE3">
              <w:rPr>
                <w:rFonts w:cs="Arial"/>
                <w:lang w:eastAsia="en-AU"/>
              </w:rPr>
              <w:t>When any of the lots being created are less than 500 square metres, a subdivision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application must be accompanied by a development application or approved planning</w:t>
            </w:r>
            <w:r>
              <w:rPr>
                <w:rFonts w:cs="Arial"/>
                <w:lang w:eastAsia="en-AU"/>
              </w:rPr>
              <w:t xml:space="preserve"> </w:t>
            </w:r>
            <w:r w:rsidRPr="00702AE3">
              <w:rPr>
                <w:rFonts w:cs="Arial"/>
                <w:lang w:eastAsia="en-AU"/>
              </w:rPr>
              <w:t>permit plans for the site for the construction of the dwellings.</w:t>
            </w:r>
          </w:p>
        </w:tc>
      </w:tr>
    </w:tbl>
    <w:p w:rsidR="00933434" w:rsidRDefault="00933434" w:rsidP="00933434">
      <w:pPr>
        <w:spacing w:line="200" w:lineRule="exact"/>
      </w:pPr>
    </w:p>
    <w:p w:rsidR="00933434" w:rsidRPr="0074576E" w:rsidRDefault="00933434" w:rsidP="00933434">
      <w:pPr>
        <w:autoSpaceDE w:val="0"/>
        <w:autoSpaceDN w:val="0"/>
        <w:adjustRightInd w:val="0"/>
        <w:ind w:left="-1134"/>
        <w:jc w:val="both"/>
        <w:rPr>
          <w:rFonts w:ascii="Helvetica" w:hAnsi="Helvetica" w:cs="Helvetica"/>
          <w:sz w:val="22"/>
          <w:szCs w:val="22"/>
        </w:rPr>
      </w:pPr>
      <w:r w:rsidRPr="0074576E">
        <w:rPr>
          <w:sz w:val="22"/>
          <w:szCs w:val="22"/>
        </w:rPr>
        <w:t xml:space="preserve">In practice, the changes mean that any new development will be more consistent with the garden character of the area, by requiring a greater area of private open space than is currently the case in </w:t>
      </w:r>
      <w:r>
        <w:rPr>
          <w:sz w:val="22"/>
          <w:szCs w:val="22"/>
        </w:rPr>
        <w:t>GRZ1</w:t>
      </w:r>
      <w:r w:rsidRPr="0074576E">
        <w:rPr>
          <w:sz w:val="22"/>
          <w:szCs w:val="22"/>
        </w:rPr>
        <w:t xml:space="preserve"> for two or more dwellings and by requiring a canopy tree for every new dwelling.  </w:t>
      </w:r>
    </w:p>
    <w:p w:rsidR="00AB5A7F" w:rsidRDefault="00AB5A7F"/>
    <w:sectPr w:rsidR="00AB5A7F" w:rsidSect="00933434">
      <w:pgSz w:w="11906" w:h="16838"/>
      <w:pgMar w:top="1440" w:right="1701" w:bottom="1440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33434"/>
    <w:rsid w:val="002B0CDC"/>
    <w:rsid w:val="00593281"/>
    <w:rsid w:val="005936EC"/>
    <w:rsid w:val="007A2A12"/>
    <w:rsid w:val="0087226A"/>
    <w:rsid w:val="0087527E"/>
    <w:rsid w:val="00933434"/>
    <w:rsid w:val="00AB5A7F"/>
    <w:rsid w:val="00C06A48"/>
    <w:rsid w:val="00F7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34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A12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5936EC"/>
    <w:pPr>
      <w:spacing w:before="120"/>
    </w:pPr>
    <w:rPr>
      <w:sz w:val="18"/>
      <w:szCs w:val="24"/>
    </w:rPr>
  </w:style>
  <w:style w:type="table" w:styleId="TableGrid">
    <w:name w:val="Table Grid"/>
    <w:basedOn w:val="TableNormal"/>
    <w:uiPriority w:val="59"/>
    <w:rsid w:val="00933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2493</Characters>
  <Application>Microsoft Office Word</Application>
  <DocSecurity>0</DocSecurity>
  <Lines>20</Lines>
  <Paragraphs>6</Paragraphs>
  <ScaleCrop>false</ScaleCrop>
  <Company>The City of Greater Geelong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</dc:creator>
  <cp:lastModifiedBy>Cramer</cp:lastModifiedBy>
  <cp:revision>1</cp:revision>
  <dcterms:created xsi:type="dcterms:W3CDTF">2015-06-23T00:08:00Z</dcterms:created>
  <dcterms:modified xsi:type="dcterms:W3CDTF">2015-06-23T00:11:00Z</dcterms:modified>
</cp:coreProperties>
</file>