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F38" w:rsidRPr="00D33B70" w:rsidRDefault="009F1E64" w:rsidP="00430B8C">
      <w:r w:rsidRPr="00D33B70">
        <w:rPr>
          <w:noProof/>
          <w:lang w:eastAsia="en-AU"/>
        </w:rPr>
        <w:drawing>
          <wp:anchor distT="0" distB="0" distL="114300" distR="114300" simplePos="0" relativeHeight="251660800" behindDoc="0" locked="0" layoutInCell="1" allowOverlap="1" wp14:anchorId="1E2EB5B7" wp14:editId="00FDDFC3">
            <wp:simplePos x="0" y="0"/>
            <wp:positionH relativeFrom="column">
              <wp:posOffset>-571500</wp:posOffset>
            </wp:positionH>
            <wp:positionV relativeFrom="paragraph">
              <wp:posOffset>-571500</wp:posOffset>
            </wp:positionV>
            <wp:extent cx="2057400" cy="562610"/>
            <wp:effectExtent l="19050" t="0" r="0" b="0"/>
            <wp:wrapNone/>
            <wp:docPr id="91" name="Picture 91" descr="BMT WBM Colour 40 x 1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MT WBM Colour 40 x 12mm"/>
                    <pic:cNvPicPr>
                      <a:picLocks noChangeAspect="1" noChangeArrowheads="1"/>
                    </pic:cNvPicPr>
                  </pic:nvPicPr>
                  <pic:blipFill>
                    <a:blip r:embed="rId9" cstate="print"/>
                    <a:srcRect/>
                    <a:stretch>
                      <a:fillRect/>
                    </a:stretch>
                  </pic:blipFill>
                  <pic:spPr bwMode="auto">
                    <a:xfrm>
                      <a:off x="0" y="0"/>
                      <a:ext cx="2057400" cy="562610"/>
                    </a:xfrm>
                    <a:prstGeom prst="rect">
                      <a:avLst/>
                    </a:prstGeom>
                    <a:noFill/>
                    <a:ln w="9525">
                      <a:noFill/>
                      <a:miter lim="800000"/>
                      <a:headEnd/>
                      <a:tailEnd/>
                    </a:ln>
                  </pic:spPr>
                </pic:pic>
              </a:graphicData>
            </a:graphic>
          </wp:anchor>
        </w:drawing>
      </w:r>
      <w:r w:rsidR="007372EF" w:rsidRPr="00D33B70">
        <w:rPr>
          <w:noProof/>
          <w:lang w:eastAsia="en-AU"/>
        </w:rPr>
        <mc:AlternateContent>
          <mc:Choice Requires="wps">
            <w:drawing>
              <wp:anchor distT="0" distB="0" distL="114300" distR="114300" simplePos="0" relativeHeight="251659776" behindDoc="0" locked="0" layoutInCell="1" allowOverlap="1" wp14:anchorId="267DEABF" wp14:editId="47A36FFD">
                <wp:simplePos x="0" y="0"/>
                <wp:positionH relativeFrom="page">
                  <wp:posOffset>569595</wp:posOffset>
                </wp:positionH>
                <wp:positionV relativeFrom="page">
                  <wp:posOffset>3771900</wp:posOffset>
                </wp:positionV>
                <wp:extent cx="3909695" cy="477520"/>
                <wp:effectExtent l="0" t="0" r="0" b="0"/>
                <wp:wrapNone/>
                <wp:docPr id="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69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1B5" w:rsidRDefault="006701B5">
                            <w:pPr>
                              <w:pStyle w:val="BMTReportProperties"/>
                            </w:pPr>
                            <w:fldSimple w:instr=" FILENAME  \* MERGEFORMAT ">
                              <w:r>
                                <w:rPr>
                                  <w:noProof/>
                                </w:rPr>
                                <w:t>R.M8094.003.02.FinalReport.docx</w:t>
                              </w:r>
                            </w:fldSimple>
                          </w:p>
                          <w:p w:rsidR="006701B5" w:rsidRDefault="006701B5">
                            <w:pPr>
                              <w:pStyle w:val="BMTReportProperties"/>
                            </w:pPr>
                            <w:r>
                              <w:t>May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44.85pt;margin-top:297pt;width:307.85pt;height:37.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" filled="f" stroked="f">
                <v:textbox inset="0,0,0,0">
                  <w:txbxContent>
                    <w:p w:rsidR="006701B5" w:rsidRDefault="006701B5">
                      <w:pPr>
                        <w:pStyle w:val="BMTReportProperties"/>
                      </w:pPr>
                      <w:fldSimple w:instr=" FILENAME  \* MERGEFORMAT ">
                        <w:r>
                          <w:rPr>
                            <w:noProof/>
                          </w:rPr>
                          <w:t>R.M8094.003.02.FinalReport.docx</w:t>
                        </w:r>
                      </w:fldSimple>
                    </w:p>
                    <w:p w:rsidR="006701B5" w:rsidRDefault="006701B5">
                      <w:pPr>
                        <w:pStyle w:val="BMTReportProperties"/>
                      </w:pPr>
                      <w:r>
                        <w:t>May 2014</w:t>
                      </w:r>
                    </w:p>
                  </w:txbxContent>
                </v:textbox>
                <w10:wrap anchorx="page" anchory="page"/>
              </v:shape>
            </w:pict>
          </mc:Fallback>
        </mc:AlternateContent>
      </w:r>
      <w:r w:rsidR="007372EF" w:rsidRPr="00D33B70">
        <w:rPr>
          <w:noProof/>
          <w:lang w:eastAsia="en-AU"/>
        </w:rPr>
        <mc:AlternateContent>
          <mc:Choice Requires="wps">
            <w:drawing>
              <wp:anchor distT="0" distB="0" distL="114300" distR="114300" simplePos="0" relativeHeight="251657728" behindDoc="0" locked="0" layoutInCell="1" allowOverlap="1" wp14:anchorId="640C10A4" wp14:editId="3DE75000">
                <wp:simplePos x="0" y="0"/>
                <wp:positionH relativeFrom="column">
                  <wp:posOffset>3378200</wp:posOffset>
                </wp:positionH>
                <wp:positionV relativeFrom="page">
                  <wp:posOffset>288290</wp:posOffset>
                </wp:positionV>
                <wp:extent cx="2734310" cy="228600"/>
                <wp:effectExtent l="0" t="2540" r="2540" b="0"/>
                <wp:wrapNone/>
                <wp:docPr id="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3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1B5" w:rsidRDefault="006701B5">
                            <w:pPr>
                              <w:pStyle w:val="BMTDivisionalEndorsement"/>
                            </w:pPr>
                            <w:r>
                              <w:t>A part of BMT in Energy and Environment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27" type="#_x0000_t202" style="position:absolute;left:0;text-align:left;margin-left:266pt;margin-top:22.7pt;width:215.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nwUsgIAALE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" filled="f" stroked="f">
                <v:textbox inset="0,0,0,0">
                  <w:txbxContent>
                    <w:p w:rsidR="006701B5" w:rsidRDefault="006701B5">
                      <w:pPr>
                        <w:pStyle w:val="BMTDivisionalEndorsement"/>
                      </w:pPr>
                      <w:r>
                        <w:t>A part of BMT in Energy and Environment</w:t>
                      </w:r>
                    </w:p>
                  </w:txbxContent>
                </v:textbox>
                <w10:wrap anchory="page"/>
              </v:shape>
            </w:pict>
          </mc:Fallback>
        </mc:AlternateContent>
      </w:r>
    </w:p>
    <w:p w:rsidR="00A83F38" w:rsidRPr="00D33B70" w:rsidRDefault="00A83F38" w:rsidP="00430B8C">
      <w:pPr>
        <w:rPr>
          <w:vanish/>
          <w:sz w:val="36"/>
        </w:rPr>
      </w:pPr>
    </w:p>
    <w:p w:rsidR="00A83F38" w:rsidRPr="00D33B70" w:rsidRDefault="00A83F38" w:rsidP="00430B8C">
      <w:pPr>
        <w:pStyle w:val="BodyText3"/>
        <w:rPr>
          <w:vanish/>
        </w:rPr>
      </w:pPr>
      <w:r w:rsidRPr="00D33B70">
        <w:rPr>
          <w:vanish/>
        </w:rPr>
        <w:t xml:space="preserve">INSERT APPROPRIATE COVER </w:t>
      </w:r>
    </w:p>
    <w:p w:rsidR="00A83F38" w:rsidRPr="00D33B70" w:rsidRDefault="007372EF" w:rsidP="00430B8C">
      <w:pPr>
        <w:rPr>
          <w:vanish/>
        </w:rPr>
      </w:pPr>
      <w:r w:rsidRPr="00D33B70">
        <w:rPr>
          <w:noProof/>
          <w:lang w:eastAsia="en-AU"/>
        </w:rPr>
        <mc:AlternateContent>
          <mc:Choice Requires="wps">
            <w:drawing>
              <wp:anchor distT="0" distB="0" distL="114300" distR="114300" simplePos="0" relativeHeight="251656704" behindDoc="0" locked="0" layoutInCell="1" allowOverlap="1" wp14:anchorId="6DF4E378" wp14:editId="66C759C5">
                <wp:simplePos x="0" y="0"/>
                <wp:positionH relativeFrom="page">
                  <wp:posOffset>569595</wp:posOffset>
                </wp:positionH>
                <wp:positionV relativeFrom="page">
                  <wp:posOffset>1600200</wp:posOffset>
                </wp:positionV>
                <wp:extent cx="5006340" cy="1619885"/>
                <wp:effectExtent l="0" t="0" r="0" b="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1B5" w:rsidRDefault="006701B5">
                            <w:pPr>
                              <w:pStyle w:val="BMTReportTitle"/>
                            </w:pPr>
                            <w:r>
                              <w:t xml:space="preserve">Highton </w:t>
                            </w:r>
                          </w:p>
                          <w:p w:rsidR="006701B5" w:rsidRDefault="006701B5">
                            <w:pPr>
                              <w:pStyle w:val="BMTReportTitle"/>
                            </w:pPr>
                            <w:r>
                              <w:t>Drainage / Flood Study</w:t>
                            </w:r>
                          </w:p>
                          <w:p w:rsidR="006701B5" w:rsidRDefault="006701B5">
                            <w:pPr>
                              <w:pStyle w:val="BMTReportTitle"/>
                            </w:pPr>
                            <w:r>
                              <w:t>Final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28" type="#_x0000_t202" style="position:absolute;left:0;text-align:left;margin-left:44.85pt;margin-top:126pt;width:394.2pt;height:127.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yGqsAIAALI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" filled="f" stroked="f">
                <v:textbox inset="0,0,0,0">
                  <w:txbxContent>
                    <w:p w:rsidR="006701B5" w:rsidRDefault="006701B5">
                      <w:pPr>
                        <w:pStyle w:val="BMTReportTitle"/>
                      </w:pPr>
                      <w:r>
                        <w:t xml:space="preserve">Highton </w:t>
                      </w:r>
                    </w:p>
                    <w:p w:rsidR="006701B5" w:rsidRDefault="006701B5">
                      <w:pPr>
                        <w:pStyle w:val="BMTReportTitle"/>
                      </w:pPr>
                      <w:r>
                        <w:t>Drainage / Flood Study</w:t>
                      </w:r>
                    </w:p>
                    <w:p w:rsidR="006701B5" w:rsidRDefault="006701B5">
                      <w:pPr>
                        <w:pStyle w:val="BMTReportTitle"/>
                      </w:pPr>
                      <w:r>
                        <w:t>Final Report</w:t>
                      </w:r>
                    </w:p>
                  </w:txbxContent>
                </v:textbox>
                <w10:wrap anchorx="page" anchory="page"/>
              </v:shape>
            </w:pict>
          </mc:Fallback>
        </mc:AlternateContent>
      </w:r>
    </w:p>
    <w:p w:rsidR="00A83F38" w:rsidRPr="00D33B70" w:rsidRDefault="00A83F38" w:rsidP="00430B8C">
      <w:pPr>
        <w:pStyle w:val="Header"/>
        <w:pBdr>
          <w:bottom w:val="none" w:sz="0" w:space="0" w:color="auto"/>
        </w:pBdr>
        <w:tabs>
          <w:tab w:val="clear" w:pos="9072"/>
        </w:tabs>
        <w:rPr>
          <w:smallCaps w:val="0"/>
          <w:vanish/>
        </w:rPr>
      </w:pPr>
    </w:p>
    <w:p w:rsidR="00A83F38" w:rsidRPr="00D33B70" w:rsidRDefault="00046074" w:rsidP="00430B8C">
      <w:pPr>
        <w:pStyle w:val="Header"/>
        <w:pBdr>
          <w:bottom w:val="none" w:sz="0" w:space="0" w:color="auto"/>
        </w:pBdr>
        <w:tabs>
          <w:tab w:val="clear" w:pos="9072"/>
        </w:tabs>
        <w:rPr>
          <w:smallCaps w:val="0"/>
        </w:rPr>
      </w:pPr>
      <w:r w:rsidRPr="00D33B70">
        <w:rPr>
          <w:smallCaps w:val="0"/>
          <w:noProof/>
          <w:lang w:eastAsia="en-AU"/>
        </w:rPr>
        <w:drawing>
          <wp:anchor distT="0" distB="0" distL="114300" distR="114300" simplePos="0" relativeHeight="251658752" behindDoc="1" locked="0" layoutInCell="1" allowOverlap="1" wp14:anchorId="08CBB90E" wp14:editId="0A870370">
            <wp:simplePos x="0" y="0"/>
            <wp:positionH relativeFrom="page">
              <wp:posOffset>336550</wp:posOffset>
            </wp:positionH>
            <wp:positionV relativeFrom="page">
              <wp:posOffset>2514600</wp:posOffset>
            </wp:positionV>
            <wp:extent cx="7290435" cy="8166100"/>
            <wp:effectExtent l="19050" t="0" r="5715" b="0"/>
            <wp:wrapNone/>
            <wp:docPr id="89" name="Picture 89" descr="anothe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anothertest"/>
                    <pic:cNvPicPr>
                      <a:picLocks noChangeAspect="1" noChangeArrowheads="1"/>
                    </pic:cNvPicPr>
                  </pic:nvPicPr>
                  <pic:blipFill>
                    <a:blip r:embed="rId10" cstate="print"/>
                    <a:srcRect t="22430"/>
                    <a:stretch>
                      <a:fillRect/>
                    </a:stretch>
                  </pic:blipFill>
                  <pic:spPr bwMode="auto">
                    <a:xfrm>
                      <a:off x="0" y="0"/>
                      <a:ext cx="7290435" cy="8166100"/>
                    </a:xfrm>
                    <a:prstGeom prst="rect">
                      <a:avLst/>
                    </a:prstGeom>
                    <a:noFill/>
                    <a:ln w="9525">
                      <a:noFill/>
                      <a:miter lim="800000"/>
                      <a:headEnd/>
                      <a:tailEnd/>
                    </a:ln>
                  </pic:spPr>
                </pic:pic>
              </a:graphicData>
            </a:graphic>
          </wp:anchor>
        </w:drawing>
      </w:r>
    </w:p>
    <w:p w:rsidR="00A83F38" w:rsidRPr="00D33B70" w:rsidRDefault="00A83F38" w:rsidP="00430B8C">
      <w:pPr>
        <w:pStyle w:val="Header"/>
        <w:pBdr>
          <w:bottom w:val="none" w:sz="0" w:space="0" w:color="auto"/>
        </w:pBdr>
        <w:tabs>
          <w:tab w:val="clear" w:pos="9072"/>
        </w:tabs>
        <w:rPr>
          <w:smallCaps w:val="0"/>
        </w:rPr>
        <w:sectPr w:rsidR="00A83F38" w:rsidRPr="00D33B70" w:rsidSect="007018E6">
          <w:headerReference w:type="even" r:id="rId11"/>
          <w:headerReference w:type="default" r:id="rId12"/>
          <w:footerReference w:type="even" r:id="rId13"/>
          <w:footerReference w:type="default" r:id="rId14"/>
          <w:headerReference w:type="first" r:id="rId15"/>
          <w:footerReference w:type="first" r:id="rId16"/>
          <w:type w:val="oddPage"/>
          <w:pgSz w:w="11907" w:h="16840" w:code="9"/>
          <w:pgMar w:top="1440" w:right="1797" w:bottom="1440" w:left="1797" w:header="709" w:footer="709" w:gutter="0"/>
          <w:cols w:space="720"/>
        </w:sectPr>
      </w:pPr>
    </w:p>
    <w:p w:rsidR="00A83F38" w:rsidRPr="00D33B70" w:rsidRDefault="00A83F38" w:rsidP="00430B8C">
      <w:pPr>
        <w:pStyle w:val="Header"/>
        <w:pBdr>
          <w:bottom w:val="none" w:sz="0" w:space="0" w:color="auto"/>
        </w:pBdr>
        <w:tabs>
          <w:tab w:val="clear" w:pos="9072"/>
        </w:tabs>
        <w:rPr>
          <w:smallCaps w:val="0"/>
        </w:rPr>
      </w:pPr>
    </w:p>
    <w:p w:rsidR="00A83F38" w:rsidRPr="00D33B70" w:rsidRDefault="00A83F38" w:rsidP="00430B8C"/>
    <w:p w:rsidR="00DF6F96" w:rsidRPr="00D33B70" w:rsidRDefault="00DF6F96" w:rsidP="00430B8C">
      <w:pPr>
        <w:framePr w:w="6464" w:h="3289" w:hRule="exact" w:hSpace="57" w:vSpace="57" w:wrap="notBeside" w:vAnchor="page" w:hAnchor="page" w:x="3120" w:y="4027" w:anchorLock="1"/>
        <w:tabs>
          <w:tab w:val="center" w:pos="4536"/>
        </w:tabs>
        <w:ind w:left="142"/>
        <w:jc w:val="center"/>
        <w:rPr>
          <w:rFonts w:cs="Arial"/>
          <w:b/>
          <w:sz w:val="44"/>
        </w:rPr>
      </w:pPr>
      <w:bookmarkStart w:id="0" w:name="Title"/>
      <w:r w:rsidRPr="00D33B70">
        <w:rPr>
          <w:rFonts w:cs="Arial"/>
          <w:b/>
          <w:sz w:val="44"/>
        </w:rPr>
        <w:t>Highton</w:t>
      </w:r>
    </w:p>
    <w:p w:rsidR="00A83F38" w:rsidRPr="00D33B70" w:rsidRDefault="00A83F38" w:rsidP="00430B8C">
      <w:pPr>
        <w:framePr w:w="6464" w:h="3289" w:hRule="exact" w:hSpace="57" w:vSpace="57" w:wrap="notBeside" w:vAnchor="page" w:hAnchor="page" w:x="3120" w:y="4027" w:anchorLock="1"/>
        <w:tabs>
          <w:tab w:val="center" w:pos="4536"/>
        </w:tabs>
        <w:ind w:left="142"/>
        <w:jc w:val="center"/>
        <w:rPr>
          <w:rFonts w:cs="Arial"/>
          <w:b/>
          <w:sz w:val="44"/>
        </w:rPr>
      </w:pPr>
      <w:r w:rsidRPr="00D33B70">
        <w:rPr>
          <w:rFonts w:cs="Arial"/>
          <w:b/>
          <w:sz w:val="44"/>
        </w:rPr>
        <w:t>Drainage/Flood Study</w:t>
      </w:r>
    </w:p>
    <w:bookmarkEnd w:id="0"/>
    <w:p w:rsidR="00A83F38" w:rsidRPr="00D33B70" w:rsidRDefault="00B02D66" w:rsidP="00430B8C">
      <w:pPr>
        <w:framePr w:w="6464" w:h="3289" w:hRule="exact" w:hSpace="57" w:vSpace="57" w:wrap="notBeside" w:vAnchor="page" w:hAnchor="page" w:x="3120" w:y="4027" w:anchorLock="1"/>
        <w:tabs>
          <w:tab w:val="center" w:pos="4536"/>
        </w:tabs>
        <w:ind w:left="142"/>
        <w:jc w:val="center"/>
        <w:rPr>
          <w:rFonts w:cs="Arial"/>
          <w:b/>
          <w:sz w:val="44"/>
        </w:rPr>
      </w:pPr>
      <w:r w:rsidRPr="00D33B70">
        <w:rPr>
          <w:rFonts w:cs="Arial"/>
          <w:b/>
          <w:sz w:val="44"/>
        </w:rPr>
        <w:t>Final Report</w:t>
      </w:r>
    </w:p>
    <w:tbl>
      <w:tblPr>
        <w:tblW w:w="0" w:type="auto"/>
        <w:shd w:val="clear" w:color="auto" w:fill="E6E6E6"/>
        <w:tblCellMar>
          <w:top w:w="170" w:type="dxa"/>
          <w:left w:w="170" w:type="dxa"/>
          <w:bottom w:w="170" w:type="dxa"/>
          <w:right w:w="170" w:type="dxa"/>
        </w:tblCellMar>
        <w:tblLook w:val="0000" w:firstRow="0" w:lastRow="0" w:firstColumn="0" w:lastColumn="0" w:noHBand="0" w:noVBand="0"/>
      </w:tblPr>
      <w:tblGrid>
        <w:gridCol w:w="1730"/>
        <w:gridCol w:w="5566"/>
      </w:tblGrid>
      <w:tr w:rsidR="00A83F38" w:rsidRPr="00D33B70">
        <w:tc>
          <w:tcPr>
            <w:tcW w:w="1730" w:type="dxa"/>
            <w:shd w:val="clear" w:color="auto" w:fill="E6E6E6"/>
          </w:tcPr>
          <w:p w:rsidR="00A83F38" w:rsidRPr="00D33B70" w:rsidRDefault="00A83F38" w:rsidP="00430B8C">
            <w:pPr>
              <w:framePr w:w="7082" w:hSpace="181" w:wrap="around" w:vAnchor="text" w:hAnchor="page" w:x="1641" w:y="10910"/>
              <w:spacing w:before="60" w:after="60"/>
            </w:pPr>
            <w:r w:rsidRPr="00D33B70">
              <w:t>Prepared For:</w:t>
            </w:r>
          </w:p>
        </w:tc>
        <w:tc>
          <w:tcPr>
            <w:tcW w:w="5566" w:type="dxa"/>
            <w:shd w:val="clear" w:color="auto" w:fill="E6E6E6"/>
          </w:tcPr>
          <w:p w:rsidR="00A83F38" w:rsidRPr="00D33B70" w:rsidRDefault="00A83F38" w:rsidP="00430B8C">
            <w:pPr>
              <w:framePr w:w="7082" w:hSpace="181" w:wrap="around" w:vAnchor="text" w:hAnchor="page" w:x="1641" w:y="10910"/>
              <w:spacing w:before="60" w:after="60"/>
            </w:pPr>
            <w:bookmarkStart w:id="1" w:name="PreparedFor"/>
            <w:r w:rsidRPr="00D33B70">
              <w:t>City of Greater Geelong</w:t>
            </w:r>
            <w:bookmarkEnd w:id="1"/>
          </w:p>
        </w:tc>
      </w:tr>
      <w:tr w:rsidR="00A83F38" w:rsidRPr="00D33B70">
        <w:tc>
          <w:tcPr>
            <w:tcW w:w="1730" w:type="dxa"/>
            <w:shd w:val="clear" w:color="auto" w:fill="E6E6E6"/>
          </w:tcPr>
          <w:p w:rsidR="00A83F38" w:rsidRPr="00D33B70" w:rsidRDefault="00A83F38" w:rsidP="00430B8C">
            <w:pPr>
              <w:framePr w:w="7082" w:hSpace="181" w:wrap="around" w:vAnchor="text" w:hAnchor="page" w:x="1641" w:y="10910"/>
              <w:spacing w:before="60" w:after="60"/>
            </w:pPr>
            <w:r w:rsidRPr="00D33B70">
              <w:t>Prepared By:</w:t>
            </w:r>
          </w:p>
        </w:tc>
        <w:tc>
          <w:tcPr>
            <w:tcW w:w="5566" w:type="dxa"/>
            <w:shd w:val="clear" w:color="auto" w:fill="E6E6E6"/>
          </w:tcPr>
          <w:p w:rsidR="00A83F38" w:rsidRPr="00D33B70" w:rsidRDefault="00A83F38" w:rsidP="00430B8C">
            <w:pPr>
              <w:framePr w:w="7082" w:hSpace="181" w:wrap="around" w:vAnchor="text" w:hAnchor="page" w:x="1641" w:y="10910"/>
              <w:spacing w:before="60" w:after="60"/>
            </w:pPr>
            <w:bookmarkStart w:id="2" w:name="PreparedBy"/>
            <w:r w:rsidRPr="00D33B70">
              <w:t>BMT WBM Pty Ltd</w:t>
            </w:r>
            <w:bookmarkEnd w:id="2"/>
            <w:r w:rsidRPr="00D33B70">
              <w:t xml:space="preserve">  </w:t>
            </w:r>
            <w:r w:rsidRPr="00D33B70">
              <w:rPr>
                <w:sz w:val="16"/>
              </w:rPr>
              <w:t>(Member of the BMT group of companies)</w:t>
            </w:r>
          </w:p>
        </w:tc>
      </w:tr>
    </w:tbl>
    <w:p w:rsidR="00A83F38" w:rsidRPr="00D33B70" w:rsidRDefault="00A83F38" w:rsidP="00430B8C">
      <w:pPr>
        <w:framePr w:w="7082" w:hSpace="181" w:wrap="around" w:vAnchor="text" w:hAnchor="page" w:x="1641" w:y="10910"/>
        <w:shd w:val="solid" w:color="FFFFFF" w:fill="E6E6E6"/>
      </w:pPr>
    </w:p>
    <w:p w:rsidR="00A83F38" w:rsidRPr="00D33B70" w:rsidRDefault="007372EF" w:rsidP="00430B8C">
      <w:pPr>
        <w:tabs>
          <w:tab w:val="center" w:pos="4536"/>
        </w:tabs>
        <w:suppressAutoHyphens/>
        <w:jc w:val="center"/>
      </w:pPr>
      <w:r w:rsidRPr="00D33B70">
        <w:rPr>
          <w:noProof/>
          <w:lang w:eastAsia="en-AU"/>
        </w:rPr>
        <mc:AlternateContent>
          <mc:Choice Requires="wps">
            <w:drawing>
              <wp:anchor distT="0" distB="0" distL="114300" distR="114300" simplePos="0" relativeHeight="251654656" behindDoc="0" locked="0" layoutInCell="1" allowOverlap="1" wp14:anchorId="789B9FC0" wp14:editId="054C6E35">
                <wp:simplePos x="0" y="0"/>
                <wp:positionH relativeFrom="page">
                  <wp:posOffset>5910580</wp:posOffset>
                </wp:positionH>
                <wp:positionV relativeFrom="paragraph">
                  <wp:posOffset>6309360</wp:posOffset>
                </wp:positionV>
                <wp:extent cx="777240" cy="1555750"/>
                <wp:effectExtent l="0" t="3810" r="0" b="2540"/>
                <wp:wrapNone/>
                <wp:docPr id="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 cy="155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1B5" w:rsidRDefault="006701B5">
                            <w:pPr>
                              <w:jc w:val="center"/>
                              <w:rPr>
                                <w:b/>
                                <w:i/>
                              </w:rPr>
                            </w:pPr>
                            <w:r>
                              <w:rPr>
                                <w:b/>
                                <w:i/>
                              </w:rPr>
                              <w:t>Offices</w:t>
                            </w:r>
                          </w:p>
                          <w:p w:rsidR="006701B5" w:rsidRDefault="006701B5">
                            <w:pPr>
                              <w:jc w:val="center"/>
                              <w:rPr>
                                <w:i/>
                                <w:sz w:val="8"/>
                              </w:rPr>
                            </w:pPr>
                          </w:p>
                          <w:p w:rsidR="006701B5" w:rsidRDefault="006701B5">
                            <w:pPr>
                              <w:jc w:val="center"/>
                              <w:rPr>
                                <w:i/>
                              </w:rPr>
                            </w:pPr>
                            <w:r>
                              <w:rPr>
                                <w:i/>
                              </w:rPr>
                              <w:t>Brisbane</w:t>
                            </w:r>
                          </w:p>
                          <w:p w:rsidR="006701B5" w:rsidRDefault="006701B5">
                            <w:pPr>
                              <w:jc w:val="center"/>
                              <w:rPr>
                                <w:i/>
                              </w:rPr>
                            </w:pPr>
                            <w:r>
                              <w:rPr>
                                <w:i/>
                              </w:rPr>
                              <w:t>Denver</w:t>
                            </w:r>
                          </w:p>
                          <w:p w:rsidR="006701B5" w:rsidRDefault="006701B5">
                            <w:pPr>
                              <w:jc w:val="center"/>
                              <w:rPr>
                                <w:i/>
                              </w:rPr>
                            </w:pPr>
                            <w:r>
                              <w:rPr>
                                <w:i/>
                              </w:rPr>
                              <w:t>Karratha</w:t>
                            </w:r>
                          </w:p>
                          <w:p w:rsidR="006701B5" w:rsidRDefault="006701B5">
                            <w:pPr>
                              <w:jc w:val="center"/>
                              <w:rPr>
                                <w:i/>
                              </w:rPr>
                            </w:pPr>
                            <w:r>
                              <w:rPr>
                                <w:i/>
                              </w:rPr>
                              <w:t>Melbourne</w:t>
                            </w:r>
                          </w:p>
                          <w:p w:rsidR="006701B5" w:rsidRDefault="006701B5">
                            <w:pPr>
                              <w:jc w:val="center"/>
                              <w:rPr>
                                <w:i/>
                              </w:rPr>
                            </w:pPr>
                            <w:r>
                              <w:rPr>
                                <w:i/>
                              </w:rPr>
                              <w:t>Morwell</w:t>
                            </w:r>
                          </w:p>
                          <w:p w:rsidR="006701B5" w:rsidRDefault="006701B5">
                            <w:pPr>
                              <w:jc w:val="center"/>
                              <w:rPr>
                                <w:i/>
                              </w:rPr>
                            </w:pPr>
                            <w:r>
                              <w:rPr>
                                <w:i/>
                              </w:rPr>
                              <w:t>Newcastle</w:t>
                            </w:r>
                          </w:p>
                          <w:p w:rsidR="006701B5" w:rsidRDefault="006701B5">
                            <w:pPr>
                              <w:jc w:val="center"/>
                              <w:rPr>
                                <w:i/>
                              </w:rPr>
                            </w:pPr>
                            <w:r>
                              <w:rPr>
                                <w:i/>
                              </w:rPr>
                              <w:t>Perth</w:t>
                            </w:r>
                          </w:p>
                          <w:p w:rsidR="006701B5" w:rsidRDefault="006701B5">
                            <w:pPr>
                              <w:jc w:val="center"/>
                              <w:rPr>
                                <w:i/>
                              </w:rPr>
                            </w:pPr>
                            <w:r>
                              <w:rPr>
                                <w:i/>
                              </w:rPr>
                              <w:t>Sydney</w:t>
                            </w:r>
                          </w:p>
                          <w:p w:rsidR="006701B5" w:rsidRDefault="006701B5">
                            <w:pPr>
                              <w:jc w:val="center"/>
                              <w:rPr>
                                <w:i/>
                              </w:rPr>
                            </w:pPr>
                            <w:r>
                              <w:rPr>
                                <w:i/>
                              </w:rPr>
                              <w:t>Vancouver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9" style="position:absolute;left:0;text-align:left;margin-left:465.4pt;margin-top:496.8pt;width:61.2pt;height:12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" filled="f" stroked="f">
                <v:textbox inset="0,0,0,0">
                  <w:txbxContent>
                    <w:p w:rsidR="006701B5" w:rsidRDefault="006701B5">
                      <w:pPr>
                        <w:jc w:val="center"/>
                        <w:rPr>
                          <w:b/>
                          <w:i/>
                        </w:rPr>
                      </w:pPr>
                      <w:r>
                        <w:rPr>
                          <w:b/>
                          <w:i/>
                        </w:rPr>
                        <w:t>Offices</w:t>
                      </w:r>
                    </w:p>
                    <w:p w:rsidR="006701B5" w:rsidRDefault="006701B5">
                      <w:pPr>
                        <w:jc w:val="center"/>
                        <w:rPr>
                          <w:i/>
                          <w:sz w:val="8"/>
                        </w:rPr>
                      </w:pPr>
                    </w:p>
                    <w:p w:rsidR="006701B5" w:rsidRDefault="006701B5">
                      <w:pPr>
                        <w:jc w:val="center"/>
                        <w:rPr>
                          <w:i/>
                        </w:rPr>
                      </w:pPr>
                      <w:r>
                        <w:rPr>
                          <w:i/>
                        </w:rPr>
                        <w:t>Brisbane</w:t>
                      </w:r>
                    </w:p>
                    <w:p w:rsidR="006701B5" w:rsidRDefault="006701B5">
                      <w:pPr>
                        <w:jc w:val="center"/>
                        <w:rPr>
                          <w:i/>
                        </w:rPr>
                      </w:pPr>
                      <w:r>
                        <w:rPr>
                          <w:i/>
                        </w:rPr>
                        <w:t>Denver</w:t>
                      </w:r>
                    </w:p>
                    <w:p w:rsidR="006701B5" w:rsidRDefault="006701B5">
                      <w:pPr>
                        <w:jc w:val="center"/>
                        <w:rPr>
                          <w:i/>
                        </w:rPr>
                      </w:pPr>
                      <w:r>
                        <w:rPr>
                          <w:i/>
                        </w:rPr>
                        <w:t>Karratha</w:t>
                      </w:r>
                    </w:p>
                    <w:p w:rsidR="006701B5" w:rsidRDefault="006701B5">
                      <w:pPr>
                        <w:jc w:val="center"/>
                        <w:rPr>
                          <w:i/>
                        </w:rPr>
                      </w:pPr>
                      <w:r>
                        <w:rPr>
                          <w:i/>
                        </w:rPr>
                        <w:t>Melbourne</w:t>
                      </w:r>
                    </w:p>
                    <w:p w:rsidR="006701B5" w:rsidRDefault="006701B5">
                      <w:pPr>
                        <w:jc w:val="center"/>
                        <w:rPr>
                          <w:i/>
                        </w:rPr>
                      </w:pPr>
                      <w:r>
                        <w:rPr>
                          <w:i/>
                        </w:rPr>
                        <w:t>Morwell</w:t>
                      </w:r>
                    </w:p>
                    <w:p w:rsidR="006701B5" w:rsidRDefault="006701B5">
                      <w:pPr>
                        <w:jc w:val="center"/>
                        <w:rPr>
                          <w:i/>
                        </w:rPr>
                      </w:pPr>
                      <w:r>
                        <w:rPr>
                          <w:i/>
                        </w:rPr>
                        <w:t>Newcastle</w:t>
                      </w:r>
                    </w:p>
                    <w:p w:rsidR="006701B5" w:rsidRDefault="006701B5">
                      <w:pPr>
                        <w:jc w:val="center"/>
                        <w:rPr>
                          <w:i/>
                        </w:rPr>
                      </w:pPr>
                      <w:r>
                        <w:rPr>
                          <w:i/>
                        </w:rPr>
                        <w:t>Perth</w:t>
                      </w:r>
                    </w:p>
                    <w:p w:rsidR="006701B5" w:rsidRDefault="006701B5">
                      <w:pPr>
                        <w:jc w:val="center"/>
                        <w:rPr>
                          <w:i/>
                        </w:rPr>
                      </w:pPr>
                      <w:r>
                        <w:rPr>
                          <w:i/>
                        </w:rPr>
                        <w:t>Sydney</w:t>
                      </w:r>
                    </w:p>
                    <w:p w:rsidR="006701B5" w:rsidRDefault="006701B5">
                      <w:pPr>
                        <w:jc w:val="center"/>
                        <w:rPr>
                          <w:i/>
                        </w:rPr>
                      </w:pPr>
                      <w:r>
                        <w:rPr>
                          <w:i/>
                        </w:rPr>
                        <w:t>Vancouver</w:t>
                      </w:r>
                    </w:p>
                  </w:txbxContent>
                </v:textbox>
                <w10:wrap anchorx="page"/>
              </v:rect>
            </w:pict>
          </mc:Fallback>
        </mc:AlternateContent>
      </w:r>
      <w:r w:rsidR="00A83F38" w:rsidRPr="00D33B70">
        <w:br w:type="page"/>
      </w:r>
      <w:r w:rsidR="00A83F38" w:rsidRPr="00D33B70">
        <w:rPr>
          <w:b/>
          <w:spacing w:val="-3"/>
          <w:sz w:val="26"/>
        </w:rPr>
        <w:lastRenderedPageBreak/>
        <w:t>DOCUMENT CONTROL SHEET</w:t>
      </w:r>
    </w:p>
    <w:p w:rsidR="00A83F38" w:rsidRPr="00D33B70" w:rsidRDefault="00A83F38" w:rsidP="00430B8C">
      <w:pPr>
        <w:tabs>
          <w:tab w:val="left" w:pos="-1446"/>
          <w:tab w:val="left" w:pos="-736"/>
          <w:tab w:val="left" w:pos="856"/>
          <w:tab w:val="left" w:pos="1412"/>
          <w:tab w:val="left" w:pos="2132"/>
          <w:tab w:val="left" w:pos="2852"/>
        </w:tabs>
        <w:suppressAutoHyphens/>
      </w:pPr>
    </w:p>
    <w:p w:rsidR="00A83F38" w:rsidRPr="00D33B70" w:rsidRDefault="00A83F38" w:rsidP="00430B8C">
      <w:pPr>
        <w:tabs>
          <w:tab w:val="left" w:pos="-720"/>
          <w:tab w:val="left" w:pos="1092"/>
          <w:tab w:val="left" w:pos="2016"/>
          <w:tab w:val="left" w:pos="2604"/>
          <w:tab w:val="left" w:pos="7140"/>
          <w:tab w:val="left" w:pos="7392"/>
        </w:tabs>
        <w:suppressAutoHyphens/>
      </w:pPr>
    </w:p>
    <w:tbl>
      <w:tblPr>
        <w:tblW w:w="0" w:type="auto"/>
        <w:tblInd w:w="120" w:type="dxa"/>
        <w:tblLayout w:type="fixed"/>
        <w:tblCellMar>
          <w:left w:w="120" w:type="dxa"/>
          <w:right w:w="120" w:type="dxa"/>
        </w:tblCellMar>
        <w:tblLook w:val="0000" w:firstRow="0" w:lastRow="0" w:firstColumn="0" w:lastColumn="0" w:noHBand="0" w:noVBand="0"/>
      </w:tblPr>
      <w:tblGrid>
        <w:gridCol w:w="3686"/>
        <w:gridCol w:w="2551"/>
        <w:gridCol w:w="3402"/>
      </w:tblGrid>
      <w:tr w:rsidR="00A83F38" w:rsidRPr="00D33B70">
        <w:trPr>
          <w:cantSplit/>
          <w:trHeight w:val="661"/>
        </w:trPr>
        <w:tc>
          <w:tcPr>
            <w:tcW w:w="3686" w:type="dxa"/>
            <w:vMerge w:val="restart"/>
            <w:tcBorders>
              <w:top w:val="single" w:sz="4" w:space="0" w:color="auto"/>
              <w:left w:val="single" w:sz="4" w:space="0" w:color="auto"/>
              <w:bottom w:val="single" w:sz="4" w:space="0" w:color="auto"/>
              <w:right w:val="single" w:sz="4" w:space="0" w:color="auto"/>
            </w:tcBorders>
          </w:tcPr>
          <w:p w:rsidR="00A83F38" w:rsidRPr="00D33B70" w:rsidRDefault="00A83F38" w:rsidP="00430B8C">
            <w:pPr>
              <w:pStyle w:val="ListContinue2"/>
              <w:tabs>
                <w:tab w:val="left" w:pos="2016"/>
                <w:tab w:val="left" w:pos="2604"/>
                <w:tab w:val="left" w:pos="7140"/>
                <w:tab w:val="left" w:pos="7392"/>
              </w:tabs>
              <w:spacing w:before="60" w:after="60"/>
              <w:rPr>
                <w:b/>
                <w:spacing w:val="-3"/>
              </w:rPr>
            </w:pPr>
            <w:r w:rsidRPr="00D33B70">
              <w:rPr>
                <w:b/>
                <w:spacing w:val="-3"/>
                <w:sz w:val="26"/>
              </w:rPr>
              <w:t>BMT WBM Pty Ltd</w:t>
            </w:r>
          </w:p>
          <w:p w:rsidR="00A83F38" w:rsidRPr="00D33B70" w:rsidRDefault="00A83F38" w:rsidP="00430B8C">
            <w:pPr>
              <w:tabs>
                <w:tab w:val="left" w:pos="7478"/>
                <w:tab w:val="left" w:pos="9679"/>
              </w:tabs>
              <w:spacing w:line="0" w:lineRule="atLeast"/>
              <w:rPr>
                <w:rFonts w:cs="Arial"/>
                <w:iCs/>
                <w:color w:val="005581"/>
                <w:sz w:val="16"/>
              </w:rPr>
            </w:pPr>
            <w:bookmarkStart w:id="3" w:name="Office"/>
            <w:bookmarkEnd w:id="3"/>
            <w:r w:rsidRPr="00D33B70">
              <w:rPr>
                <w:rFonts w:cs="Arial"/>
                <w:iCs/>
                <w:color w:val="005581"/>
                <w:sz w:val="16"/>
              </w:rPr>
              <w:t>BMT WBM Pty Ltd</w:t>
            </w:r>
          </w:p>
          <w:p w:rsidR="00A83F38" w:rsidRPr="00D33B70" w:rsidRDefault="00A83F38" w:rsidP="00430B8C">
            <w:pPr>
              <w:tabs>
                <w:tab w:val="left" w:pos="7478"/>
                <w:tab w:val="left" w:pos="9679"/>
              </w:tabs>
              <w:spacing w:line="0" w:lineRule="atLeast"/>
              <w:rPr>
                <w:rFonts w:cs="Arial"/>
                <w:iCs/>
                <w:color w:val="005581"/>
                <w:sz w:val="16"/>
              </w:rPr>
            </w:pPr>
            <w:r w:rsidRPr="00D33B70">
              <w:rPr>
                <w:rFonts w:cs="Arial"/>
                <w:iCs/>
                <w:color w:val="005581"/>
                <w:sz w:val="16"/>
              </w:rPr>
              <w:t>Level 5, 99 King Street</w:t>
            </w:r>
          </w:p>
          <w:p w:rsidR="00A83F38" w:rsidRPr="00D33B70" w:rsidRDefault="00A83F38" w:rsidP="00430B8C">
            <w:pPr>
              <w:tabs>
                <w:tab w:val="left" w:pos="7478"/>
                <w:tab w:val="left" w:pos="9679"/>
              </w:tabs>
              <w:spacing w:line="0" w:lineRule="atLeast"/>
              <w:rPr>
                <w:rFonts w:cs="Arial"/>
                <w:iCs/>
                <w:color w:val="005581"/>
                <w:sz w:val="16"/>
              </w:rPr>
            </w:pPr>
            <w:r w:rsidRPr="00D33B70">
              <w:rPr>
                <w:rFonts w:cs="Arial"/>
                <w:iCs/>
                <w:color w:val="005581"/>
                <w:sz w:val="16"/>
              </w:rPr>
              <w:t>MELBOURNE  VIC  3000</w:t>
            </w:r>
          </w:p>
          <w:p w:rsidR="00A83F38" w:rsidRPr="00D33B70" w:rsidRDefault="00A83F38" w:rsidP="00430B8C">
            <w:pPr>
              <w:tabs>
                <w:tab w:val="left" w:pos="7478"/>
                <w:tab w:val="left" w:pos="9679"/>
              </w:tabs>
              <w:spacing w:line="0" w:lineRule="atLeast"/>
              <w:rPr>
                <w:rFonts w:cs="Arial"/>
                <w:iCs/>
                <w:color w:val="005581"/>
                <w:sz w:val="16"/>
              </w:rPr>
            </w:pPr>
            <w:r w:rsidRPr="00D33B70">
              <w:rPr>
                <w:rFonts w:cs="Arial"/>
                <w:iCs/>
                <w:color w:val="005581"/>
                <w:sz w:val="16"/>
              </w:rPr>
              <w:t>Australia</w:t>
            </w:r>
          </w:p>
          <w:p w:rsidR="00A83F38" w:rsidRPr="00D33B70" w:rsidRDefault="00A83F38" w:rsidP="00430B8C">
            <w:pPr>
              <w:tabs>
                <w:tab w:val="left" w:pos="7478"/>
                <w:tab w:val="left" w:pos="9679"/>
              </w:tabs>
              <w:spacing w:line="0" w:lineRule="atLeast"/>
              <w:rPr>
                <w:rFonts w:cs="Arial"/>
                <w:iCs/>
                <w:color w:val="005581"/>
                <w:sz w:val="16"/>
              </w:rPr>
            </w:pPr>
            <w:r w:rsidRPr="00D33B70">
              <w:rPr>
                <w:rFonts w:cs="Arial"/>
                <w:iCs/>
                <w:color w:val="005581"/>
                <w:sz w:val="16"/>
              </w:rPr>
              <w:t>PO Box 604</w:t>
            </w:r>
          </w:p>
          <w:p w:rsidR="00A83F38" w:rsidRPr="00D33B70" w:rsidRDefault="00A83F38" w:rsidP="00430B8C">
            <w:pPr>
              <w:tabs>
                <w:tab w:val="left" w:pos="7478"/>
                <w:tab w:val="left" w:pos="9679"/>
              </w:tabs>
              <w:spacing w:line="0" w:lineRule="atLeast"/>
              <w:rPr>
                <w:rFonts w:cs="Arial"/>
                <w:iCs/>
                <w:color w:val="005581"/>
                <w:sz w:val="16"/>
              </w:rPr>
            </w:pPr>
            <w:r w:rsidRPr="00D33B70">
              <w:rPr>
                <w:rFonts w:cs="Arial"/>
                <w:iCs/>
                <w:color w:val="005581"/>
                <w:sz w:val="16"/>
              </w:rPr>
              <w:t>Collins Street West  VIC  8007</w:t>
            </w:r>
          </w:p>
          <w:p w:rsidR="00A83F38" w:rsidRPr="00D33B70" w:rsidRDefault="00A83F38" w:rsidP="00430B8C">
            <w:pPr>
              <w:tabs>
                <w:tab w:val="left" w:pos="7478"/>
                <w:tab w:val="left" w:pos="9679"/>
              </w:tabs>
              <w:spacing w:line="0" w:lineRule="atLeast"/>
              <w:rPr>
                <w:rFonts w:cs="Arial"/>
                <w:iCs/>
                <w:color w:val="005581"/>
                <w:sz w:val="16"/>
              </w:rPr>
            </w:pPr>
          </w:p>
          <w:p w:rsidR="00A83F38" w:rsidRPr="00D33B70" w:rsidRDefault="00A83F38" w:rsidP="00430B8C">
            <w:pPr>
              <w:tabs>
                <w:tab w:val="left" w:pos="7478"/>
                <w:tab w:val="left" w:pos="9679"/>
              </w:tabs>
              <w:spacing w:line="0" w:lineRule="atLeast"/>
              <w:rPr>
                <w:rFonts w:cs="Arial"/>
                <w:iCs/>
                <w:color w:val="005581"/>
                <w:sz w:val="16"/>
              </w:rPr>
            </w:pPr>
            <w:r w:rsidRPr="00D33B70">
              <w:rPr>
                <w:rFonts w:cs="Arial"/>
                <w:iCs/>
                <w:color w:val="005581"/>
                <w:sz w:val="16"/>
              </w:rPr>
              <w:t>Tel:  +61 3 8620 6100</w:t>
            </w:r>
          </w:p>
          <w:p w:rsidR="00A83F38" w:rsidRPr="00D33B70" w:rsidRDefault="00A83F38" w:rsidP="00430B8C">
            <w:pPr>
              <w:tabs>
                <w:tab w:val="left" w:pos="7478"/>
                <w:tab w:val="left" w:pos="9679"/>
              </w:tabs>
              <w:spacing w:line="0" w:lineRule="atLeast"/>
              <w:rPr>
                <w:rFonts w:cs="Arial"/>
                <w:iCs/>
                <w:color w:val="005581"/>
                <w:sz w:val="16"/>
              </w:rPr>
            </w:pPr>
            <w:r w:rsidRPr="00D33B70">
              <w:rPr>
                <w:rFonts w:cs="Arial"/>
                <w:iCs/>
                <w:color w:val="005581"/>
                <w:sz w:val="16"/>
              </w:rPr>
              <w:t>Fax: +61 3 8620 6105</w:t>
            </w:r>
          </w:p>
          <w:p w:rsidR="00A83F38" w:rsidRPr="00D33B70" w:rsidRDefault="00A83F38" w:rsidP="00430B8C">
            <w:pPr>
              <w:tabs>
                <w:tab w:val="left" w:pos="7478"/>
                <w:tab w:val="left" w:pos="9679"/>
              </w:tabs>
              <w:spacing w:line="0" w:lineRule="atLeast"/>
              <w:rPr>
                <w:rFonts w:cs="Arial"/>
                <w:iCs/>
                <w:color w:val="005581"/>
                <w:sz w:val="16"/>
              </w:rPr>
            </w:pPr>
          </w:p>
          <w:p w:rsidR="00A83F38" w:rsidRPr="00D33B70" w:rsidRDefault="00A83F38" w:rsidP="00430B8C">
            <w:pPr>
              <w:rPr>
                <w:rFonts w:cs="Arial"/>
                <w:iCs/>
                <w:color w:val="005581"/>
                <w:sz w:val="16"/>
              </w:rPr>
            </w:pPr>
            <w:r w:rsidRPr="00D33B70">
              <w:rPr>
                <w:rFonts w:cs="Arial"/>
                <w:iCs/>
                <w:color w:val="005581"/>
                <w:sz w:val="16"/>
              </w:rPr>
              <w:t>ABN  54 010 830 421</w:t>
            </w:r>
          </w:p>
          <w:p w:rsidR="00A83F38" w:rsidRPr="00D33B70" w:rsidRDefault="00A83F38" w:rsidP="00430B8C">
            <w:pPr>
              <w:rPr>
                <w:rFonts w:cs="Arial"/>
                <w:color w:val="005581"/>
                <w:sz w:val="16"/>
              </w:rPr>
            </w:pPr>
          </w:p>
          <w:p w:rsidR="00A83F38" w:rsidRPr="00D33B70" w:rsidRDefault="006701B5" w:rsidP="00430B8C">
            <w:pPr>
              <w:tabs>
                <w:tab w:val="left" w:pos="7478"/>
                <w:tab w:val="left" w:pos="9679"/>
              </w:tabs>
              <w:spacing w:line="0" w:lineRule="atLeast"/>
              <w:rPr>
                <w:rFonts w:cs="Arial"/>
                <w:iCs/>
                <w:color w:val="1ABDC9"/>
                <w:sz w:val="16"/>
              </w:rPr>
            </w:pPr>
            <w:hyperlink r:id="rId17" w:history="1">
              <w:r w:rsidR="00A83F38" w:rsidRPr="00D33B70">
                <w:rPr>
                  <w:rStyle w:val="Hyperlink"/>
                  <w:rFonts w:cs="Arial"/>
                  <w:iCs/>
                  <w:color w:val="1ABDC9"/>
                  <w:sz w:val="16"/>
                </w:rPr>
                <w:t>www.wbmpl.com.au</w:t>
              </w:r>
            </w:hyperlink>
          </w:p>
          <w:p w:rsidR="00A83F38" w:rsidRPr="00D33B70" w:rsidRDefault="00A83F38" w:rsidP="00430B8C"/>
          <w:p w:rsidR="00A83F38" w:rsidRPr="00D33B70" w:rsidRDefault="00A83F38" w:rsidP="00430B8C">
            <w:pPr>
              <w:pStyle w:val="ListContinue2"/>
              <w:tabs>
                <w:tab w:val="left" w:pos="2016"/>
                <w:tab w:val="left" w:pos="2604"/>
                <w:tab w:val="left" w:pos="7140"/>
                <w:tab w:val="left" w:pos="7392"/>
              </w:tabs>
              <w:rPr>
                <w:bCs/>
              </w:rPr>
            </w:pPr>
          </w:p>
        </w:tc>
        <w:tc>
          <w:tcPr>
            <w:tcW w:w="2551" w:type="dxa"/>
            <w:tcBorders>
              <w:top w:val="single" w:sz="4" w:space="0" w:color="auto"/>
              <w:left w:val="single" w:sz="4" w:space="0" w:color="auto"/>
              <w:bottom w:val="single" w:sz="4" w:space="0" w:color="auto"/>
            </w:tcBorders>
          </w:tcPr>
          <w:p w:rsidR="00A83F38" w:rsidRPr="00D33B70" w:rsidRDefault="00A83F38" w:rsidP="00430B8C">
            <w:pPr>
              <w:tabs>
                <w:tab w:val="left" w:pos="-720"/>
                <w:tab w:val="left" w:pos="2016"/>
                <w:tab w:val="left" w:pos="2604"/>
                <w:tab w:val="left" w:pos="7140"/>
                <w:tab w:val="left" w:pos="7392"/>
              </w:tabs>
              <w:suppressAutoHyphens/>
              <w:spacing w:before="120" w:after="120"/>
              <w:ind w:left="2529" w:hanging="2529"/>
              <w:jc w:val="left"/>
              <w:rPr>
                <w:b/>
                <w:i/>
              </w:rPr>
            </w:pPr>
          </w:p>
          <w:p w:rsidR="00A83F38" w:rsidRPr="00D33B70" w:rsidRDefault="00A83F38" w:rsidP="00430B8C">
            <w:pPr>
              <w:tabs>
                <w:tab w:val="left" w:pos="-720"/>
                <w:tab w:val="left" w:pos="2016"/>
                <w:tab w:val="left" w:pos="2604"/>
                <w:tab w:val="left" w:pos="7140"/>
                <w:tab w:val="left" w:pos="7392"/>
              </w:tabs>
              <w:suppressAutoHyphens/>
              <w:spacing w:before="120" w:after="120"/>
              <w:ind w:left="2529" w:hanging="2529"/>
              <w:jc w:val="left"/>
              <w:rPr>
                <w:b/>
                <w:i/>
              </w:rPr>
            </w:pPr>
            <w:r w:rsidRPr="00D33B70">
              <w:rPr>
                <w:b/>
                <w:i/>
              </w:rPr>
              <w:t>Document :</w:t>
            </w:r>
          </w:p>
          <w:p w:rsidR="00A83F38" w:rsidRPr="00D33B70" w:rsidRDefault="00A83F38" w:rsidP="00430B8C">
            <w:pPr>
              <w:tabs>
                <w:tab w:val="left" w:pos="-720"/>
                <w:tab w:val="left" w:pos="2016"/>
                <w:tab w:val="left" w:pos="2604"/>
                <w:tab w:val="left" w:pos="7140"/>
                <w:tab w:val="left" w:pos="7392"/>
              </w:tabs>
              <w:suppressAutoHyphens/>
              <w:spacing w:before="120" w:after="120"/>
              <w:ind w:left="2529" w:hanging="2529"/>
              <w:jc w:val="left"/>
              <w:rPr>
                <w:b/>
                <w:i/>
              </w:rPr>
            </w:pPr>
            <w:r w:rsidRPr="00D33B70">
              <w:rPr>
                <w:b/>
                <w:i/>
              </w:rPr>
              <w:t>Project Manager :</w:t>
            </w:r>
          </w:p>
        </w:tc>
        <w:tc>
          <w:tcPr>
            <w:tcW w:w="3402" w:type="dxa"/>
            <w:tcBorders>
              <w:top w:val="single" w:sz="4" w:space="0" w:color="auto"/>
              <w:bottom w:val="single" w:sz="4" w:space="0" w:color="auto"/>
              <w:right w:val="single" w:sz="4" w:space="0" w:color="auto"/>
            </w:tcBorders>
          </w:tcPr>
          <w:p w:rsidR="00A83F38" w:rsidRPr="00D33B70" w:rsidRDefault="00A83F38" w:rsidP="00430B8C">
            <w:pPr>
              <w:suppressAutoHyphens/>
              <w:spacing w:before="120" w:after="120"/>
            </w:pPr>
            <w:bookmarkStart w:id="4" w:name="Document"/>
          </w:p>
          <w:p w:rsidR="00A83F38" w:rsidRPr="00D33B70" w:rsidRDefault="0087609B" w:rsidP="00430B8C">
            <w:pPr>
              <w:suppressAutoHyphens/>
              <w:spacing w:before="120" w:after="120"/>
            </w:pPr>
            <w:fldSimple w:instr=" FILENAME  \* MERGEFORMAT ">
              <w:r w:rsidR="000A7922">
                <w:rPr>
                  <w:noProof/>
                </w:rPr>
                <w:t>R.M8094.003.02.FinalReport.docx</w:t>
              </w:r>
            </w:fldSimple>
            <w:bookmarkEnd w:id="4"/>
          </w:p>
          <w:p w:rsidR="00A83F38" w:rsidRPr="00D33B70" w:rsidRDefault="00E00D7E" w:rsidP="00430B8C">
            <w:pPr>
              <w:suppressAutoHyphens/>
              <w:spacing w:before="120" w:after="120"/>
              <w:rPr>
                <w:bCs/>
                <w:iCs/>
              </w:rPr>
            </w:pPr>
            <w:r w:rsidRPr="00D33B70">
              <w:rPr>
                <w:bCs/>
                <w:iCs/>
              </w:rPr>
              <w:t>Joel Leister</w:t>
            </w:r>
          </w:p>
          <w:p w:rsidR="00A83F38" w:rsidRPr="00D33B70" w:rsidRDefault="00A83F38" w:rsidP="00430B8C">
            <w:pPr>
              <w:suppressAutoHyphens/>
              <w:spacing w:before="120" w:after="120"/>
              <w:rPr>
                <w:bCs/>
                <w:iCs/>
              </w:rPr>
            </w:pPr>
          </w:p>
        </w:tc>
      </w:tr>
      <w:tr w:rsidR="00A83F38" w:rsidRPr="00D33B70">
        <w:trPr>
          <w:cantSplit/>
          <w:trHeight w:val="547"/>
        </w:trPr>
        <w:tc>
          <w:tcPr>
            <w:tcW w:w="3686" w:type="dxa"/>
            <w:vMerge/>
            <w:tcBorders>
              <w:top w:val="single" w:sz="4" w:space="0" w:color="auto"/>
              <w:left w:val="single" w:sz="4" w:space="0" w:color="auto"/>
              <w:bottom w:val="single" w:sz="4" w:space="0" w:color="auto"/>
              <w:right w:val="single" w:sz="4" w:space="0" w:color="auto"/>
            </w:tcBorders>
          </w:tcPr>
          <w:p w:rsidR="00A83F38" w:rsidRPr="00D33B70" w:rsidRDefault="00A83F38" w:rsidP="00430B8C">
            <w:pPr>
              <w:tabs>
                <w:tab w:val="left" w:pos="-720"/>
                <w:tab w:val="left" w:pos="2016"/>
                <w:tab w:val="left" w:pos="2604"/>
                <w:tab w:val="left" w:pos="7140"/>
                <w:tab w:val="left" w:pos="7392"/>
              </w:tabs>
              <w:suppressAutoHyphens/>
              <w:jc w:val="left"/>
              <w:rPr>
                <w:bCs/>
              </w:rPr>
            </w:pPr>
          </w:p>
        </w:tc>
        <w:tc>
          <w:tcPr>
            <w:tcW w:w="2551" w:type="dxa"/>
            <w:tcBorders>
              <w:top w:val="single" w:sz="4" w:space="0" w:color="auto"/>
              <w:left w:val="single" w:sz="4" w:space="0" w:color="auto"/>
              <w:bottom w:val="single" w:sz="4" w:space="0" w:color="auto"/>
            </w:tcBorders>
          </w:tcPr>
          <w:p w:rsidR="00A83F38" w:rsidRPr="00D33B70" w:rsidRDefault="00A83F38" w:rsidP="00430B8C">
            <w:pPr>
              <w:tabs>
                <w:tab w:val="left" w:pos="-720"/>
                <w:tab w:val="left" w:pos="2016"/>
                <w:tab w:val="left" w:pos="2604"/>
                <w:tab w:val="left" w:pos="7140"/>
                <w:tab w:val="left" w:pos="7392"/>
              </w:tabs>
              <w:suppressAutoHyphens/>
              <w:spacing w:before="60" w:after="60"/>
              <w:ind w:left="2007" w:hanging="2007"/>
              <w:jc w:val="left"/>
              <w:rPr>
                <w:b/>
                <w:bCs/>
                <w:i/>
                <w:iCs/>
              </w:rPr>
            </w:pPr>
          </w:p>
          <w:p w:rsidR="00A83F38" w:rsidRPr="00D33B70" w:rsidRDefault="00A83F38" w:rsidP="00430B8C">
            <w:pPr>
              <w:tabs>
                <w:tab w:val="left" w:pos="-720"/>
                <w:tab w:val="left" w:pos="2016"/>
                <w:tab w:val="left" w:pos="2604"/>
                <w:tab w:val="left" w:pos="7140"/>
                <w:tab w:val="left" w:pos="7392"/>
              </w:tabs>
              <w:suppressAutoHyphens/>
              <w:spacing w:before="60" w:after="60"/>
              <w:ind w:left="2007" w:hanging="2007"/>
              <w:jc w:val="left"/>
              <w:rPr>
                <w:b/>
                <w:bCs/>
                <w:i/>
                <w:iCs/>
              </w:rPr>
            </w:pPr>
            <w:r w:rsidRPr="00D33B70">
              <w:rPr>
                <w:b/>
                <w:bCs/>
                <w:i/>
                <w:iCs/>
              </w:rPr>
              <w:t>Client :</w:t>
            </w:r>
          </w:p>
          <w:p w:rsidR="00A83F38" w:rsidRPr="00D33B70" w:rsidRDefault="00A83F38" w:rsidP="00430B8C">
            <w:pPr>
              <w:tabs>
                <w:tab w:val="left" w:pos="-720"/>
                <w:tab w:val="left" w:pos="2016"/>
                <w:tab w:val="left" w:pos="2604"/>
                <w:tab w:val="left" w:pos="7140"/>
                <w:tab w:val="left" w:pos="7392"/>
              </w:tabs>
              <w:suppressAutoHyphens/>
              <w:spacing w:before="60" w:after="60"/>
              <w:ind w:left="2007" w:hanging="2007"/>
              <w:jc w:val="left"/>
              <w:rPr>
                <w:b/>
                <w:bCs/>
                <w:i/>
                <w:iCs/>
              </w:rPr>
            </w:pPr>
          </w:p>
          <w:p w:rsidR="00A83F38" w:rsidRPr="00D33B70" w:rsidRDefault="00A83F38" w:rsidP="00430B8C">
            <w:pPr>
              <w:tabs>
                <w:tab w:val="left" w:pos="-720"/>
                <w:tab w:val="left" w:pos="2016"/>
                <w:tab w:val="left" w:pos="2604"/>
                <w:tab w:val="left" w:pos="7140"/>
                <w:tab w:val="left" w:pos="7392"/>
              </w:tabs>
              <w:suppressAutoHyphens/>
              <w:spacing w:before="60" w:after="60"/>
              <w:ind w:left="2007" w:hanging="2007"/>
              <w:jc w:val="left"/>
              <w:rPr>
                <w:b/>
                <w:bCs/>
                <w:i/>
                <w:iCs/>
              </w:rPr>
            </w:pPr>
            <w:r w:rsidRPr="00D33B70">
              <w:rPr>
                <w:b/>
                <w:bCs/>
                <w:i/>
                <w:iCs/>
              </w:rPr>
              <w:t>Client Contact:</w:t>
            </w:r>
          </w:p>
          <w:p w:rsidR="00A83F38" w:rsidRPr="00D33B70" w:rsidRDefault="00A83F38" w:rsidP="00430B8C">
            <w:pPr>
              <w:tabs>
                <w:tab w:val="left" w:pos="-720"/>
                <w:tab w:val="left" w:pos="2016"/>
                <w:tab w:val="left" w:pos="2604"/>
                <w:tab w:val="left" w:pos="7140"/>
                <w:tab w:val="left" w:pos="7392"/>
              </w:tabs>
              <w:suppressAutoHyphens/>
              <w:spacing w:before="60" w:after="60"/>
              <w:ind w:left="2007" w:hanging="2007"/>
              <w:jc w:val="left"/>
              <w:rPr>
                <w:b/>
                <w:bCs/>
                <w:i/>
                <w:iCs/>
              </w:rPr>
            </w:pPr>
          </w:p>
          <w:p w:rsidR="00A83F38" w:rsidRPr="00D33B70" w:rsidRDefault="00A83F38" w:rsidP="00430B8C">
            <w:pPr>
              <w:tabs>
                <w:tab w:val="left" w:pos="-720"/>
                <w:tab w:val="left" w:pos="2016"/>
                <w:tab w:val="left" w:pos="2604"/>
                <w:tab w:val="left" w:pos="7140"/>
                <w:tab w:val="left" w:pos="7392"/>
              </w:tabs>
              <w:suppressAutoHyphens/>
              <w:spacing w:before="60" w:after="60"/>
              <w:ind w:left="2007" w:hanging="2007"/>
              <w:jc w:val="left"/>
            </w:pPr>
            <w:r w:rsidRPr="00D33B70">
              <w:rPr>
                <w:b/>
                <w:bCs/>
                <w:i/>
                <w:iCs/>
              </w:rPr>
              <w:t>Client Reference</w:t>
            </w:r>
          </w:p>
        </w:tc>
        <w:tc>
          <w:tcPr>
            <w:tcW w:w="3402" w:type="dxa"/>
            <w:tcBorders>
              <w:top w:val="single" w:sz="4" w:space="0" w:color="auto"/>
              <w:bottom w:val="single" w:sz="4" w:space="0" w:color="auto"/>
              <w:right w:val="single" w:sz="4" w:space="0" w:color="auto"/>
            </w:tcBorders>
          </w:tcPr>
          <w:p w:rsidR="00A83F38" w:rsidRPr="00D33B70" w:rsidRDefault="00A83F38" w:rsidP="00430B8C">
            <w:pPr>
              <w:suppressAutoHyphens/>
              <w:spacing w:before="60" w:after="60"/>
              <w:rPr>
                <w:bCs/>
                <w:iCs/>
              </w:rPr>
            </w:pPr>
          </w:p>
          <w:p w:rsidR="00A83F38" w:rsidRPr="00D33B70" w:rsidRDefault="00A83F38" w:rsidP="00430B8C">
            <w:pPr>
              <w:suppressAutoHyphens/>
              <w:spacing w:before="60" w:after="60"/>
              <w:rPr>
                <w:bCs/>
                <w:iCs/>
              </w:rPr>
            </w:pPr>
            <w:bookmarkStart w:id="5" w:name="Client"/>
            <w:r w:rsidRPr="00D33B70">
              <w:rPr>
                <w:bCs/>
                <w:iCs/>
              </w:rPr>
              <w:t>City of Greater Geelong</w:t>
            </w:r>
            <w:bookmarkEnd w:id="5"/>
          </w:p>
          <w:p w:rsidR="00A83F38" w:rsidRPr="00D33B70" w:rsidRDefault="00A83F38" w:rsidP="00430B8C">
            <w:pPr>
              <w:suppressAutoHyphens/>
              <w:spacing w:before="60" w:after="60"/>
              <w:rPr>
                <w:bCs/>
                <w:iCs/>
              </w:rPr>
            </w:pPr>
          </w:p>
          <w:p w:rsidR="00A83F38" w:rsidRPr="00D33B70" w:rsidRDefault="00A83F38" w:rsidP="00430B8C">
            <w:pPr>
              <w:suppressAutoHyphens/>
              <w:spacing w:before="60" w:after="60"/>
              <w:rPr>
                <w:bCs/>
                <w:iCs/>
              </w:rPr>
            </w:pPr>
            <w:bookmarkStart w:id="6" w:name="ClientContact"/>
            <w:r w:rsidRPr="00D33B70">
              <w:rPr>
                <w:bCs/>
                <w:iCs/>
              </w:rPr>
              <w:t>Richard Wojnarowski</w:t>
            </w:r>
            <w:bookmarkEnd w:id="6"/>
          </w:p>
          <w:p w:rsidR="00A83F38" w:rsidRPr="00D33B70" w:rsidRDefault="00A83F38" w:rsidP="00430B8C">
            <w:pPr>
              <w:suppressAutoHyphens/>
              <w:spacing w:before="60" w:after="60"/>
              <w:rPr>
                <w:bCs/>
                <w:iCs/>
              </w:rPr>
            </w:pPr>
          </w:p>
          <w:p w:rsidR="00A83F38" w:rsidRPr="00D33B70" w:rsidRDefault="00DF6F96" w:rsidP="00430B8C">
            <w:pPr>
              <w:suppressAutoHyphens/>
              <w:spacing w:before="60" w:after="60"/>
              <w:rPr>
                <w:bCs/>
                <w:iCs/>
              </w:rPr>
            </w:pPr>
            <w:r w:rsidRPr="00D33B70">
              <w:rPr>
                <w:bCs/>
                <w:iCs/>
              </w:rPr>
              <w:t>C11503</w:t>
            </w:r>
          </w:p>
        </w:tc>
      </w:tr>
    </w:tbl>
    <w:p w:rsidR="00A83F38" w:rsidRPr="00D33B70" w:rsidRDefault="00A83F38" w:rsidP="00430B8C">
      <w:pPr>
        <w:tabs>
          <w:tab w:val="left" w:pos="-720"/>
          <w:tab w:val="left" w:pos="1092"/>
          <w:tab w:val="left" w:pos="2016"/>
          <w:tab w:val="left" w:pos="2604"/>
          <w:tab w:val="left" w:pos="7140"/>
          <w:tab w:val="left" w:pos="7392"/>
        </w:tabs>
        <w:suppressAutoHyphens/>
      </w:pPr>
    </w:p>
    <w:p w:rsidR="00A83F38" w:rsidRPr="00D33B70" w:rsidRDefault="00A83F38" w:rsidP="00430B8C">
      <w:pPr>
        <w:tabs>
          <w:tab w:val="left" w:pos="-720"/>
          <w:tab w:val="left" w:pos="1092"/>
          <w:tab w:val="left" w:pos="2016"/>
          <w:tab w:val="left" w:pos="2604"/>
          <w:tab w:val="left" w:pos="7140"/>
          <w:tab w:val="left" w:pos="7392"/>
        </w:tabs>
        <w:suppressAutoHyphen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7654"/>
      </w:tblGrid>
      <w:tr w:rsidR="00A83F38" w:rsidRPr="00D33B70" w:rsidTr="00F8692A">
        <w:tc>
          <w:tcPr>
            <w:tcW w:w="1985" w:type="dxa"/>
            <w:tcBorders>
              <w:top w:val="single" w:sz="4" w:space="0" w:color="auto"/>
              <w:left w:val="single" w:sz="4" w:space="0" w:color="auto"/>
              <w:bottom w:val="nil"/>
              <w:right w:val="nil"/>
            </w:tcBorders>
          </w:tcPr>
          <w:p w:rsidR="00A83F38" w:rsidRPr="00D33B70" w:rsidRDefault="00A83F38" w:rsidP="00430B8C">
            <w:pPr>
              <w:tabs>
                <w:tab w:val="left" w:pos="-720"/>
                <w:tab w:val="left" w:pos="1092"/>
                <w:tab w:val="left" w:pos="2016"/>
                <w:tab w:val="left" w:pos="2604"/>
                <w:tab w:val="left" w:pos="7140"/>
                <w:tab w:val="left" w:pos="7392"/>
              </w:tabs>
              <w:suppressAutoHyphens/>
              <w:spacing w:before="60" w:after="60"/>
            </w:pPr>
            <w:r w:rsidRPr="00D33B70">
              <w:rPr>
                <w:b/>
                <w:bCs/>
                <w:i/>
                <w:iCs/>
              </w:rPr>
              <w:t xml:space="preserve">Title </w:t>
            </w:r>
            <w:r w:rsidRPr="00D33B70">
              <w:t>:</w:t>
            </w:r>
          </w:p>
        </w:tc>
        <w:tc>
          <w:tcPr>
            <w:tcW w:w="7654" w:type="dxa"/>
            <w:tcBorders>
              <w:top w:val="single" w:sz="4" w:space="0" w:color="auto"/>
              <w:left w:val="nil"/>
              <w:bottom w:val="nil"/>
              <w:right w:val="single" w:sz="4" w:space="0" w:color="auto"/>
            </w:tcBorders>
          </w:tcPr>
          <w:p w:rsidR="00A83F38" w:rsidRPr="00D33B70" w:rsidRDefault="00DF6F96" w:rsidP="00007AD7">
            <w:pPr>
              <w:tabs>
                <w:tab w:val="left" w:pos="-720"/>
                <w:tab w:val="left" w:pos="1092"/>
                <w:tab w:val="left" w:pos="2016"/>
                <w:tab w:val="left" w:pos="2604"/>
                <w:tab w:val="left" w:pos="7140"/>
                <w:tab w:val="left" w:pos="7392"/>
              </w:tabs>
              <w:suppressAutoHyphens/>
              <w:spacing w:before="60" w:after="60"/>
            </w:pPr>
            <w:bookmarkStart w:id="7" w:name="TitleDCS"/>
            <w:r w:rsidRPr="00D33B70">
              <w:t>Highton</w:t>
            </w:r>
            <w:r w:rsidR="00A83F38" w:rsidRPr="00D33B70">
              <w:t xml:space="preserve"> Drainage/Flood Study </w:t>
            </w:r>
            <w:bookmarkEnd w:id="7"/>
            <w:r w:rsidR="00B02D66" w:rsidRPr="00D33B70">
              <w:t>Final Report</w:t>
            </w:r>
          </w:p>
        </w:tc>
      </w:tr>
      <w:tr w:rsidR="00A83F38" w:rsidRPr="00D33B70" w:rsidTr="00F8692A">
        <w:tc>
          <w:tcPr>
            <w:tcW w:w="1985" w:type="dxa"/>
            <w:tcBorders>
              <w:top w:val="nil"/>
              <w:bottom w:val="single" w:sz="4" w:space="0" w:color="auto"/>
              <w:right w:val="nil"/>
            </w:tcBorders>
          </w:tcPr>
          <w:p w:rsidR="00A83F38" w:rsidRPr="00D33B70" w:rsidRDefault="00A83F38" w:rsidP="00430B8C">
            <w:pPr>
              <w:tabs>
                <w:tab w:val="left" w:pos="-720"/>
                <w:tab w:val="left" w:pos="1092"/>
                <w:tab w:val="left" w:pos="2016"/>
                <w:tab w:val="left" w:pos="2604"/>
                <w:tab w:val="left" w:pos="7140"/>
                <w:tab w:val="left" w:pos="7392"/>
              </w:tabs>
              <w:suppressAutoHyphens/>
              <w:spacing w:before="60" w:after="60"/>
              <w:rPr>
                <w:b/>
                <w:bCs/>
                <w:i/>
                <w:iCs/>
              </w:rPr>
            </w:pPr>
            <w:r w:rsidRPr="00D33B70">
              <w:rPr>
                <w:b/>
                <w:bCs/>
                <w:i/>
                <w:iCs/>
              </w:rPr>
              <w:t>Author</w:t>
            </w:r>
            <w:r w:rsidR="006834B9" w:rsidRPr="00D33B70">
              <w:rPr>
                <w:b/>
                <w:bCs/>
                <w:i/>
                <w:iCs/>
              </w:rPr>
              <w:t>(s)</w:t>
            </w:r>
            <w:r w:rsidRPr="00D33B70">
              <w:rPr>
                <w:b/>
                <w:bCs/>
                <w:i/>
                <w:iCs/>
              </w:rPr>
              <w:t xml:space="preserve"> :</w:t>
            </w:r>
          </w:p>
        </w:tc>
        <w:tc>
          <w:tcPr>
            <w:tcW w:w="7654" w:type="dxa"/>
            <w:tcBorders>
              <w:top w:val="nil"/>
              <w:left w:val="nil"/>
              <w:bottom w:val="single" w:sz="4" w:space="0" w:color="auto"/>
            </w:tcBorders>
          </w:tcPr>
          <w:p w:rsidR="00A83F38" w:rsidRPr="00D33B70" w:rsidRDefault="006834B9" w:rsidP="006834B9">
            <w:pPr>
              <w:tabs>
                <w:tab w:val="left" w:pos="-720"/>
                <w:tab w:val="left" w:pos="1092"/>
                <w:tab w:val="left" w:pos="2016"/>
                <w:tab w:val="left" w:pos="2604"/>
                <w:tab w:val="left" w:pos="7140"/>
                <w:tab w:val="left" w:pos="7392"/>
              </w:tabs>
              <w:suppressAutoHyphens/>
              <w:spacing w:before="60" w:after="60"/>
            </w:pPr>
            <w:bookmarkStart w:id="8" w:name="Author"/>
            <w:r w:rsidRPr="00D33B70">
              <w:t xml:space="preserve">Michael South and </w:t>
            </w:r>
            <w:r w:rsidR="00A83F38" w:rsidRPr="00D33B70">
              <w:t>Joel Leister</w:t>
            </w:r>
            <w:bookmarkEnd w:id="8"/>
          </w:p>
        </w:tc>
      </w:tr>
      <w:tr w:rsidR="00A83F38" w:rsidRPr="00D33B70" w:rsidTr="00F8692A">
        <w:tc>
          <w:tcPr>
            <w:tcW w:w="1985" w:type="dxa"/>
            <w:tcBorders>
              <w:right w:val="nil"/>
            </w:tcBorders>
          </w:tcPr>
          <w:p w:rsidR="00A83F38" w:rsidRPr="00D33B70" w:rsidRDefault="00A83F38" w:rsidP="00430B8C">
            <w:pPr>
              <w:tabs>
                <w:tab w:val="left" w:pos="-720"/>
                <w:tab w:val="left" w:pos="1092"/>
                <w:tab w:val="left" w:pos="2016"/>
                <w:tab w:val="left" w:pos="2604"/>
                <w:tab w:val="left" w:pos="7140"/>
                <w:tab w:val="left" w:pos="7392"/>
              </w:tabs>
              <w:suppressAutoHyphens/>
              <w:spacing w:before="60" w:after="60"/>
              <w:rPr>
                <w:b/>
                <w:bCs/>
                <w:i/>
                <w:iCs/>
              </w:rPr>
            </w:pPr>
            <w:r w:rsidRPr="00D33B70">
              <w:rPr>
                <w:b/>
                <w:bCs/>
                <w:i/>
                <w:iCs/>
              </w:rPr>
              <w:t>Synopsis :</w:t>
            </w:r>
          </w:p>
        </w:tc>
        <w:tc>
          <w:tcPr>
            <w:tcW w:w="7654" w:type="dxa"/>
            <w:tcBorders>
              <w:left w:val="nil"/>
            </w:tcBorders>
          </w:tcPr>
          <w:p w:rsidR="00A83F38" w:rsidRPr="00D33B70" w:rsidRDefault="00B02D66" w:rsidP="00926718">
            <w:pPr>
              <w:tabs>
                <w:tab w:val="left" w:pos="-720"/>
                <w:tab w:val="left" w:pos="1092"/>
                <w:tab w:val="left" w:pos="2016"/>
                <w:tab w:val="left" w:pos="2604"/>
                <w:tab w:val="left" w:pos="7140"/>
                <w:tab w:val="left" w:pos="7392"/>
              </w:tabs>
              <w:suppressAutoHyphens/>
              <w:spacing w:before="60" w:after="60"/>
            </w:pPr>
            <w:bookmarkStart w:id="9" w:name="Synopsis"/>
            <w:r w:rsidRPr="00D33B70">
              <w:t xml:space="preserve">This report documents the methodology and results for the </w:t>
            </w:r>
            <w:r w:rsidR="00E319F8" w:rsidRPr="00D33B70">
              <w:t>Highton</w:t>
            </w:r>
            <w:r w:rsidRPr="00D33B70">
              <w:t xml:space="preserve"> Drainage / Flood Study.</w:t>
            </w:r>
            <w:bookmarkEnd w:id="9"/>
          </w:p>
        </w:tc>
      </w:tr>
    </w:tbl>
    <w:p w:rsidR="00A83F38" w:rsidRPr="00D33B70" w:rsidRDefault="00A83F38" w:rsidP="00430B8C">
      <w:pPr>
        <w:tabs>
          <w:tab w:val="left" w:pos="-720"/>
          <w:tab w:val="left" w:pos="1092"/>
          <w:tab w:val="left" w:pos="2016"/>
          <w:tab w:val="left" w:pos="2604"/>
          <w:tab w:val="left" w:pos="7140"/>
          <w:tab w:val="left" w:pos="7392"/>
        </w:tabs>
        <w:suppressAutoHyphens/>
      </w:pPr>
    </w:p>
    <w:p w:rsidR="00A83F38" w:rsidRPr="00D33B70" w:rsidRDefault="00A83F38" w:rsidP="00430B8C">
      <w:pPr>
        <w:tabs>
          <w:tab w:val="left" w:pos="-720"/>
          <w:tab w:val="left" w:pos="1092"/>
          <w:tab w:val="left" w:pos="2016"/>
          <w:tab w:val="left" w:pos="2604"/>
          <w:tab w:val="left" w:pos="7140"/>
          <w:tab w:val="left" w:pos="7392"/>
        </w:tabs>
        <w:suppressAutoHyphens/>
      </w:pPr>
    </w:p>
    <w:p w:rsidR="00A83F38" w:rsidRPr="00D33B70" w:rsidRDefault="00A83F38" w:rsidP="00430B8C">
      <w:pPr>
        <w:tabs>
          <w:tab w:val="left" w:pos="-720"/>
          <w:tab w:val="left" w:pos="1092"/>
          <w:tab w:val="left" w:pos="2016"/>
          <w:tab w:val="left" w:pos="2604"/>
          <w:tab w:val="left" w:pos="7140"/>
          <w:tab w:val="left" w:pos="7392"/>
        </w:tabs>
        <w:suppressAutoHyphens/>
      </w:pPr>
      <w:r w:rsidRPr="00D33B70">
        <w:rPr>
          <w:b/>
        </w:rPr>
        <w:t>REVISION/CHECKING HISTORY</w:t>
      </w:r>
    </w:p>
    <w:p w:rsidR="00A83F38" w:rsidRPr="00D33B70" w:rsidRDefault="00A83F38" w:rsidP="00430B8C">
      <w:pPr>
        <w:tabs>
          <w:tab w:val="left" w:pos="-720"/>
          <w:tab w:val="left" w:pos="1092"/>
          <w:tab w:val="left" w:pos="2016"/>
          <w:tab w:val="left" w:pos="2604"/>
          <w:tab w:val="left" w:pos="7140"/>
          <w:tab w:val="left" w:pos="7392"/>
        </w:tabs>
        <w:suppressAutoHyphens/>
      </w:pPr>
    </w:p>
    <w:tbl>
      <w:tblPr>
        <w:tblW w:w="0" w:type="auto"/>
        <w:tblInd w:w="120" w:type="dxa"/>
        <w:tblLayout w:type="fixed"/>
        <w:tblCellMar>
          <w:left w:w="120" w:type="dxa"/>
          <w:right w:w="120" w:type="dxa"/>
        </w:tblCellMar>
        <w:tblLook w:val="0000" w:firstRow="0" w:lastRow="0" w:firstColumn="0" w:lastColumn="0" w:noHBand="0" w:noVBand="0"/>
      </w:tblPr>
      <w:tblGrid>
        <w:gridCol w:w="1985"/>
        <w:gridCol w:w="1793"/>
        <w:gridCol w:w="1184"/>
        <w:gridCol w:w="1842"/>
        <w:gridCol w:w="1134"/>
        <w:gridCol w:w="1701"/>
      </w:tblGrid>
      <w:tr w:rsidR="00A83F38" w:rsidRPr="00D33B70">
        <w:tc>
          <w:tcPr>
            <w:tcW w:w="1985" w:type="dxa"/>
            <w:tcBorders>
              <w:top w:val="single" w:sz="6" w:space="0" w:color="auto"/>
              <w:left w:val="single" w:sz="6" w:space="0" w:color="auto"/>
              <w:bottom w:val="single" w:sz="6" w:space="0" w:color="auto"/>
            </w:tcBorders>
          </w:tcPr>
          <w:p w:rsidR="00A83F38" w:rsidRPr="00D33B70" w:rsidRDefault="00A83F38" w:rsidP="00430B8C">
            <w:pPr>
              <w:tabs>
                <w:tab w:val="left" w:pos="-720"/>
                <w:tab w:val="left" w:pos="1092"/>
                <w:tab w:val="left" w:pos="2016"/>
                <w:tab w:val="left" w:pos="2604"/>
                <w:tab w:val="left" w:pos="7140"/>
                <w:tab w:val="left" w:pos="7392"/>
              </w:tabs>
              <w:suppressAutoHyphens/>
              <w:spacing w:before="90"/>
              <w:jc w:val="center"/>
              <w:rPr>
                <w:b/>
                <w:spacing w:val="-1"/>
                <w:sz w:val="16"/>
              </w:rPr>
            </w:pPr>
            <w:r w:rsidRPr="00D33B70">
              <w:rPr>
                <w:b/>
                <w:spacing w:val="-1"/>
                <w:sz w:val="16"/>
              </w:rPr>
              <w:t xml:space="preserve">REVISION </w:t>
            </w:r>
          </w:p>
          <w:p w:rsidR="00A83F38" w:rsidRPr="00D33B70" w:rsidRDefault="00A83F38" w:rsidP="00430B8C">
            <w:pPr>
              <w:tabs>
                <w:tab w:val="left" w:pos="-720"/>
                <w:tab w:val="left" w:pos="1092"/>
                <w:tab w:val="left" w:pos="2016"/>
                <w:tab w:val="left" w:pos="2604"/>
                <w:tab w:val="left" w:pos="7140"/>
                <w:tab w:val="left" w:pos="7392"/>
              </w:tabs>
              <w:suppressAutoHyphens/>
              <w:spacing w:before="90"/>
              <w:jc w:val="center"/>
              <w:rPr>
                <w:spacing w:val="-1"/>
                <w:sz w:val="16"/>
              </w:rPr>
            </w:pPr>
            <w:r w:rsidRPr="00D33B70">
              <w:rPr>
                <w:b/>
                <w:spacing w:val="-1"/>
                <w:sz w:val="16"/>
              </w:rPr>
              <w:t>NUMBER</w:t>
            </w:r>
          </w:p>
        </w:tc>
        <w:tc>
          <w:tcPr>
            <w:tcW w:w="1793" w:type="dxa"/>
            <w:tcBorders>
              <w:top w:val="single" w:sz="6" w:space="0" w:color="auto"/>
              <w:left w:val="single" w:sz="6" w:space="0" w:color="auto"/>
              <w:bottom w:val="single" w:sz="6" w:space="0" w:color="auto"/>
            </w:tcBorders>
          </w:tcPr>
          <w:p w:rsidR="00A83F38" w:rsidRPr="00D33B70" w:rsidRDefault="00A83F38" w:rsidP="00430B8C">
            <w:pPr>
              <w:tabs>
                <w:tab w:val="left" w:pos="-720"/>
                <w:tab w:val="left" w:pos="1092"/>
                <w:tab w:val="left" w:pos="2016"/>
                <w:tab w:val="left" w:pos="2604"/>
                <w:tab w:val="left" w:pos="7140"/>
                <w:tab w:val="left" w:pos="7392"/>
              </w:tabs>
              <w:suppressAutoHyphens/>
              <w:spacing w:before="90"/>
              <w:jc w:val="center"/>
              <w:rPr>
                <w:spacing w:val="-1"/>
                <w:sz w:val="16"/>
              </w:rPr>
            </w:pPr>
            <w:r w:rsidRPr="00D33B70">
              <w:rPr>
                <w:b/>
                <w:spacing w:val="-1"/>
                <w:sz w:val="16"/>
              </w:rPr>
              <w:t>DATE OF ISSUE</w:t>
            </w:r>
          </w:p>
        </w:tc>
        <w:tc>
          <w:tcPr>
            <w:tcW w:w="3026" w:type="dxa"/>
            <w:gridSpan w:val="2"/>
            <w:tcBorders>
              <w:top w:val="single" w:sz="6" w:space="0" w:color="auto"/>
              <w:left w:val="single" w:sz="6" w:space="0" w:color="auto"/>
              <w:bottom w:val="single" w:sz="6" w:space="0" w:color="auto"/>
            </w:tcBorders>
          </w:tcPr>
          <w:p w:rsidR="00A83F38" w:rsidRPr="00D33B70" w:rsidRDefault="00A83F38" w:rsidP="00430B8C">
            <w:pPr>
              <w:tabs>
                <w:tab w:val="left" w:pos="-720"/>
                <w:tab w:val="left" w:pos="1092"/>
                <w:tab w:val="left" w:pos="2016"/>
                <w:tab w:val="left" w:pos="2604"/>
                <w:tab w:val="left" w:pos="7140"/>
                <w:tab w:val="left" w:pos="7392"/>
              </w:tabs>
              <w:suppressAutoHyphens/>
              <w:spacing w:before="90"/>
              <w:jc w:val="center"/>
              <w:rPr>
                <w:spacing w:val="-1"/>
                <w:sz w:val="16"/>
              </w:rPr>
            </w:pPr>
            <w:r w:rsidRPr="00D33B70">
              <w:rPr>
                <w:b/>
                <w:spacing w:val="-1"/>
                <w:sz w:val="16"/>
              </w:rPr>
              <w:t>CHECKED BY</w:t>
            </w:r>
          </w:p>
        </w:tc>
        <w:tc>
          <w:tcPr>
            <w:tcW w:w="2835" w:type="dxa"/>
            <w:gridSpan w:val="2"/>
            <w:tcBorders>
              <w:top w:val="single" w:sz="6" w:space="0" w:color="auto"/>
              <w:left w:val="single" w:sz="6" w:space="0" w:color="auto"/>
              <w:bottom w:val="single" w:sz="6" w:space="0" w:color="auto"/>
              <w:right w:val="single" w:sz="4" w:space="0" w:color="auto"/>
            </w:tcBorders>
          </w:tcPr>
          <w:p w:rsidR="00A83F38" w:rsidRPr="00D33B70" w:rsidRDefault="00A83F38" w:rsidP="00430B8C">
            <w:pPr>
              <w:tabs>
                <w:tab w:val="left" w:pos="-720"/>
                <w:tab w:val="left" w:pos="1092"/>
                <w:tab w:val="left" w:pos="2016"/>
                <w:tab w:val="left" w:pos="2604"/>
                <w:tab w:val="left" w:pos="7140"/>
                <w:tab w:val="left" w:pos="7392"/>
              </w:tabs>
              <w:suppressAutoHyphens/>
              <w:spacing w:before="90"/>
              <w:jc w:val="center"/>
              <w:rPr>
                <w:b/>
                <w:spacing w:val="-1"/>
                <w:sz w:val="16"/>
              </w:rPr>
            </w:pPr>
            <w:r w:rsidRPr="00D33B70">
              <w:rPr>
                <w:b/>
                <w:spacing w:val="-1"/>
                <w:sz w:val="16"/>
              </w:rPr>
              <w:t>ISSUED BY</w:t>
            </w:r>
          </w:p>
        </w:tc>
      </w:tr>
      <w:tr w:rsidR="00A83F38" w:rsidRPr="00D33B70" w:rsidTr="00184EF4">
        <w:tc>
          <w:tcPr>
            <w:tcW w:w="1985" w:type="dxa"/>
            <w:tcBorders>
              <w:left w:val="single" w:sz="6" w:space="0" w:color="auto"/>
              <w:bottom w:val="single" w:sz="4" w:space="0" w:color="auto"/>
            </w:tcBorders>
          </w:tcPr>
          <w:p w:rsidR="00A83F38" w:rsidRPr="00D33B70" w:rsidRDefault="00A83F38" w:rsidP="00430B8C">
            <w:pPr>
              <w:tabs>
                <w:tab w:val="left" w:pos="-720"/>
                <w:tab w:val="left" w:pos="1092"/>
                <w:tab w:val="left" w:pos="2016"/>
                <w:tab w:val="left" w:pos="2604"/>
                <w:tab w:val="left" w:pos="7140"/>
                <w:tab w:val="left" w:pos="7392"/>
              </w:tabs>
              <w:suppressAutoHyphens/>
              <w:spacing w:before="90"/>
              <w:jc w:val="center"/>
              <w:rPr>
                <w:spacing w:val="-1"/>
                <w:sz w:val="13"/>
              </w:rPr>
            </w:pPr>
            <w:bookmarkStart w:id="10" w:name="RevNo"/>
            <w:bookmarkEnd w:id="10"/>
            <w:r w:rsidRPr="00D33B70">
              <w:rPr>
                <w:spacing w:val="-1"/>
                <w:sz w:val="13"/>
              </w:rPr>
              <w:t>0</w:t>
            </w:r>
          </w:p>
        </w:tc>
        <w:tc>
          <w:tcPr>
            <w:tcW w:w="1793" w:type="dxa"/>
            <w:tcBorders>
              <w:left w:val="single" w:sz="6" w:space="0" w:color="auto"/>
              <w:bottom w:val="single" w:sz="4" w:space="0" w:color="auto"/>
            </w:tcBorders>
          </w:tcPr>
          <w:p w:rsidR="00A83F38" w:rsidRPr="00D33B70" w:rsidRDefault="00661FD8" w:rsidP="00DA0034">
            <w:pPr>
              <w:tabs>
                <w:tab w:val="left" w:pos="-720"/>
                <w:tab w:val="left" w:pos="1092"/>
                <w:tab w:val="left" w:pos="2016"/>
                <w:tab w:val="left" w:pos="2604"/>
                <w:tab w:val="left" w:pos="7140"/>
                <w:tab w:val="left" w:pos="7392"/>
              </w:tabs>
              <w:suppressAutoHyphens/>
              <w:spacing w:before="90"/>
              <w:jc w:val="center"/>
              <w:rPr>
                <w:spacing w:val="-1"/>
                <w:sz w:val="13"/>
              </w:rPr>
            </w:pPr>
            <w:bookmarkStart w:id="11" w:name="RevDate"/>
            <w:bookmarkEnd w:id="11"/>
            <w:r w:rsidRPr="00D33B70">
              <w:rPr>
                <w:spacing w:val="-1"/>
                <w:sz w:val="13"/>
              </w:rPr>
              <w:t>2</w:t>
            </w:r>
            <w:r w:rsidR="00DA0034" w:rsidRPr="00D33B70">
              <w:rPr>
                <w:spacing w:val="-1"/>
                <w:sz w:val="13"/>
              </w:rPr>
              <w:t>5</w:t>
            </w:r>
            <w:r w:rsidR="00E319F8" w:rsidRPr="00D33B70">
              <w:rPr>
                <w:spacing w:val="-1"/>
                <w:sz w:val="13"/>
              </w:rPr>
              <w:t>/09/2013</w:t>
            </w:r>
          </w:p>
        </w:tc>
        <w:tc>
          <w:tcPr>
            <w:tcW w:w="1184" w:type="dxa"/>
            <w:tcBorders>
              <w:left w:val="single" w:sz="6" w:space="0" w:color="auto"/>
              <w:bottom w:val="single" w:sz="4" w:space="0" w:color="auto"/>
            </w:tcBorders>
          </w:tcPr>
          <w:p w:rsidR="00A83F38" w:rsidRPr="00D33B70" w:rsidRDefault="00A83F38" w:rsidP="00430B8C">
            <w:pPr>
              <w:tabs>
                <w:tab w:val="left" w:pos="-720"/>
                <w:tab w:val="left" w:pos="1092"/>
                <w:tab w:val="left" w:pos="2016"/>
                <w:tab w:val="left" w:pos="2604"/>
                <w:tab w:val="left" w:pos="7140"/>
                <w:tab w:val="left" w:pos="7392"/>
              </w:tabs>
              <w:suppressAutoHyphens/>
              <w:spacing w:before="90"/>
              <w:jc w:val="center"/>
              <w:rPr>
                <w:spacing w:val="-1"/>
                <w:sz w:val="13"/>
              </w:rPr>
            </w:pPr>
            <w:bookmarkStart w:id="12" w:name="RevCheck"/>
            <w:bookmarkEnd w:id="12"/>
            <w:r w:rsidRPr="00D33B70">
              <w:rPr>
                <w:spacing w:val="-1"/>
                <w:sz w:val="13"/>
              </w:rPr>
              <w:t>MT</w:t>
            </w:r>
          </w:p>
        </w:tc>
        <w:tc>
          <w:tcPr>
            <w:tcW w:w="1842" w:type="dxa"/>
            <w:tcBorders>
              <w:left w:val="single" w:sz="6" w:space="0" w:color="auto"/>
              <w:bottom w:val="single" w:sz="4" w:space="0" w:color="auto"/>
            </w:tcBorders>
          </w:tcPr>
          <w:p w:rsidR="00A83F38" w:rsidRPr="00D33B70" w:rsidRDefault="00A83F38" w:rsidP="00430B8C">
            <w:pPr>
              <w:tabs>
                <w:tab w:val="left" w:pos="-720"/>
                <w:tab w:val="left" w:pos="1092"/>
                <w:tab w:val="left" w:pos="2016"/>
                <w:tab w:val="left" w:pos="2604"/>
                <w:tab w:val="left" w:pos="7140"/>
                <w:tab w:val="left" w:pos="7392"/>
              </w:tabs>
              <w:suppressAutoHyphens/>
              <w:spacing w:before="90"/>
              <w:jc w:val="center"/>
              <w:rPr>
                <w:spacing w:val="-1"/>
                <w:sz w:val="13"/>
              </w:rPr>
            </w:pPr>
          </w:p>
        </w:tc>
        <w:tc>
          <w:tcPr>
            <w:tcW w:w="1134" w:type="dxa"/>
            <w:tcBorders>
              <w:left w:val="single" w:sz="6" w:space="0" w:color="auto"/>
              <w:bottom w:val="single" w:sz="4" w:space="0" w:color="auto"/>
            </w:tcBorders>
          </w:tcPr>
          <w:p w:rsidR="00A83F38" w:rsidRPr="00D33B70" w:rsidRDefault="00A83F38" w:rsidP="00430B8C">
            <w:pPr>
              <w:tabs>
                <w:tab w:val="left" w:pos="-720"/>
                <w:tab w:val="left" w:pos="1092"/>
                <w:tab w:val="left" w:pos="2016"/>
                <w:tab w:val="left" w:pos="2604"/>
                <w:tab w:val="left" w:pos="7140"/>
                <w:tab w:val="left" w:pos="7392"/>
              </w:tabs>
              <w:suppressAutoHyphens/>
              <w:spacing w:before="90"/>
              <w:jc w:val="center"/>
              <w:rPr>
                <w:spacing w:val="-1"/>
                <w:sz w:val="13"/>
              </w:rPr>
            </w:pPr>
            <w:bookmarkStart w:id="13" w:name="RevIssue"/>
            <w:bookmarkEnd w:id="13"/>
            <w:r w:rsidRPr="00D33B70">
              <w:rPr>
                <w:spacing w:val="-1"/>
                <w:sz w:val="13"/>
              </w:rPr>
              <w:t>JL</w:t>
            </w:r>
          </w:p>
        </w:tc>
        <w:tc>
          <w:tcPr>
            <w:tcW w:w="1701" w:type="dxa"/>
            <w:tcBorders>
              <w:left w:val="single" w:sz="6" w:space="0" w:color="auto"/>
              <w:bottom w:val="single" w:sz="4" w:space="0" w:color="auto"/>
              <w:right w:val="single" w:sz="6" w:space="0" w:color="auto"/>
            </w:tcBorders>
          </w:tcPr>
          <w:p w:rsidR="00A83F38" w:rsidRPr="00D33B70" w:rsidRDefault="00A83F38" w:rsidP="00430B8C">
            <w:pPr>
              <w:tabs>
                <w:tab w:val="left" w:pos="-720"/>
                <w:tab w:val="left" w:pos="1092"/>
                <w:tab w:val="left" w:pos="2016"/>
                <w:tab w:val="left" w:pos="2604"/>
                <w:tab w:val="left" w:pos="7140"/>
                <w:tab w:val="left" w:pos="7392"/>
              </w:tabs>
              <w:suppressAutoHyphens/>
              <w:spacing w:before="90"/>
              <w:jc w:val="center"/>
              <w:rPr>
                <w:spacing w:val="-1"/>
                <w:sz w:val="13"/>
              </w:rPr>
            </w:pPr>
            <w:bookmarkStart w:id="14" w:name="RevEnd"/>
            <w:bookmarkEnd w:id="14"/>
          </w:p>
        </w:tc>
      </w:tr>
      <w:tr w:rsidR="000A7922" w:rsidRPr="00D33B70" w:rsidTr="000A7922">
        <w:tc>
          <w:tcPr>
            <w:tcW w:w="1985" w:type="dxa"/>
            <w:tcBorders>
              <w:top w:val="single" w:sz="4" w:space="0" w:color="auto"/>
              <w:left w:val="single" w:sz="6" w:space="0" w:color="auto"/>
              <w:bottom w:val="single" w:sz="4" w:space="0" w:color="auto"/>
            </w:tcBorders>
          </w:tcPr>
          <w:p w:rsidR="000A7922" w:rsidRPr="00D33B70" w:rsidRDefault="000A7922" w:rsidP="00430B8C">
            <w:pPr>
              <w:tabs>
                <w:tab w:val="left" w:pos="-720"/>
                <w:tab w:val="left" w:pos="1092"/>
                <w:tab w:val="left" w:pos="2016"/>
                <w:tab w:val="left" w:pos="2604"/>
                <w:tab w:val="left" w:pos="7140"/>
                <w:tab w:val="left" w:pos="7392"/>
              </w:tabs>
              <w:suppressAutoHyphens/>
              <w:spacing w:before="90"/>
              <w:jc w:val="center"/>
              <w:rPr>
                <w:spacing w:val="-1"/>
                <w:sz w:val="13"/>
              </w:rPr>
            </w:pPr>
            <w:r w:rsidRPr="00D33B70">
              <w:rPr>
                <w:spacing w:val="-1"/>
                <w:sz w:val="13"/>
              </w:rPr>
              <w:t>1</w:t>
            </w:r>
          </w:p>
        </w:tc>
        <w:tc>
          <w:tcPr>
            <w:tcW w:w="1793" w:type="dxa"/>
            <w:tcBorders>
              <w:top w:val="single" w:sz="4" w:space="0" w:color="auto"/>
              <w:left w:val="single" w:sz="6" w:space="0" w:color="auto"/>
              <w:bottom w:val="single" w:sz="4" w:space="0" w:color="auto"/>
            </w:tcBorders>
          </w:tcPr>
          <w:p w:rsidR="000A7922" w:rsidRPr="00D33B70" w:rsidRDefault="000A7922" w:rsidP="00DA0034">
            <w:pPr>
              <w:tabs>
                <w:tab w:val="left" w:pos="-720"/>
                <w:tab w:val="left" w:pos="1092"/>
                <w:tab w:val="left" w:pos="2016"/>
                <w:tab w:val="left" w:pos="2604"/>
                <w:tab w:val="left" w:pos="7140"/>
                <w:tab w:val="left" w:pos="7392"/>
              </w:tabs>
              <w:suppressAutoHyphens/>
              <w:spacing w:before="90"/>
              <w:jc w:val="center"/>
              <w:rPr>
                <w:spacing w:val="-1"/>
                <w:sz w:val="13"/>
              </w:rPr>
            </w:pPr>
            <w:r>
              <w:rPr>
                <w:spacing w:val="-1"/>
                <w:sz w:val="13"/>
              </w:rPr>
              <w:t>21</w:t>
            </w:r>
            <w:r w:rsidRPr="00D33B70">
              <w:rPr>
                <w:spacing w:val="-1"/>
                <w:sz w:val="13"/>
              </w:rPr>
              <w:t>/10/2013</w:t>
            </w:r>
          </w:p>
        </w:tc>
        <w:tc>
          <w:tcPr>
            <w:tcW w:w="1184" w:type="dxa"/>
            <w:tcBorders>
              <w:top w:val="single" w:sz="4" w:space="0" w:color="auto"/>
              <w:left w:val="single" w:sz="6" w:space="0" w:color="auto"/>
              <w:bottom w:val="single" w:sz="4" w:space="0" w:color="auto"/>
            </w:tcBorders>
          </w:tcPr>
          <w:p w:rsidR="000A7922" w:rsidRPr="00D33B70" w:rsidRDefault="000A7922" w:rsidP="006701B5">
            <w:pPr>
              <w:tabs>
                <w:tab w:val="left" w:pos="-720"/>
                <w:tab w:val="left" w:pos="1092"/>
                <w:tab w:val="left" w:pos="2016"/>
                <w:tab w:val="left" w:pos="2604"/>
                <w:tab w:val="left" w:pos="7140"/>
                <w:tab w:val="left" w:pos="7392"/>
              </w:tabs>
              <w:suppressAutoHyphens/>
              <w:spacing w:before="90"/>
              <w:jc w:val="center"/>
              <w:rPr>
                <w:spacing w:val="-1"/>
                <w:sz w:val="13"/>
              </w:rPr>
            </w:pPr>
            <w:r w:rsidRPr="00D33B70">
              <w:rPr>
                <w:spacing w:val="-1"/>
                <w:sz w:val="13"/>
              </w:rPr>
              <w:t>MT</w:t>
            </w:r>
          </w:p>
        </w:tc>
        <w:tc>
          <w:tcPr>
            <w:tcW w:w="1842" w:type="dxa"/>
            <w:tcBorders>
              <w:top w:val="single" w:sz="4" w:space="0" w:color="auto"/>
              <w:left w:val="single" w:sz="6" w:space="0" w:color="auto"/>
              <w:bottom w:val="single" w:sz="4" w:space="0" w:color="auto"/>
            </w:tcBorders>
          </w:tcPr>
          <w:p w:rsidR="000A7922" w:rsidRPr="00D33B70" w:rsidRDefault="000A7922" w:rsidP="006701B5">
            <w:pPr>
              <w:tabs>
                <w:tab w:val="left" w:pos="-720"/>
                <w:tab w:val="left" w:pos="1092"/>
                <w:tab w:val="left" w:pos="2016"/>
                <w:tab w:val="left" w:pos="2604"/>
                <w:tab w:val="left" w:pos="7140"/>
                <w:tab w:val="left" w:pos="7392"/>
              </w:tabs>
              <w:suppressAutoHyphens/>
              <w:spacing w:before="90"/>
              <w:jc w:val="center"/>
              <w:rPr>
                <w:spacing w:val="-1"/>
                <w:sz w:val="13"/>
              </w:rPr>
            </w:pPr>
          </w:p>
        </w:tc>
        <w:tc>
          <w:tcPr>
            <w:tcW w:w="1134" w:type="dxa"/>
            <w:tcBorders>
              <w:top w:val="single" w:sz="4" w:space="0" w:color="auto"/>
              <w:left w:val="single" w:sz="6" w:space="0" w:color="auto"/>
              <w:bottom w:val="single" w:sz="4" w:space="0" w:color="auto"/>
            </w:tcBorders>
          </w:tcPr>
          <w:p w:rsidR="000A7922" w:rsidRPr="00D33B70" w:rsidRDefault="000A7922" w:rsidP="006701B5">
            <w:pPr>
              <w:tabs>
                <w:tab w:val="left" w:pos="-720"/>
                <w:tab w:val="left" w:pos="1092"/>
                <w:tab w:val="left" w:pos="2016"/>
                <w:tab w:val="left" w:pos="2604"/>
                <w:tab w:val="left" w:pos="7140"/>
                <w:tab w:val="left" w:pos="7392"/>
              </w:tabs>
              <w:suppressAutoHyphens/>
              <w:spacing w:before="90"/>
              <w:jc w:val="center"/>
              <w:rPr>
                <w:spacing w:val="-1"/>
                <w:sz w:val="13"/>
              </w:rPr>
            </w:pPr>
            <w:r w:rsidRPr="00D33B70">
              <w:rPr>
                <w:spacing w:val="-1"/>
                <w:sz w:val="13"/>
              </w:rPr>
              <w:t>JL</w:t>
            </w:r>
          </w:p>
        </w:tc>
        <w:tc>
          <w:tcPr>
            <w:tcW w:w="1701" w:type="dxa"/>
            <w:tcBorders>
              <w:top w:val="single" w:sz="4" w:space="0" w:color="auto"/>
              <w:left w:val="single" w:sz="6" w:space="0" w:color="auto"/>
              <w:bottom w:val="single" w:sz="4" w:space="0" w:color="auto"/>
              <w:right w:val="single" w:sz="6" w:space="0" w:color="auto"/>
            </w:tcBorders>
          </w:tcPr>
          <w:p w:rsidR="000A7922" w:rsidRPr="00D33B70" w:rsidRDefault="000A7922" w:rsidP="006701B5">
            <w:pPr>
              <w:tabs>
                <w:tab w:val="left" w:pos="-720"/>
                <w:tab w:val="left" w:pos="1092"/>
                <w:tab w:val="left" w:pos="2016"/>
                <w:tab w:val="left" w:pos="2604"/>
                <w:tab w:val="left" w:pos="7140"/>
                <w:tab w:val="left" w:pos="7392"/>
              </w:tabs>
              <w:suppressAutoHyphens/>
              <w:spacing w:before="90"/>
              <w:jc w:val="center"/>
              <w:rPr>
                <w:spacing w:val="-1"/>
                <w:sz w:val="13"/>
              </w:rPr>
            </w:pPr>
          </w:p>
        </w:tc>
      </w:tr>
      <w:tr w:rsidR="000A7922" w:rsidRPr="00D33B70" w:rsidTr="00184EF4">
        <w:tc>
          <w:tcPr>
            <w:tcW w:w="1985" w:type="dxa"/>
            <w:tcBorders>
              <w:top w:val="single" w:sz="4" w:space="0" w:color="auto"/>
              <w:left w:val="single" w:sz="6" w:space="0" w:color="auto"/>
              <w:bottom w:val="single" w:sz="6" w:space="0" w:color="auto"/>
            </w:tcBorders>
          </w:tcPr>
          <w:p w:rsidR="000A7922" w:rsidRPr="00D33B70" w:rsidRDefault="000A7922" w:rsidP="00430B8C">
            <w:pPr>
              <w:tabs>
                <w:tab w:val="left" w:pos="-720"/>
                <w:tab w:val="left" w:pos="1092"/>
                <w:tab w:val="left" w:pos="2016"/>
                <w:tab w:val="left" w:pos="2604"/>
                <w:tab w:val="left" w:pos="7140"/>
                <w:tab w:val="left" w:pos="7392"/>
              </w:tabs>
              <w:suppressAutoHyphens/>
              <w:spacing w:before="90"/>
              <w:jc w:val="center"/>
              <w:rPr>
                <w:spacing w:val="-1"/>
                <w:sz w:val="13"/>
              </w:rPr>
            </w:pPr>
            <w:r>
              <w:rPr>
                <w:spacing w:val="-1"/>
                <w:sz w:val="13"/>
              </w:rPr>
              <w:t>2</w:t>
            </w:r>
          </w:p>
        </w:tc>
        <w:tc>
          <w:tcPr>
            <w:tcW w:w="1793" w:type="dxa"/>
            <w:tcBorders>
              <w:top w:val="single" w:sz="4" w:space="0" w:color="auto"/>
              <w:left w:val="single" w:sz="6" w:space="0" w:color="auto"/>
              <w:bottom w:val="single" w:sz="6" w:space="0" w:color="auto"/>
            </w:tcBorders>
          </w:tcPr>
          <w:p w:rsidR="000A7922" w:rsidRDefault="000A7922" w:rsidP="00DA0034">
            <w:pPr>
              <w:tabs>
                <w:tab w:val="left" w:pos="-720"/>
                <w:tab w:val="left" w:pos="1092"/>
                <w:tab w:val="left" w:pos="2016"/>
                <w:tab w:val="left" w:pos="2604"/>
                <w:tab w:val="left" w:pos="7140"/>
                <w:tab w:val="left" w:pos="7392"/>
              </w:tabs>
              <w:suppressAutoHyphens/>
              <w:spacing w:before="90"/>
              <w:jc w:val="center"/>
              <w:rPr>
                <w:spacing w:val="-1"/>
                <w:sz w:val="13"/>
              </w:rPr>
            </w:pPr>
            <w:r>
              <w:rPr>
                <w:spacing w:val="-1"/>
                <w:sz w:val="13"/>
              </w:rPr>
              <w:t>08/05/2014</w:t>
            </w:r>
          </w:p>
        </w:tc>
        <w:tc>
          <w:tcPr>
            <w:tcW w:w="1184" w:type="dxa"/>
            <w:tcBorders>
              <w:top w:val="single" w:sz="4" w:space="0" w:color="auto"/>
              <w:left w:val="single" w:sz="6" w:space="0" w:color="auto"/>
              <w:bottom w:val="single" w:sz="6" w:space="0" w:color="auto"/>
            </w:tcBorders>
          </w:tcPr>
          <w:p w:rsidR="000A7922" w:rsidRPr="00D33B70" w:rsidRDefault="000A7922" w:rsidP="006701B5">
            <w:pPr>
              <w:tabs>
                <w:tab w:val="left" w:pos="-720"/>
                <w:tab w:val="left" w:pos="1092"/>
                <w:tab w:val="left" w:pos="2016"/>
                <w:tab w:val="left" w:pos="2604"/>
                <w:tab w:val="left" w:pos="7140"/>
                <w:tab w:val="left" w:pos="7392"/>
              </w:tabs>
              <w:suppressAutoHyphens/>
              <w:spacing w:before="90"/>
              <w:jc w:val="center"/>
              <w:rPr>
                <w:spacing w:val="-1"/>
                <w:sz w:val="13"/>
              </w:rPr>
            </w:pPr>
            <w:r w:rsidRPr="00D33B70">
              <w:rPr>
                <w:spacing w:val="-1"/>
                <w:sz w:val="13"/>
              </w:rPr>
              <w:t>MT</w:t>
            </w:r>
          </w:p>
        </w:tc>
        <w:tc>
          <w:tcPr>
            <w:tcW w:w="1842" w:type="dxa"/>
            <w:tcBorders>
              <w:top w:val="single" w:sz="4" w:space="0" w:color="auto"/>
              <w:left w:val="single" w:sz="6" w:space="0" w:color="auto"/>
              <w:bottom w:val="single" w:sz="6" w:space="0" w:color="auto"/>
            </w:tcBorders>
          </w:tcPr>
          <w:p w:rsidR="000A7922" w:rsidRPr="00D33B70" w:rsidRDefault="000A7922" w:rsidP="006701B5">
            <w:pPr>
              <w:tabs>
                <w:tab w:val="left" w:pos="-720"/>
                <w:tab w:val="left" w:pos="1092"/>
                <w:tab w:val="left" w:pos="2016"/>
                <w:tab w:val="left" w:pos="2604"/>
                <w:tab w:val="left" w:pos="7140"/>
                <w:tab w:val="left" w:pos="7392"/>
              </w:tabs>
              <w:suppressAutoHyphens/>
              <w:spacing w:before="90"/>
              <w:jc w:val="center"/>
              <w:rPr>
                <w:spacing w:val="-1"/>
                <w:sz w:val="13"/>
              </w:rPr>
            </w:pPr>
            <w:r w:rsidRPr="00D33B70">
              <w:rPr>
                <w:noProof/>
                <w:spacing w:val="-1"/>
                <w:sz w:val="13"/>
                <w:lang w:eastAsia="en-AU"/>
              </w:rPr>
              <w:drawing>
                <wp:inline distT="0" distB="0" distL="0" distR="0" wp14:anchorId="161A3BF0" wp14:editId="077A1193">
                  <wp:extent cx="1017270" cy="5645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_Sig.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17270" cy="564515"/>
                          </a:xfrm>
                          <a:prstGeom prst="rect">
                            <a:avLst/>
                          </a:prstGeom>
                        </pic:spPr>
                      </pic:pic>
                    </a:graphicData>
                  </a:graphic>
                </wp:inline>
              </w:drawing>
            </w:r>
          </w:p>
        </w:tc>
        <w:tc>
          <w:tcPr>
            <w:tcW w:w="1134" w:type="dxa"/>
            <w:tcBorders>
              <w:top w:val="single" w:sz="4" w:space="0" w:color="auto"/>
              <w:left w:val="single" w:sz="6" w:space="0" w:color="auto"/>
              <w:bottom w:val="single" w:sz="6" w:space="0" w:color="auto"/>
            </w:tcBorders>
          </w:tcPr>
          <w:p w:rsidR="000A7922" w:rsidRPr="00D33B70" w:rsidRDefault="000A7922" w:rsidP="006701B5">
            <w:pPr>
              <w:tabs>
                <w:tab w:val="left" w:pos="-720"/>
                <w:tab w:val="left" w:pos="1092"/>
                <w:tab w:val="left" w:pos="2016"/>
                <w:tab w:val="left" w:pos="2604"/>
                <w:tab w:val="left" w:pos="7140"/>
                <w:tab w:val="left" w:pos="7392"/>
              </w:tabs>
              <w:suppressAutoHyphens/>
              <w:spacing w:before="90"/>
              <w:jc w:val="center"/>
              <w:rPr>
                <w:spacing w:val="-1"/>
                <w:sz w:val="13"/>
              </w:rPr>
            </w:pPr>
            <w:r w:rsidRPr="00D33B70">
              <w:rPr>
                <w:spacing w:val="-1"/>
                <w:sz w:val="13"/>
              </w:rPr>
              <w:t>JL</w:t>
            </w:r>
          </w:p>
        </w:tc>
        <w:tc>
          <w:tcPr>
            <w:tcW w:w="1701" w:type="dxa"/>
            <w:tcBorders>
              <w:top w:val="single" w:sz="4" w:space="0" w:color="auto"/>
              <w:left w:val="single" w:sz="6" w:space="0" w:color="auto"/>
              <w:bottom w:val="single" w:sz="6" w:space="0" w:color="auto"/>
              <w:right w:val="single" w:sz="6" w:space="0" w:color="auto"/>
            </w:tcBorders>
          </w:tcPr>
          <w:p w:rsidR="000A7922" w:rsidRPr="00D33B70" w:rsidRDefault="000A7922" w:rsidP="006701B5">
            <w:pPr>
              <w:tabs>
                <w:tab w:val="left" w:pos="-720"/>
                <w:tab w:val="left" w:pos="1092"/>
                <w:tab w:val="left" w:pos="2016"/>
                <w:tab w:val="left" w:pos="2604"/>
                <w:tab w:val="left" w:pos="7140"/>
                <w:tab w:val="left" w:pos="7392"/>
              </w:tabs>
              <w:suppressAutoHyphens/>
              <w:spacing w:before="90"/>
              <w:jc w:val="center"/>
              <w:rPr>
                <w:spacing w:val="-1"/>
                <w:sz w:val="13"/>
              </w:rPr>
            </w:pPr>
            <w:r w:rsidRPr="00D33B70">
              <w:rPr>
                <w:noProof/>
                <w:spacing w:val="-1"/>
                <w:sz w:val="13"/>
                <w:lang w:eastAsia="en-AU"/>
              </w:rPr>
              <w:drawing>
                <wp:inline distT="0" distB="0" distL="0" distR="0" wp14:anchorId="7100EE65" wp14:editId="4BC68929">
                  <wp:extent cx="927735" cy="410845"/>
                  <wp:effectExtent l="0" t="0" r="5715"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l.bmp"/>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27735" cy="410845"/>
                          </a:xfrm>
                          <a:prstGeom prst="rect">
                            <a:avLst/>
                          </a:prstGeom>
                        </pic:spPr>
                      </pic:pic>
                    </a:graphicData>
                  </a:graphic>
                </wp:inline>
              </w:drawing>
            </w:r>
          </w:p>
        </w:tc>
      </w:tr>
    </w:tbl>
    <w:p w:rsidR="00A83F38" w:rsidRPr="00D33B70" w:rsidRDefault="00A83F38" w:rsidP="00430B8C"/>
    <w:p w:rsidR="00A83F38" w:rsidRPr="00D33B70" w:rsidRDefault="00A83F38" w:rsidP="00430B8C"/>
    <w:p w:rsidR="00A83F38" w:rsidRPr="00D33B70" w:rsidRDefault="00A83F38" w:rsidP="00430B8C">
      <w:pPr>
        <w:tabs>
          <w:tab w:val="left" w:pos="-720"/>
          <w:tab w:val="left" w:pos="1092"/>
          <w:tab w:val="left" w:pos="2016"/>
          <w:tab w:val="left" w:pos="2604"/>
          <w:tab w:val="left" w:pos="7140"/>
          <w:tab w:val="left" w:pos="7392"/>
        </w:tabs>
        <w:suppressAutoHyphens/>
        <w:rPr>
          <w:b/>
        </w:rPr>
      </w:pPr>
      <w:r w:rsidRPr="00D33B70">
        <w:rPr>
          <w:b/>
        </w:rPr>
        <w:t>DISTRIBUTION</w:t>
      </w:r>
    </w:p>
    <w:p w:rsidR="00A83F38" w:rsidRPr="00D33B70" w:rsidRDefault="00A83F38" w:rsidP="00430B8C">
      <w:pPr>
        <w:tabs>
          <w:tab w:val="left" w:pos="-720"/>
          <w:tab w:val="left" w:pos="1092"/>
          <w:tab w:val="left" w:pos="2016"/>
          <w:tab w:val="left" w:pos="2604"/>
          <w:tab w:val="left" w:pos="7140"/>
          <w:tab w:val="left" w:pos="7392"/>
        </w:tabs>
        <w:suppressAutoHyphens/>
      </w:pPr>
    </w:p>
    <w:tbl>
      <w:tblPr>
        <w:tblW w:w="0" w:type="auto"/>
        <w:tblInd w:w="119" w:type="dxa"/>
        <w:tblLayout w:type="fixed"/>
        <w:tblCellMar>
          <w:left w:w="119" w:type="dxa"/>
          <w:right w:w="119" w:type="dxa"/>
        </w:tblCellMar>
        <w:tblLook w:val="0000" w:firstRow="0" w:lastRow="0" w:firstColumn="0" w:lastColumn="0" w:noHBand="0" w:noVBand="0"/>
      </w:tblPr>
      <w:tblGrid>
        <w:gridCol w:w="2694"/>
        <w:gridCol w:w="1701"/>
        <w:gridCol w:w="1701"/>
        <w:gridCol w:w="1701"/>
        <w:gridCol w:w="1842"/>
      </w:tblGrid>
      <w:tr w:rsidR="00A83F38" w:rsidRPr="00D33B70">
        <w:tc>
          <w:tcPr>
            <w:tcW w:w="2694" w:type="dxa"/>
            <w:tcBorders>
              <w:top w:val="single" w:sz="6" w:space="0" w:color="auto"/>
              <w:left w:val="single" w:sz="6" w:space="0" w:color="auto"/>
            </w:tcBorders>
          </w:tcPr>
          <w:p w:rsidR="00A83F38" w:rsidRPr="00D33B70" w:rsidRDefault="00A83F38" w:rsidP="00430B8C">
            <w:pPr>
              <w:tabs>
                <w:tab w:val="left" w:pos="-720"/>
                <w:tab w:val="left" w:pos="1092"/>
                <w:tab w:val="left" w:pos="2016"/>
                <w:tab w:val="left" w:pos="2604"/>
                <w:tab w:val="left" w:pos="7140"/>
                <w:tab w:val="left" w:pos="7392"/>
              </w:tabs>
              <w:suppressAutoHyphens/>
              <w:spacing w:before="90"/>
              <w:jc w:val="center"/>
              <w:rPr>
                <w:b/>
                <w:bCs/>
                <w:spacing w:val="-1"/>
                <w:sz w:val="13"/>
              </w:rPr>
            </w:pPr>
            <w:r w:rsidRPr="00D33B70">
              <w:rPr>
                <w:b/>
                <w:bCs/>
                <w:sz w:val="16"/>
              </w:rPr>
              <w:t>DESTINATION</w:t>
            </w:r>
          </w:p>
        </w:tc>
        <w:tc>
          <w:tcPr>
            <w:tcW w:w="6945" w:type="dxa"/>
            <w:gridSpan w:val="4"/>
            <w:tcBorders>
              <w:top w:val="single" w:sz="6" w:space="0" w:color="auto"/>
              <w:left w:val="single" w:sz="6" w:space="0" w:color="auto"/>
              <w:right w:val="single" w:sz="6" w:space="0" w:color="auto"/>
            </w:tcBorders>
          </w:tcPr>
          <w:p w:rsidR="00A83F38" w:rsidRPr="00D33B70" w:rsidRDefault="00A83F38" w:rsidP="00430B8C">
            <w:pPr>
              <w:tabs>
                <w:tab w:val="left" w:pos="-720"/>
                <w:tab w:val="left" w:pos="1092"/>
                <w:tab w:val="left" w:pos="2016"/>
                <w:tab w:val="left" w:pos="2604"/>
                <w:tab w:val="left" w:pos="7140"/>
                <w:tab w:val="left" w:pos="7392"/>
              </w:tabs>
              <w:suppressAutoHyphens/>
              <w:spacing w:before="90"/>
              <w:jc w:val="center"/>
              <w:rPr>
                <w:b/>
                <w:bCs/>
                <w:spacing w:val="-1"/>
                <w:sz w:val="13"/>
              </w:rPr>
            </w:pPr>
            <w:r w:rsidRPr="00D33B70">
              <w:rPr>
                <w:b/>
                <w:bCs/>
                <w:sz w:val="16"/>
              </w:rPr>
              <w:t>REVISION</w:t>
            </w:r>
          </w:p>
        </w:tc>
      </w:tr>
      <w:tr w:rsidR="00A83F38" w:rsidRPr="00D33B70">
        <w:tblPrEx>
          <w:tblCellMar>
            <w:left w:w="113" w:type="dxa"/>
            <w:right w:w="113" w:type="dxa"/>
          </w:tblCellMar>
        </w:tblPrEx>
        <w:trPr>
          <w:cantSplit/>
        </w:trPr>
        <w:tc>
          <w:tcPr>
            <w:tcW w:w="2694" w:type="dxa"/>
            <w:tcBorders>
              <w:left w:val="single" w:sz="6" w:space="0" w:color="auto"/>
            </w:tcBorders>
          </w:tcPr>
          <w:p w:rsidR="00A83F38" w:rsidRPr="00D33B70" w:rsidRDefault="00A83F38" w:rsidP="00430B8C">
            <w:pPr>
              <w:tabs>
                <w:tab w:val="left" w:pos="-720"/>
                <w:tab w:val="left" w:pos="1092"/>
                <w:tab w:val="left" w:pos="2016"/>
                <w:tab w:val="left" w:pos="2604"/>
                <w:tab w:val="left" w:pos="7140"/>
                <w:tab w:val="left" w:pos="7392"/>
              </w:tabs>
              <w:suppressAutoHyphens/>
              <w:spacing w:before="90" w:after="54"/>
              <w:jc w:val="center"/>
              <w:rPr>
                <w:spacing w:val="-1"/>
                <w:sz w:val="13"/>
              </w:rPr>
            </w:pPr>
          </w:p>
        </w:tc>
        <w:tc>
          <w:tcPr>
            <w:tcW w:w="1701" w:type="dxa"/>
            <w:tcBorders>
              <w:top w:val="single" w:sz="6" w:space="0" w:color="auto"/>
              <w:left w:val="single" w:sz="6" w:space="0" w:color="auto"/>
              <w:bottom w:val="single" w:sz="6" w:space="0" w:color="auto"/>
            </w:tcBorders>
          </w:tcPr>
          <w:p w:rsidR="00A83F38" w:rsidRPr="00D33B70" w:rsidRDefault="00A83F38" w:rsidP="00430B8C">
            <w:pPr>
              <w:tabs>
                <w:tab w:val="left" w:pos="-720"/>
                <w:tab w:val="left" w:pos="1092"/>
                <w:tab w:val="left" w:pos="2016"/>
                <w:tab w:val="left" w:pos="2604"/>
                <w:tab w:val="left" w:pos="7140"/>
                <w:tab w:val="left" w:pos="7392"/>
              </w:tabs>
              <w:suppressAutoHyphens/>
              <w:spacing w:before="90" w:after="54"/>
              <w:jc w:val="center"/>
              <w:rPr>
                <w:spacing w:val="-1"/>
                <w:sz w:val="13"/>
              </w:rPr>
            </w:pPr>
            <w:r w:rsidRPr="00D33B70">
              <w:rPr>
                <w:spacing w:val="-1"/>
                <w:sz w:val="13"/>
              </w:rPr>
              <w:t>0</w:t>
            </w:r>
          </w:p>
        </w:tc>
        <w:tc>
          <w:tcPr>
            <w:tcW w:w="1701" w:type="dxa"/>
            <w:tcBorders>
              <w:top w:val="single" w:sz="6" w:space="0" w:color="auto"/>
              <w:left w:val="single" w:sz="6" w:space="0" w:color="auto"/>
              <w:bottom w:val="single" w:sz="6" w:space="0" w:color="auto"/>
            </w:tcBorders>
          </w:tcPr>
          <w:p w:rsidR="00A83F38" w:rsidRPr="00D33B70" w:rsidRDefault="00A83F38" w:rsidP="00430B8C">
            <w:pPr>
              <w:tabs>
                <w:tab w:val="left" w:pos="-720"/>
                <w:tab w:val="left" w:pos="1092"/>
                <w:tab w:val="left" w:pos="2016"/>
                <w:tab w:val="left" w:pos="2604"/>
                <w:tab w:val="left" w:pos="7140"/>
                <w:tab w:val="left" w:pos="7392"/>
              </w:tabs>
              <w:suppressAutoHyphens/>
              <w:spacing w:before="90" w:after="54"/>
              <w:jc w:val="center"/>
              <w:rPr>
                <w:spacing w:val="-1"/>
                <w:sz w:val="13"/>
              </w:rPr>
            </w:pPr>
            <w:r w:rsidRPr="00D33B70">
              <w:rPr>
                <w:spacing w:val="-1"/>
                <w:sz w:val="13"/>
              </w:rPr>
              <w:t>1</w:t>
            </w:r>
          </w:p>
        </w:tc>
        <w:tc>
          <w:tcPr>
            <w:tcW w:w="1701" w:type="dxa"/>
            <w:tcBorders>
              <w:top w:val="single" w:sz="6" w:space="0" w:color="auto"/>
              <w:left w:val="single" w:sz="6" w:space="0" w:color="auto"/>
              <w:bottom w:val="single" w:sz="6" w:space="0" w:color="auto"/>
            </w:tcBorders>
          </w:tcPr>
          <w:p w:rsidR="00A83F38" w:rsidRPr="00D33B70" w:rsidRDefault="00A83F38" w:rsidP="00430B8C">
            <w:pPr>
              <w:tabs>
                <w:tab w:val="left" w:pos="-720"/>
                <w:tab w:val="left" w:pos="1092"/>
                <w:tab w:val="left" w:pos="2016"/>
                <w:tab w:val="left" w:pos="2604"/>
                <w:tab w:val="left" w:pos="7140"/>
                <w:tab w:val="left" w:pos="7392"/>
              </w:tabs>
              <w:suppressAutoHyphens/>
              <w:spacing w:before="90" w:after="54"/>
              <w:jc w:val="center"/>
              <w:rPr>
                <w:spacing w:val="-1"/>
                <w:sz w:val="13"/>
              </w:rPr>
            </w:pPr>
            <w:r w:rsidRPr="00D33B70">
              <w:rPr>
                <w:spacing w:val="-1"/>
                <w:sz w:val="13"/>
              </w:rPr>
              <w:t>2</w:t>
            </w:r>
          </w:p>
        </w:tc>
        <w:tc>
          <w:tcPr>
            <w:tcW w:w="1842" w:type="dxa"/>
            <w:tcBorders>
              <w:top w:val="single" w:sz="6" w:space="0" w:color="auto"/>
              <w:left w:val="single" w:sz="6" w:space="0" w:color="auto"/>
              <w:bottom w:val="single" w:sz="6" w:space="0" w:color="auto"/>
              <w:right w:val="single" w:sz="4" w:space="0" w:color="auto"/>
            </w:tcBorders>
          </w:tcPr>
          <w:p w:rsidR="00A83F38" w:rsidRPr="00D33B70" w:rsidRDefault="00A83F38" w:rsidP="00430B8C">
            <w:pPr>
              <w:tabs>
                <w:tab w:val="left" w:pos="-720"/>
                <w:tab w:val="left" w:pos="1092"/>
                <w:tab w:val="left" w:pos="2016"/>
                <w:tab w:val="left" w:pos="2604"/>
                <w:tab w:val="left" w:pos="7140"/>
                <w:tab w:val="left" w:pos="7392"/>
              </w:tabs>
              <w:suppressAutoHyphens/>
              <w:spacing w:before="90" w:after="54"/>
              <w:jc w:val="center"/>
              <w:rPr>
                <w:spacing w:val="-1"/>
                <w:sz w:val="13"/>
              </w:rPr>
            </w:pPr>
            <w:r w:rsidRPr="00D33B70">
              <w:rPr>
                <w:spacing w:val="-1"/>
                <w:sz w:val="13"/>
              </w:rPr>
              <w:t>3</w:t>
            </w:r>
          </w:p>
        </w:tc>
      </w:tr>
      <w:tr w:rsidR="00A83F38" w:rsidRPr="00D33B70">
        <w:tblPrEx>
          <w:tblCellMar>
            <w:left w:w="113" w:type="dxa"/>
            <w:right w:w="113" w:type="dxa"/>
          </w:tblCellMar>
        </w:tblPrEx>
        <w:trPr>
          <w:cantSplit/>
        </w:trPr>
        <w:tc>
          <w:tcPr>
            <w:tcW w:w="2694" w:type="dxa"/>
            <w:tcBorders>
              <w:top w:val="single" w:sz="4" w:space="0" w:color="auto"/>
              <w:left w:val="single" w:sz="6" w:space="0" w:color="auto"/>
              <w:bottom w:val="single" w:sz="6" w:space="0" w:color="auto"/>
            </w:tcBorders>
          </w:tcPr>
          <w:p w:rsidR="00A83F38" w:rsidRPr="00D33B70" w:rsidRDefault="00A83F38" w:rsidP="00430B8C">
            <w:pPr>
              <w:tabs>
                <w:tab w:val="left" w:pos="-720"/>
                <w:tab w:val="left" w:pos="1092"/>
                <w:tab w:val="left" w:pos="2016"/>
                <w:tab w:val="left" w:pos="2604"/>
                <w:tab w:val="left" w:pos="7140"/>
                <w:tab w:val="left" w:pos="7392"/>
              </w:tabs>
              <w:suppressAutoHyphens/>
              <w:spacing w:before="40" w:after="40"/>
              <w:jc w:val="left"/>
              <w:rPr>
                <w:spacing w:val="-1"/>
                <w:sz w:val="13"/>
              </w:rPr>
            </w:pPr>
            <w:r w:rsidRPr="00D33B70">
              <w:rPr>
                <w:spacing w:val="-1"/>
                <w:sz w:val="13"/>
              </w:rPr>
              <w:t>CoGG</w:t>
            </w:r>
          </w:p>
          <w:p w:rsidR="001E767E" w:rsidRDefault="001E767E" w:rsidP="00430B8C">
            <w:pPr>
              <w:tabs>
                <w:tab w:val="left" w:pos="-720"/>
                <w:tab w:val="left" w:pos="1092"/>
                <w:tab w:val="left" w:pos="2016"/>
                <w:tab w:val="left" w:pos="2604"/>
                <w:tab w:val="left" w:pos="7140"/>
                <w:tab w:val="left" w:pos="7392"/>
              </w:tabs>
              <w:suppressAutoHyphens/>
              <w:spacing w:before="40" w:after="40"/>
              <w:jc w:val="left"/>
              <w:rPr>
                <w:spacing w:val="-1"/>
                <w:sz w:val="13"/>
              </w:rPr>
            </w:pPr>
            <w:r w:rsidRPr="00D33B70">
              <w:rPr>
                <w:spacing w:val="-1"/>
                <w:sz w:val="13"/>
              </w:rPr>
              <w:t>CoGG (pdf)</w:t>
            </w:r>
          </w:p>
          <w:p w:rsidR="000A7922" w:rsidRPr="00D33B70" w:rsidRDefault="000A7922" w:rsidP="00430B8C">
            <w:pPr>
              <w:tabs>
                <w:tab w:val="left" w:pos="-720"/>
                <w:tab w:val="left" w:pos="1092"/>
                <w:tab w:val="left" w:pos="2016"/>
                <w:tab w:val="left" w:pos="2604"/>
                <w:tab w:val="left" w:pos="7140"/>
                <w:tab w:val="left" w:pos="7392"/>
              </w:tabs>
              <w:suppressAutoHyphens/>
              <w:spacing w:before="40" w:after="40"/>
              <w:jc w:val="left"/>
              <w:rPr>
                <w:spacing w:val="-1"/>
                <w:sz w:val="13"/>
              </w:rPr>
            </w:pPr>
            <w:r>
              <w:rPr>
                <w:spacing w:val="-1"/>
                <w:sz w:val="13"/>
              </w:rPr>
              <w:t>CoGG (doc)</w:t>
            </w:r>
          </w:p>
          <w:p w:rsidR="00A83F38" w:rsidRPr="00D33B70" w:rsidRDefault="00A83F38" w:rsidP="00430B8C">
            <w:pPr>
              <w:tabs>
                <w:tab w:val="left" w:pos="-720"/>
                <w:tab w:val="left" w:pos="1092"/>
                <w:tab w:val="left" w:pos="2016"/>
                <w:tab w:val="left" w:pos="2604"/>
                <w:tab w:val="left" w:pos="7140"/>
                <w:tab w:val="left" w:pos="7392"/>
              </w:tabs>
              <w:suppressAutoHyphens/>
              <w:spacing w:before="40" w:after="40"/>
              <w:jc w:val="left"/>
              <w:rPr>
                <w:spacing w:val="-1"/>
                <w:sz w:val="13"/>
              </w:rPr>
            </w:pPr>
            <w:r w:rsidRPr="00D33B70">
              <w:rPr>
                <w:spacing w:val="-1"/>
                <w:sz w:val="13"/>
              </w:rPr>
              <w:t>BMT WBM File</w:t>
            </w:r>
          </w:p>
          <w:p w:rsidR="00A83F38" w:rsidRPr="00D33B70" w:rsidRDefault="00A83F38" w:rsidP="00430B8C">
            <w:pPr>
              <w:tabs>
                <w:tab w:val="left" w:pos="-720"/>
                <w:tab w:val="left" w:pos="1092"/>
                <w:tab w:val="left" w:pos="2016"/>
                <w:tab w:val="left" w:pos="2604"/>
                <w:tab w:val="left" w:pos="7140"/>
                <w:tab w:val="left" w:pos="7392"/>
              </w:tabs>
              <w:suppressAutoHyphens/>
              <w:spacing w:before="40" w:after="40"/>
              <w:jc w:val="left"/>
              <w:rPr>
                <w:spacing w:val="-1"/>
                <w:sz w:val="13"/>
              </w:rPr>
            </w:pPr>
            <w:r w:rsidRPr="00D33B70">
              <w:rPr>
                <w:spacing w:val="-1"/>
                <w:sz w:val="13"/>
              </w:rPr>
              <w:t>BMT WBM Library</w:t>
            </w:r>
          </w:p>
        </w:tc>
        <w:tc>
          <w:tcPr>
            <w:tcW w:w="1701" w:type="dxa"/>
            <w:tcBorders>
              <w:top w:val="single" w:sz="4" w:space="0" w:color="auto"/>
              <w:left w:val="single" w:sz="6" w:space="0" w:color="auto"/>
              <w:bottom w:val="single" w:sz="6" w:space="0" w:color="auto"/>
            </w:tcBorders>
          </w:tcPr>
          <w:p w:rsidR="00A83F38" w:rsidRPr="00D33B70" w:rsidRDefault="00AD174D" w:rsidP="00430B8C">
            <w:pPr>
              <w:tabs>
                <w:tab w:val="left" w:pos="-720"/>
                <w:tab w:val="left" w:pos="1092"/>
                <w:tab w:val="left" w:pos="2016"/>
                <w:tab w:val="left" w:pos="2604"/>
                <w:tab w:val="left" w:pos="7140"/>
                <w:tab w:val="left" w:pos="7392"/>
              </w:tabs>
              <w:suppressAutoHyphens/>
              <w:spacing w:before="40" w:after="40"/>
              <w:jc w:val="center"/>
              <w:rPr>
                <w:spacing w:val="-1"/>
                <w:sz w:val="13"/>
              </w:rPr>
            </w:pPr>
            <w:r w:rsidRPr="00D33B70">
              <w:rPr>
                <w:spacing w:val="-1"/>
                <w:sz w:val="13"/>
              </w:rPr>
              <w:t>1</w:t>
            </w:r>
          </w:p>
          <w:p w:rsidR="00A83F38" w:rsidRPr="00D33B70" w:rsidRDefault="00A83F38" w:rsidP="00430B8C">
            <w:pPr>
              <w:tabs>
                <w:tab w:val="left" w:pos="-720"/>
                <w:tab w:val="left" w:pos="1092"/>
                <w:tab w:val="left" w:pos="2016"/>
                <w:tab w:val="left" w:pos="2604"/>
                <w:tab w:val="left" w:pos="7140"/>
                <w:tab w:val="left" w:pos="7392"/>
              </w:tabs>
              <w:suppressAutoHyphens/>
              <w:spacing w:before="40" w:after="40"/>
              <w:jc w:val="center"/>
              <w:rPr>
                <w:spacing w:val="-1"/>
                <w:sz w:val="13"/>
              </w:rPr>
            </w:pPr>
            <w:r w:rsidRPr="00D33B70">
              <w:rPr>
                <w:spacing w:val="-1"/>
                <w:sz w:val="13"/>
              </w:rPr>
              <w:t>1</w:t>
            </w:r>
          </w:p>
          <w:p w:rsidR="000A7922" w:rsidRDefault="000A7922" w:rsidP="00430B8C">
            <w:pPr>
              <w:tabs>
                <w:tab w:val="left" w:pos="-720"/>
                <w:tab w:val="left" w:pos="1092"/>
                <w:tab w:val="left" w:pos="2016"/>
                <w:tab w:val="left" w:pos="2604"/>
                <w:tab w:val="left" w:pos="7140"/>
                <w:tab w:val="left" w:pos="7392"/>
              </w:tabs>
              <w:suppressAutoHyphens/>
              <w:spacing w:before="40" w:after="40"/>
              <w:jc w:val="center"/>
              <w:rPr>
                <w:spacing w:val="-1"/>
                <w:sz w:val="13"/>
              </w:rPr>
            </w:pPr>
            <w:r>
              <w:rPr>
                <w:spacing w:val="-1"/>
                <w:sz w:val="13"/>
              </w:rPr>
              <w:t>0</w:t>
            </w:r>
          </w:p>
          <w:p w:rsidR="001E767E" w:rsidRPr="00D33B70" w:rsidRDefault="001E767E" w:rsidP="00430B8C">
            <w:pPr>
              <w:tabs>
                <w:tab w:val="left" w:pos="-720"/>
                <w:tab w:val="left" w:pos="1092"/>
                <w:tab w:val="left" w:pos="2016"/>
                <w:tab w:val="left" w:pos="2604"/>
                <w:tab w:val="left" w:pos="7140"/>
                <w:tab w:val="left" w:pos="7392"/>
              </w:tabs>
              <w:suppressAutoHyphens/>
              <w:spacing w:before="40" w:after="40"/>
              <w:jc w:val="center"/>
              <w:rPr>
                <w:spacing w:val="-1"/>
                <w:sz w:val="13"/>
              </w:rPr>
            </w:pPr>
            <w:r w:rsidRPr="00D33B70">
              <w:rPr>
                <w:spacing w:val="-1"/>
                <w:sz w:val="13"/>
              </w:rPr>
              <w:t>1</w:t>
            </w:r>
          </w:p>
          <w:p w:rsidR="00A83F38" w:rsidRPr="00D33B70" w:rsidRDefault="00A83F38" w:rsidP="00430B8C">
            <w:pPr>
              <w:tabs>
                <w:tab w:val="left" w:pos="-720"/>
                <w:tab w:val="left" w:pos="1092"/>
                <w:tab w:val="left" w:pos="2016"/>
                <w:tab w:val="left" w:pos="2604"/>
                <w:tab w:val="left" w:pos="7140"/>
                <w:tab w:val="left" w:pos="7392"/>
              </w:tabs>
              <w:suppressAutoHyphens/>
              <w:spacing w:before="40" w:after="40"/>
              <w:jc w:val="center"/>
              <w:rPr>
                <w:spacing w:val="-1"/>
                <w:sz w:val="13"/>
              </w:rPr>
            </w:pPr>
            <w:r w:rsidRPr="00D33B70">
              <w:rPr>
                <w:spacing w:val="-1"/>
                <w:sz w:val="13"/>
              </w:rPr>
              <w:t>0</w:t>
            </w:r>
          </w:p>
        </w:tc>
        <w:tc>
          <w:tcPr>
            <w:tcW w:w="1701" w:type="dxa"/>
            <w:tcBorders>
              <w:top w:val="single" w:sz="4" w:space="0" w:color="auto"/>
              <w:left w:val="single" w:sz="6" w:space="0" w:color="auto"/>
              <w:bottom w:val="single" w:sz="6" w:space="0" w:color="auto"/>
            </w:tcBorders>
          </w:tcPr>
          <w:p w:rsidR="00A83F38" w:rsidRDefault="00BC5B1D" w:rsidP="00430B8C">
            <w:pPr>
              <w:tabs>
                <w:tab w:val="left" w:pos="-720"/>
                <w:tab w:val="left" w:pos="1092"/>
                <w:tab w:val="left" w:pos="2016"/>
                <w:tab w:val="left" w:pos="2604"/>
                <w:tab w:val="left" w:pos="7140"/>
                <w:tab w:val="left" w:pos="7392"/>
              </w:tabs>
              <w:suppressAutoHyphens/>
              <w:spacing w:before="40" w:after="40"/>
              <w:jc w:val="center"/>
              <w:rPr>
                <w:spacing w:val="-1"/>
                <w:sz w:val="13"/>
              </w:rPr>
            </w:pPr>
            <w:r>
              <w:rPr>
                <w:spacing w:val="-1"/>
                <w:sz w:val="13"/>
              </w:rPr>
              <w:t>6</w:t>
            </w:r>
          </w:p>
          <w:p w:rsidR="00BC5B1D" w:rsidRDefault="00BC5B1D" w:rsidP="00430B8C">
            <w:pPr>
              <w:tabs>
                <w:tab w:val="left" w:pos="-720"/>
                <w:tab w:val="left" w:pos="1092"/>
                <w:tab w:val="left" w:pos="2016"/>
                <w:tab w:val="left" w:pos="2604"/>
                <w:tab w:val="left" w:pos="7140"/>
                <w:tab w:val="left" w:pos="7392"/>
              </w:tabs>
              <w:suppressAutoHyphens/>
              <w:spacing w:before="40" w:after="40"/>
              <w:jc w:val="center"/>
              <w:rPr>
                <w:spacing w:val="-1"/>
                <w:sz w:val="13"/>
              </w:rPr>
            </w:pPr>
            <w:r>
              <w:rPr>
                <w:spacing w:val="-1"/>
                <w:sz w:val="13"/>
              </w:rPr>
              <w:t>1</w:t>
            </w:r>
          </w:p>
          <w:p w:rsidR="000A7922" w:rsidRDefault="000A7922" w:rsidP="00430B8C">
            <w:pPr>
              <w:tabs>
                <w:tab w:val="left" w:pos="-720"/>
                <w:tab w:val="left" w:pos="1092"/>
                <w:tab w:val="left" w:pos="2016"/>
                <w:tab w:val="left" w:pos="2604"/>
                <w:tab w:val="left" w:pos="7140"/>
                <w:tab w:val="left" w:pos="7392"/>
              </w:tabs>
              <w:suppressAutoHyphens/>
              <w:spacing w:before="40" w:after="40"/>
              <w:jc w:val="center"/>
              <w:rPr>
                <w:spacing w:val="-1"/>
                <w:sz w:val="13"/>
              </w:rPr>
            </w:pPr>
            <w:r>
              <w:rPr>
                <w:spacing w:val="-1"/>
                <w:sz w:val="13"/>
              </w:rPr>
              <w:t>0</w:t>
            </w:r>
          </w:p>
          <w:p w:rsidR="00BC5B1D" w:rsidRDefault="00BC5B1D" w:rsidP="00430B8C">
            <w:pPr>
              <w:tabs>
                <w:tab w:val="left" w:pos="-720"/>
                <w:tab w:val="left" w:pos="1092"/>
                <w:tab w:val="left" w:pos="2016"/>
                <w:tab w:val="left" w:pos="2604"/>
                <w:tab w:val="left" w:pos="7140"/>
                <w:tab w:val="left" w:pos="7392"/>
              </w:tabs>
              <w:suppressAutoHyphens/>
              <w:spacing w:before="40" w:after="40"/>
              <w:jc w:val="center"/>
              <w:rPr>
                <w:spacing w:val="-1"/>
                <w:sz w:val="13"/>
              </w:rPr>
            </w:pPr>
            <w:r>
              <w:rPr>
                <w:spacing w:val="-1"/>
                <w:sz w:val="13"/>
              </w:rPr>
              <w:t>1</w:t>
            </w:r>
          </w:p>
          <w:p w:rsidR="00BC5B1D" w:rsidRPr="00D33B70" w:rsidRDefault="00BC5B1D" w:rsidP="00430B8C">
            <w:pPr>
              <w:tabs>
                <w:tab w:val="left" w:pos="-720"/>
                <w:tab w:val="left" w:pos="1092"/>
                <w:tab w:val="left" w:pos="2016"/>
                <w:tab w:val="left" w:pos="2604"/>
                <w:tab w:val="left" w:pos="7140"/>
                <w:tab w:val="left" w:pos="7392"/>
              </w:tabs>
              <w:suppressAutoHyphens/>
              <w:spacing w:before="40" w:after="40"/>
              <w:jc w:val="center"/>
              <w:rPr>
                <w:spacing w:val="-1"/>
                <w:sz w:val="13"/>
              </w:rPr>
            </w:pPr>
            <w:r>
              <w:rPr>
                <w:spacing w:val="-1"/>
                <w:sz w:val="13"/>
              </w:rPr>
              <w:t>1</w:t>
            </w:r>
          </w:p>
        </w:tc>
        <w:tc>
          <w:tcPr>
            <w:tcW w:w="1701" w:type="dxa"/>
            <w:tcBorders>
              <w:top w:val="single" w:sz="4" w:space="0" w:color="auto"/>
              <w:left w:val="single" w:sz="6" w:space="0" w:color="auto"/>
              <w:bottom w:val="single" w:sz="6" w:space="0" w:color="auto"/>
            </w:tcBorders>
          </w:tcPr>
          <w:p w:rsidR="00A83F38" w:rsidRDefault="006E7D9B" w:rsidP="00430B8C">
            <w:pPr>
              <w:tabs>
                <w:tab w:val="left" w:pos="-720"/>
                <w:tab w:val="left" w:pos="1092"/>
                <w:tab w:val="left" w:pos="2016"/>
                <w:tab w:val="left" w:pos="2604"/>
                <w:tab w:val="left" w:pos="7140"/>
                <w:tab w:val="left" w:pos="7392"/>
              </w:tabs>
              <w:suppressAutoHyphens/>
              <w:spacing w:before="40" w:after="40"/>
              <w:jc w:val="center"/>
              <w:rPr>
                <w:spacing w:val="-1"/>
                <w:sz w:val="13"/>
              </w:rPr>
            </w:pPr>
            <w:r>
              <w:rPr>
                <w:spacing w:val="-1"/>
                <w:sz w:val="13"/>
              </w:rPr>
              <w:t>1</w:t>
            </w:r>
            <w:bookmarkStart w:id="15" w:name="_GoBack"/>
            <w:bookmarkEnd w:id="15"/>
          </w:p>
          <w:p w:rsidR="000A7922" w:rsidRDefault="000A7922" w:rsidP="00430B8C">
            <w:pPr>
              <w:tabs>
                <w:tab w:val="left" w:pos="-720"/>
                <w:tab w:val="left" w:pos="1092"/>
                <w:tab w:val="left" w:pos="2016"/>
                <w:tab w:val="left" w:pos="2604"/>
                <w:tab w:val="left" w:pos="7140"/>
                <w:tab w:val="left" w:pos="7392"/>
              </w:tabs>
              <w:suppressAutoHyphens/>
              <w:spacing w:before="40" w:after="40"/>
              <w:jc w:val="center"/>
              <w:rPr>
                <w:spacing w:val="-1"/>
                <w:sz w:val="13"/>
              </w:rPr>
            </w:pPr>
            <w:r>
              <w:rPr>
                <w:spacing w:val="-1"/>
                <w:sz w:val="13"/>
              </w:rPr>
              <w:t>1</w:t>
            </w:r>
          </w:p>
          <w:p w:rsidR="000A7922" w:rsidRDefault="000A7922" w:rsidP="00430B8C">
            <w:pPr>
              <w:tabs>
                <w:tab w:val="left" w:pos="-720"/>
                <w:tab w:val="left" w:pos="1092"/>
                <w:tab w:val="left" w:pos="2016"/>
                <w:tab w:val="left" w:pos="2604"/>
                <w:tab w:val="left" w:pos="7140"/>
                <w:tab w:val="left" w:pos="7392"/>
              </w:tabs>
              <w:suppressAutoHyphens/>
              <w:spacing w:before="40" w:after="40"/>
              <w:jc w:val="center"/>
              <w:rPr>
                <w:spacing w:val="-1"/>
                <w:sz w:val="13"/>
              </w:rPr>
            </w:pPr>
            <w:r>
              <w:rPr>
                <w:spacing w:val="-1"/>
                <w:sz w:val="13"/>
              </w:rPr>
              <w:t>1</w:t>
            </w:r>
          </w:p>
          <w:p w:rsidR="000A7922" w:rsidRDefault="000A7922" w:rsidP="00430B8C">
            <w:pPr>
              <w:tabs>
                <w:tab w:val="left" w:pos="-720"/>
                <w:tab w:val="left" w:pos="1092"/>
                <w:tab w:val="left" w:pos="2016"/>
                <w:tab w:val="left" w:pos="2604"/>
                <w:tab w:val="left" w:pos="7140"/>
                <w:tab w:val="left" w:pos="7392"/>
              </w:tabs>
              <w:suppressAutoHyphens/>
              <w:spacing w:before="40" w:after="40"/>
              <w:jc w:val="center"/>
              <w:rPr>
                <w:spacing w:val="-1"/>
                <w:sz w:val="13"/>
              </w:rPr>
            </w:pPr>
            <w:r>
              <w:rPr>
                <w:spacing w:val="-1"/>
                <w:sz w:val="13"/>
              </w:rPr>
              <w:t>1</w:t>
            </w:r>
          </w:p>
          <w:p w:rsidR="000A7922" w:rsidRPr="00D33B70" w:rsidRDefault="000A7922" w:rsidP="00430B8C">
            <w:pPr>
              <w:tabs>
                <w:tab w:val="left" w:pos="-720"/>
                <w:tab w:val="left" w:pos="1092"/>
                <w:tab w:val="left" w:pos="2016"/>
                <w:tab w:val="left" w:pos="2604"/>
                <w:tab w:val="left" w:pos="7140"/>
                <w:tab w:val="left" w:pos="7392"/>
              </w:tabs>
              <w:suppressAutoHyphens/>
              <w:spacing w:before="40" w:after="40"/>
              <w:jc w:val="center"/>
              <w:rPr>
                <w:spacing w:val="-1"/>
                <w:sz w:val="13"/>
              </w:rPr>
            </w:pPr>
            <w:r>
              <w:rPr>
                <w:spacing w:val="-1"/>
                <w:sz w:val="13"/>
              </w:rPr>
              <w:t>1</w:t>
            </w:r>
          </w:p>
        </w:tc>
        <w:tc>
          <w:tcPr>
            <w:tcW w:w="1842" w:type="dxa"/>
            <w:tcBorders>
              <w:top w:val="single" w:sz="6" w:space="0" w:color="auto"/>
              <w:left w:val="single" w:sz="6" w:space="0" w:color="auto"/>
              <w:bottom w:val="single" w:sz="6" w:space="0" w:color="auto"/>
              <w:right w:val="single" w:sz="4" w:space="0" w:color="auto"/>
            </w:tcBorders>
          </w:tcPr>
          <w:p w:rsidR="00A83F38" w:rsidRPr="00D33B70" w:rsidRDefault="00A83F38" w:rsidP="00430B8C">
            <w:pPr>
              <w:tabs>
                <w:tab w:val="left" w:pos="-720"/>
                <w:tab w:val="left" w:pos="1092"/>
                <w:tab w:val="left" w:pos="2016"/>
                <w:tab w:val="left" w:pos="2604"/>
                <w:tab w:val="left" w:pos="7140"/>
                <w:tab w:val="left" w:pos="7392"/>
              </w:tabs>
              <w:suppressAutoHyphens/>
              <w:spacing w:before="40" w:after="40"/>
              <w:jc w:val="center"/>
              <w:rPr>
                <w:spacing w:val="-1"/>
                <w:sz w:val="13"/>
              </w:rPr>
            </w:pPr>
          </w:p>
        </w:tc>
      </w:tr>
    </w:tbl>
    <w:p w:rsidR="00A83F38" w:rsidRPr="00D33B70" w:rsidRDefault="00A83F38" w:rsidP="00430B8C"/>
    <w:p w:rsidR="00A83F38" w:rsidRPr="00D33B70" w:rsidRDefault="00A83F38" w:rsidP="00430B8C">
      <w:pPr>
        <w:sectPr w:rsidR="00A83F38" w:rsidRPr="00D33B70" w:rsidSect="007018E6">
          <w:footerReference w:type="default" r:id="rId20"/>
          <w:type w:val="oddPage"/>
          <w:pgSz w:w="11907" w:h="16840" w:code="9"/>
          <w:pgMar w:top="1418" w:right="1134" w:bottom="1418" w:left="1134" w:header="851" w:footer="592" w:gutter="0"/>
          <w:cols w:space="720"/>
        </w:sectPr>
      </w:pPr>
    </w:p>
    <w:p w:rsidR="00E060C9" w:rsidRPr="00D33B70" w:rsidRDefault="00E060C9" w:rsidP="007658DB">
      <w:pPr>
        <w:pStyle w:val="Heading0"/>
        <w:spacing w:line="240" w:lineRule="atLeast"/>
        <w:outlineLvl w:val="0"/>
      </w:pPr>
      <w:bookmarkStart w:id="16" w:name="_Toc231362210"/>
      <w:bookmarkStart w:id="17" w:name="_Toc236814003"/>
      <w:bookmarkStart w:id="18" w:name="_Toc280013876"/>
      <w:bookmarkStart w:id="19" w:name="_Toc387306259"/>
      <w:r w:rsidRPr="00D33B70">
        <w:lastRenderedPageBreak/>
        <w:t>EXECUTIVE SUMMARY</w:t>
      </w:r>
      <w:bookmarkEnd w:id="16"/>
      <w:bookmarkEnd w:id="17"/>
      <w:bookmarkEnd w:id="18"/>
      <w:bookmarkEnd w:id="19"/>
    </w:p>
    <w:p w:rsidR="00E060C9" w:rsidRPr="00D33B70" w:rsidRDefault="00E060C9" w:rsidP="007658DB">
      <w:pPr>
        <w:spacing w:before="240" w:after="120" w:line="240" w:lineRule="atLeast"/>
        <w:outlineLvl w:val="0"/>
        <w:rPr>
          <w:b/>
          <w:sz w:val="32"/>
        </w:rPr>
      </w:pPr>
      <w:bookmarkStart w:id="20" w:name="_Toc231360359"/>
      <w:r w:rsidRPr="00D33B70">
        <w:rPr>
          <w:b/>
          <w:sz w:val="32"/>
        </w:rPr>
        <w:t>Study Objective</w:t>
      </w:r>
      <w:bookmarkEnd w:id="20"/>
    </w:p>
    <w:p w:rsidR="00E060C9" w:rsidRPr="00D33B70" w:rsidRDefault="00E060C9" w:rsidP="00E060C9">
      <w:pPr>
        <w:pStyle w:val="Text"/>
        <w:ind w:left="0"/>
      </w:pPr>
      <w:r w:rsidRPr="00D33B70">
        <w:t xml:space="preserve">The </w:t>
      </w:r>
      <w:r w:rsidR="00C32E46" w:rsidRPr="00D33B70">
        <w:t>Kardinia Creek</w:t>
      </w:r>
      <w:r w:rsidRPr="00D33B70">
        <w:t xml:space="preserve"> </w:t>
      </w:r>
      <w:r w:rsidR="00927930" w:rsidRPr="00D33B70">
        <w:t>Catchment (C 250) is named after the waterway that existed prior to the construction of the main drainage system within the suburbs of Highton, Wandana Heights, Waurn Ponds and Belmont. This catchment</w:t>
      </w:r>
      <w:r w:rsidR="009C53D0" w:rsidRPr="00D33B70">
        <w:t xml:space="preserve"> </w:t>
      </w:r>
      <w:r w:rsidRPr="00D33B70">
        <w:t xml:space="preserve">has been identified as having a known problem with drainage related or “stormwater” flooding.  </w:t>
      </w:r>
      <w:r w:rsidR="009C53D0" w:rsidRPr="00D33B70">
        <w:t>The City of Greater Geelong</w:t>
      </w:r>
      <w:r w:rsidR="00C32E46" w:rsidRPr="00D33B70">
        <w:t xml:space="preserve"> has received numerous reports of flooding problems within the </w:t>
      </w:r>
      <w:r w:rsidR="00CB43CE" w:rsidRPr="00D33B70">
        <w:t xml:space="preserve">Kardinia Creek catchment, especially within the suburb of </w:t>
      </w:r>
      <w:r w:rsidR="009C53D0" w:rsidRPr="00D33B70">
        <w:t>Highton</w:t>
      </w:r>
      <w:r w:rsidR="00CB43CE" w:rsidRPr="00D33B70">
        <w:t xml:space="preserve">, in the lower portion of the catchment. </w:t>
      </w:r>
      <w:r w:rsidR="00C32E46" w:rsidRPr="00D33B70">
        <w:t xml:space="preserve">The majority of the problems relate to the characteristics of the catchment (topography, development density and age).  </w:t>
      </w:r>
      <w:r w:rsidR="00927930" w:rsidRPr="00D33B70">
        <w:t>The removal of the natural waterway and the installation of various main drains (typically built prior to the 1980’s)</w:t>
      </w:r>
      <w:r w:rsidR="00D33B70" w:rsidRPr="00D33B70">
        <w:t xml:space="preserve"> </w:t>
      </w:r>
      <w:r w:rsidR="00C32E46" w:rsidRPr="00D33B70">
        <w:t>has</w:t>
      </w:r>
      <w:r w:rsidR="00927930" w:rsidRPr="00D33B70">
        <w:t xml:space="preserve"> resulted in</w:t>
      </w:r>
      <w:r w:rsidR="00C32E46" w:rsidRPr="00D33B70">
        <w:t xml:space="preserve"> limited capacity in the underground pipes</w:t>
      </w:r>
      <w:r w:rsidR="00927930" w:rsidRPr="00D33B70">
        <w:t xml:space="preserve">, whilst a </w:t>
      </w:r>
      <w:r w:rsidR="00C32E46" w:rsidRPr="00D33B70">
        <w:t xml:space="preserve">lack of clear overland flowpaths </w:t>
      </w:r>
      <w:r w:rsidR="00927930" w:rsidRPr="00D33B70">
        <w:t xml:space="preserve">results in </w:t>
      </w:r>
      <w:r w:rsidR="00C32E46" w:rsidRPr="00D33B70">
        <w:t>surcharge and excess flows</w:t>
      </w:r>
      <w:r w:rsidR="00927930" w:rsidRPr="00D33B70">
        <w:t xml:space="preserve"> through private property</w:t>
      </w:r>
      <w:r w:rsidR="00C32E46" w:rsidRPr="00D33B70">
        <w:t>.</w:t>
      </w:r>
      <w:r w:rsidRPr="00D33B70">
        <w:t xml:space="preserve">  The primary objectives of </w:t>
      </w:r>
      <w:r w:rsidR="00CB43CE" w:rsidRPr="00D33B70">
        <w:t>the Highton Drainage/Flood Study</w:t>
      </w:r>
      <w:r w:rsidRPr="00D33B70">
        <w:t xml:space="preserve"> were to characterise existing flooding and to develop an appropriate flood management strategy to mitigate stormwater flooding in the </w:t>
      </w:r>
      <w:r w:rsidR="00CB43CE" w:rsidRPr="00D33B70">
        <w:t xml:space="preserve">study </w:t>
      </w:r>
      <w:r w:rsidRPr="00D33B70">
        <w:t>area.</w:t>
      </w:r>
    </w:p>
    <w:p w:rsidR="00E060C9" w:rsidRPr="00D33B70" w:rsidRDefault="00E060C9" w:rsidP="007658DB">
      <w:pPr>
        <w:spacing w:before="240" w:after="120" w:line="240" w:lineRule="atLeast"/>
        <w:outlineLvl w:val="0"/>
        <w:rPr>
          <w:b/>
          <w:sz w:val="32"/>
        </w:rPr>
      </w:pPr>
      <w:bookmarkStart w:id="21" w:name="_Toc231360360"/>
      <w:r w:rsidRPr="00D33B70">
        <w:rPr>
          <w:b/>
          <w:sz w:val="32"/>
        </w:rPr>
        <w:t>Study Methodology</w:t>
      </w:r>
      <w:bookmarkEnd w:id="21"/>
    </w:p>
    <w:p w:rsidR="00E060C9" w:rsidRPr="00D33B70" w:rsidRDefault="00E060C9" w:rsidP="00E060C9">
      <w:pPr>
        <w:pStyle w:val="Text"/>
        <w:ind w:left="0"/>
      </w:pPr>
      <w:r w:rsidRPr="00D33B70">
        <w:t>The study was carried out under the following core elements.</w:t>
      </w:r>
    </w:p>
    <w:p w:rsidR="00E060C9" w:rsidRPr="00D33B70" w:rsidRDefault="00E060C9" w:rsidP="00E060C9">
      <w:pPr>
        <w:pStyle w:val="Text"/>
        <w:numPr>
          <w:ilvl w:val="0"/>
          <w:numId w:val="20"/>
        </w:numPr>
        <w:tabs>
          <w:tab w:val="left" w:pos="1276"/>
        </w:tabs>
        <w:ind w:left="822" w:hanging="425"/>
      </w:pPr>
      <w:r w:rsidRPr="00D33B70">
        <w:rPr>
          <w:i/>
        </w:rPr>
        <w:t>Preliminary Tasks</w:t>
      </w:r>
      <w:r w:rsidRPr="00D33B70">
        <w:t xml:space="preserve"> – These were project initiation, including an inception meeting and initial site inspection, along with a data collation and review exercise.  The data collation and review phase included an analysis of previous drainage investigations, council policy, aerial photography of the area, topography, GIS datasets, digital plans and design information.</w:t>
      </w:r>
    </w:p>
    <w:p w:rsidR="00E060C9" w:rsidRPr="00D33B70" w:rsidRDefault="00E060C9" w:rsidP="00E060C9">
      <w:pPr>
        <w:pStyle w:val="Text"/>
        <w:numPr>
          <w:ilvl w:val="0"/>
          <w:numId w:val="20"/>
        </w:numPr>
        <w:tabs>
          <w:tab w:val="left" w:pos="1276"/>
        </w:tabs>
        <w:ind w:left="822" w:hanging="425"/>
      </w:pPr>
      <w:r w:rsidRPr="00D33B70">
        <w:rPr>
          <w:i/>
        </w:rPr>
        <w:t>Digital Terrain Model</w:t>
      </w:r>
      <w:r w:rsidRPr="00D33B70">
        <w:t xml:space="preserve"> – Photogrammetry and LiDAR data of the study area was provided by the City of Greater Geelong (CoGG) and used to assist in the hydrological model development.  Additional continuous elevation strings representing features of hydraulic importance (such as retarding basin crests) were sourced for use in the modelling.</w:t>
      </w:r>
    </w:p>
    <w:p w:rsidR="00E060C9" w:rsidRPr="00D33B70" w:rsidRDefault="00E060C9" w:rsidP="00E060C9">
      <w:pPr>
        <w:pStyle w:val="Text"/>
        <w:numPr>
          <w:ilvl w:val="0"/>
          <w:numId w:val="20"/>
        </w:numPr>
        <w:tabs>
          <w:tab w:val="left" w:pos="1276"/>
        </w:tabs>
        <w:ind w:left="822" w:hanging="425"/>
      </w:pPr>
      <w:r w:rsidRPr="00D33B70">
        <w:rPr>
          <w:i/>
        </w:rPr>
        <w:t>Hydrological and Hydraulic Modelling, and Mapping of the Existing Conditions</w:t>
      </w:r>
      <w:r w:rsidRPr="00D33B70">
        <w:t xml:space="preserve"> – The hydrologic and hydraulic modelling was undertaken using the traditional approach of applying flow boundaries from the hydrological model (RORB) to the two-dimensional (2D) hydraulic model (TUFLOW).  The existing flood characteristics were identified through hydrologic and hydraulic modelling of the 20%, 10%, 5% and 1% </w:t>
      </w:r>
      <w:r w:rsidR="00164093" w:rsidRPr="00D33B70">
        <w:t xml:space="preserve">Annual </w:t>
      </w:r>
      <w:r w:rsidRPr="00D33B70">
        <w:t>Exceedance Probability (AEP) flood events.  The flood results were mapped using GIS.  An assessment of flood damage was undertaken using the stage-damage curve approach.</w:t>
      </w:r>
    </w:p>
    <w:p w:rsidR="00E060C9" w:rsidRPr="00D33B70" w:rsidRDefault="00E060C9" w:rsidP="00E060C9">
      <w:pPr>
        <w:pStyle w:val="Text"/>
        <w:numPr>
          <w:ilvl w:val="0"/>
          <w:numId w:val="20"/>
        </w:numPr>
        <w:tabs>
          <w:tab w:val="left" w:pos="1276"/>
        </w:tabs>
        <w:ind w:left="822" w:hanging="425"/>
      </w:pPr>
      <w:r w:rsidRPr="00D33B70">
        <w:rPr>
          <w:i/>
        </w:rPr>
        <w:t>Mitigation Option Assessment and Mapping</w:t>
      </w:r>
      <w:r w:rsidRPr="00D33B70">
        <w:t xml:space="preserve"> – A wide range of potential structural and non-structural flood mitigation measures were screened, from which a shortlist of three (3) alternative flood mitigation schemes were selected </w:t>
      </w:r>
      <w:r w:rsidR="009C53D0" w:rsidRPr="00D33B70">
        <w:t>to be tested</w:t>
      </w:r>
      <w:r w:rsidRPr="00D33B70">
        <w:t xml:space="preserve"> using the hydraulic model.  Flood damage, scheme cost and benefit-cost ratios were determined for each of the schemes tested.  A ‘</w:t>
      </w:r>
      <w:r w:rsidR="007C7B95" w:rsidRPr="00D33B70">
        <w:t>no structural works’</w:t>
      </w:r>
      <w:r w:rsidRPr="00D33B70">
        <w:t xml:space="preserve"> option was also considered.</w:t>
      </w:r>
    </w:p>
    <w:p w:rsidR="00E060C9" w:rsidRPr="00D33B70" w:rsidRDefault="00E060C9" w:rsidP="00E060C9">
      <w:pPr>
        <w:pStyle w:val="Text"/>
        <w:numPr>
          <w:ilvl w:val="0"/>
          <w:numId w:val="20"/>
        </w:numPr>
        <w:tabs>
          <w:tab w:val="left" w:pos="1276"/>
        </w:tabs>
        <w:ind w:left="822" w:hanging="425"/>
      </w:pPr>
      <w:r w:rsidRPr="00D33B70">
        <w:rPr>
          <w:i/>
        </w:rPr>
        <w:t>Selection and Detailed Mapping of the Preferred Mitigation Scheme</w:t>
      </w:r>
      <w:r w:rsidRPr="00D33B70">
        <w:t xml:space="preserve"> – The mitigation schemes were assessed according to their ability to reduce flood damage.  The schemes were ranked according to a range of economic and non-economic factors.  A preferred strategy was then selected in consultation </w:t>
      </w:r>
      <w:r w:rsidRPr="00D33B70">
        <w:lastRenderedPageBreak/>
        <w:t>with CoGG.  The preferred scheme was mapped using GIS, with hardcopy plans of flood extent and flood levels produced.</w:t>
      </w:r>
    </w:p>
    <w:p w:rsidR="00E060C9" w:rsidRPr="00D33B70" w:rsidRDefault="00E060C9" w:rsidP="00E060C9">
      <w:pPr>
        <w:pStyle w:val="Text"/>
        <w:tabs>
          <w:tab w:val="left" w:pos="284"/>
        </w:tabs>
        <w:ind w:left="0"/>
      </w:pPr>
      <w:r w:rsidRPr="00D33B70">
        <w:t>The key results from the investigation are summarised in the following sections.</w:t>
      </w:r>
      <w:bookmarkStart w:id="22" w:name="_Toc231360361"/>
    </w:p>
    <w:p w:rsidR="00E060C9" w:rsidRPr="00D33B70" w:rsidRDefault="00E060C9" w:rsidP="00E060C9">
      <w:pPr>
        <w:pStyle w:val="Text"/>
        <w:ind w:left="0"/>
        <w:outlineLvl w:val="0"/>
        <w:rPr>
          <w:b/>
          <w:sz w:val="32"/>
        </w:rPr>
      </w:pPr>
      <w:r w:rsidRPr="00D33B70">
        <w:rPr>
          <w:b/>
          <w:sz w:val="32"/>
        </w:rPr>
        <w:t>Existing Flooding Characteristics</w:t>
      </w:r>
      <w:bookmarkEnd w:id="22"/>
    </w:p>
    <w:p w:rsidR="00E060C9" w:rsidRPr="00D33B70" w:rsidRDefault="00E060C9" w:rsidP="00E060C9">
      <w:pPr>
        <w:pStyle w:val="Text"/>
        <w:ind w:left="0"/>
      </w:pPr>
      <w:r w:rsidRPr="00D33B70">
        <w:t>The flood extent of the 1% Annual Exceedance Probability (AEP) flood, i.e. the 100 Year Average Recurrence Interval (ARI) flood, is shown in Figure E-1.  The number of flood-affected properties was identified and the average annual flood damage (AAD) was calculated at $</w:t>
      </w:r>
      <w:r w:rsidR="009C53D0" w:rsidRPr="00D33B70">
        <w:t>354</w:t>
      </w:r>
      <w:r w:rsidRPr="00D33B70">
        <w:t>,000.  Table E-1 shows the total number of properties that have floor level information available and are inundated to above floor level in the range of flood events analysed.  An analysis was also undertaken to determine the number of properties within the study mapping area, ie, not the full catchment, that have flooding within the property boundaries in the 1% AEP event.  This information is also detailed in Table E-1.</w:t>
      </w:r>
    </w:p>
    <w:p w:rsidR="00E060C9" w:rsidRPr="00D33B70" w:rsidRDefault="00E060C9" w:rsidP="00E060C9">
      <w:pPr>
        <w:pStyle w:val="Caption"/>
        <w:ind w:left="0"/>
        <w:rPr>
          <w:bCs/>
        </w:rPr>
      </w:pPr>
      <w:r w:rsidRPr="00D33B70">
        <w:rPr>
          <w:bCs/>
        </w:rPr>
        <w:t>Table E-1</w:t>
      </w:r>
      <w:r w:rsidRPr="00D33B70">
        <w:rPr>
          <w:bCs/>
        </w:rPr>
        <w:tab/>
        <w:t>Number of Flooded Properties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
        <w:gridCol w:w="2079"/>
        <w:gridCol w:w="2079"/>
      </w:tblGrid>
      <w:tr w:rsidR="00E060C9" w:rsidRPr="00D33B70" w:rsidTr="00E060C9">
        <w:trPr>
          <w:trHeight w:val="741"/>
          <w:jc w:val="center"/>
        </w:trPr>
        <w:tc>
          <w:tcPr>
            <w:tcW w:w="733" w:type="dxa"/>
            <w:vMerge w:val="restart"/>
            <w:tcBorders>
              <w:top w:val="single" w:sz="6" w:space="0" w:color="auto"/>
              <w:left w:val="single" w:sz="6" w:space="0" w:color="auto"/>
              <w:right w:val="single" w:sz="6" w:space="0" w:color="auto"/>
            </w:tcBorders>
            <w:shd w:val="pct10" w:color="auto" w:fill="auto"/>
            <w:vAlign w:val="center"/>
          </w:tcPr>
          <w:p w:rsidR="00E060C9" w:rsidRPr="00D33B70" w:rsidRDefault="00E060C9" w:rsidP="00E060C9">
            <w:pPr>
              <w:numPr>
                <w:ilvl w:val="12"/>
                <w:numId w:val="0"/>
              </w:numPr>
              <w:spacing w:before="60" w:after="60"/>
              <w:jc w:val="center"/>
              <w:rPr>
                <w:b/>
              </w:rPr>
            </w:pPr>
            <w:r w:rsidRPr="00D33B70">
              <w:rPr>
                <w:b/>
              </w:rPr>
              <w:t>AEP</w:t>
            </w:r>
          </w:p>
        </w:tc>
        <w:tc>
          <w:tcPr>
            <w:tcW w:w="4158" w:type="dxa"/>
            <w:gridSpan w:val="2"/>
            <w:tcBorders>
              <w:top w:val="single" w:sz="6" w:space="0" w:color="auto"/>
              <w:left w:val="single" w:sz="6" w:space="0" w:color="auto"/>
              <w:right w:val="single" w:sz="6" w:space="0" w:color="auto"/>
            </w:tcBorders>
            <w:shd w:val="pct10" w:color="auto" w:fill="auto"/>
            <w:vAlign w:val="center"/>
          </w:tcPr>
          <w:p w:rsidR="00E060C9" w:rsidRPr="00D33B70" w:rsidRDefault="00E060C9" w:rsidP="00E060C9">
            <w:pPr>
              <w:numPr>
                <w:ilvl w:val="12"/>
                <w:numId w:val="0"/>
              </w:numPr>
              <w:spacing w:before="60" w:after="60"/>
              <w:jc w:val="center"/>
              <w:rPr>
                <w:b/>
              </w:rPr>
            </w:pPr>
            <w:r w:rsidRPr="00D33B70">
              <w:rPr>
                <w:b/>
              </w:rPr>
              <w:t>Number of Flooded Properties -</w:t>
            </w:r>
          </w:p>
          <w:p w:rsidR="00E060C9" w:rsidRPr="00D33B70" w:rsidRDefault="00E060C9" w:rsidP="00E060C9">
            <w:pPr>
              <w:numPr>
                <w:ilvl w:val="12"/>
                <w:numId w:val="0"/>
              </w:numPr>
              <w:spacing w:before="60" w:after="60"/>
              <w:jc w:val="center"/>
              <w:rPr>
                <w:b/>
              </w:rPr>
            </w:pPr>
            <w:r w:rsidRPr="00D33B70">
              <w:rPr>
                <w:b/>
              </w:rPr>
              <w:t>Existing Conditions</w:t>
            </w:r>
          </w:p>
        </w:tc>
      </w:tr>
      <w:tr w:rsidR="00E060C9" w:rsidRPr="00D33B70" w:rsidTr="00E060C9">
        <w:trPr>
          <w:trHeight w:val="144"/>
          <w:jc w:val="center"/>
        </w:trPr>
        <w:tc>
          <w:tcPr>
            <w:tcW w:w="733" w:type="dxa"/>
            <w:vMerge/>
            <w:tcBorders>
              <w:left w:val="single" w:sz="6" w:space="0" w:color="auto"/>
              <w:bottom w:val="single" w:sz="6" w:space="0" w:color="auto"/>
              <w:right w:val="single" w:sz="6" w:space="0" w:color="auto"/>
            </w:tcBorders>
            <w:shd w:val="pct10" w:color="auto" w:fill="auto"/>
            <w:vAlign w:val="center"/>
          </w:tcPr>
          <w:p w:rsidR="00E060C9" w:rsidRPr="00D33B70" w:rsidRDefault="00E060C9" w:rsidP="00E060C9">
            <w:pPr>
              <w:numPr>
                <w:ilvl w:val="12"/>
                <w:numId w:val="0"/>
              </w:numPr>
              <w:spacing w:before="60" w:after="60"/>
              <w:jc w:val="center"/>
              <w:rPr>
                <w:b/>
              </w:rPr>
            </w:pPr>
          </w:p>
        </w:tc>
        <w:tc>
          <w:tcPr>
            <w:tcW w:w="2079" w:type="dxa"/>
            <w:tcBorders>
              <w:top w:val="single" w:sz="6" w:space="0" w:color="auto"/>
              <w:left w:val="single" w:sz="6" w:space="0" w:color="auto"/>
              <w:bottom w:val="single" w:sz="6" w:space="0" w:color="auto"/>
              <w:right w:val="single" w:sz="6" w:space="0" w:color="auto"/>
            </w:tcBorders>
            <w:shd w:val="pct10" w:color="auto" w:fill="auto"/>
            <w:vAlign w:val="center"/>
          </w:tcPr>
          <w:p w:rsidR="00E060C9" w:rsidRPr="00D33B70" w:rsidRDefault="00E060C9" w:rsidP="00E060C9">
            <w:pPr>
              <w:numPr>
                <w:ilvl w:val="12"/>
                <w:numId w:val="0"/>
              </w:numPr>
              <w:spacing w:before="60" w:after="60"/>
              <w:jc w:val="center"/>
              <w:rPr>
                <w:b/>
              </w:rPr>
            </w:pPr>
            <w:r w:rsidRPr="00D33B70">
              <w:rPr>
                <w:b/>
              </w:rPr>
              <w:t>Within Property</w:t>
            </w:r>
          </w:p>
        </w:tc>
        <w:tc>
          <w:tcPr>
            <w:tcW w:w="2079" w:type="dxa"/>
            <w:tcBorders>
              <w:top w:val="single" w:sz="6" w:space="0" w:color="auto"/>
              <w:left w:val="single" w:sz="6" w:space="0" w:color="auto"/>
              <w:bottom w:val="single" w:sz="6" w:space="0" w:color="auto"/>
              <w:right w:val="single" w:sz="6" w:space="0" w:color="auto"/>
            </w:tcBorders>
            <w:shd w:val="pct10" w:color="auto" w:fill="auto"/>
            <w:vAlign w:val="center"/>
          </w:tcPr>
          <w:p w:rsidR="00E060C9" w:rsidRPr="00D33B70" w:rsidRDefault="00E060C9" w:rsidP="00E060C9">
            <w:pPr>
              <w:numPr>
                <w:ilvl w:val="12"/>
                <w:numId w:val="0"/>
              </w:numPr>
              <w:spacing w:before="60" w:after="60"/>
              <w:jc w:val="center"/>
              <w:rPr>
                <w:b/>
              </w:rPr>
            </w:pPr>
            <w:r w:rsidRPr="00D33B70">
              <w:rPr>
                <w:b/>
              </w:rPr>
              <w:t>Above Floor*</w:t>
            </w:r>
          </w:p>
        </w:tc>
      </w:tr>
      <w:tr w:rsidR="009C53D0" w:rsidRPr="00D33B70" w:rsidTr="00E060C9">
        <w:trPr>
          <w:trHeight w:val="361"/>
          <w:jc w:val="center"/>
        </w:trPr>
        <w:tc>
          <w:tcPr>
            <w:tcW w:w="733" w:type="dxa"/>
            <w:tcBorders>
              <w:top w:val="single" w:sz="6" w:space="0" w:color="auto"/>
              <w:left w:val="single" w:sz="6" w:space="0" w:color="auto"/>
              <w:bottom w:val="single" w:sz="6" w:space="0" w:color="auto"/>
              <w:right w:val="single" w:sz="6" w:space="0" w:color="auto"/>
            </w:tcBorders>
            <w:vAlign w:val="center"/>
          </w:tcPr>
          <w:p w:rsidR="009C53D0" w:rsidRPr="00D33B70" w:rsidRDefault="009C53D0" w:rsidP="00E060C9">
            <w:pPr>
              <w:numPr>
                <w:ilvl w:val="12"/>
                <w:numId w:val="0"/>
              </w:numPr>
              <w:spacing w:before="60" w:after="60"/>
              <w:jc w:val="center"/>
              <w:rPr>
                <w:color w:val="000000"/>
                <w:spacing w:val="0"/>
              </w:rPr>
            </w:pPr>
            <w:r w:rsidRPr="00D33B70">
              <w:rPr>
                <w:color w:val="000000"/>
                <w:spacing w:val="0"/>
              </w:rPr>
              <w:t>20%</w:t>
            </w:r>
          </w:p>
        </w:tc>
        <w:tc>
          <w:tcPr>
            <w:tcW w:w="2079" w:type="dxa"/>
            <w:tcBorders>
              <w:top w:val="single" w:sz="6" w:space="0" w:color="auto"/>
              <w:left w:val="single" w:sz="6" w:space="0" w:color="auto"/>
              <w:bottom w:val="single" w:sz="6" w:space="0" w:color="auto"/>
              <w:right w:val="single" w:sz="6" w:space="0" w:color="auto"/>
            </w:tcBorders>
            <w:shd w:val="clear" w:color="auto" w:fill="auto"/>
            <w:vAlign w:val="center"/>
          </w:tcPr>
          <w:p w:rsidR="009C53D0" w:rsidRPr="00D33B70" w:rsidRDefault="00026B6D" w:rsidP="00C62EB2">
            <w:pPr>
              <w:jc w:val="center"/>
              <w:rPr>
                <w:rFonts w:cs="Arial"/>
              </w:rPr>
            </w:pPr>
            <w:r w:rsidRPr="00D33B70">
              <w:rPr>
                <w:rFonts w:cs="Arial"/>
              </w:rPr>
              <w:t>1402</w:t>
            </w:r>
          </w:p>
        </w:tc>
        <w:tc>
          <w:tcPr>
            <w:tcW w:w="2079" w:type="dxa"/>
            <w:tcBorders>
              <w:top w:val="single" w:sz="6" w:space="0" w:color="auto"/>
              <w:left w:val="single" w:sz="6" w:space="0" w:color="auto"/>
              <w:bottom w:val="single" w:sz="6" w:space="0" w:color="auto"/>
              <w:right w:val="single" w:sz="6" w:space="0" w:color="auto"/>
            </w:tcBorders>
            <w:shd w:val="clear" w:color="auto" w:fill="auto"/>
            <w:vAlign w:val="center"/>
          </w:tcPr>
          <w:p w:rsidR="009C53D0" w:rsidRPr="00D33B70" w:rsidRDefault="00026B6D" w:rsidP="00C62EB2">
            <w:pPr>
              <w:jc w:val="center"/>
              <w:rPr>
                <w:rFonts w:cs="Arial"/>
              </w:rPr>
            </w:pPr>
            <w:r w:rsidRPr="00D33B70">
              <w:rPr>
                <w:rFonts w:cs="Arial"/>
              </w:rPr>
              <w:t>14</w:t>
            </w:r>
          </w:p>
        </w:tc>
      </w:tr>
      <w:tr w:rsidR="009C53D0" w:rsidRPr="00D33B70" w:rsidTr="00E060C9">
        <w:trPr>
          <w:trHeight w:val="361"/>
          <w:jc w:val="center"/>
        </w:trPr>
        <w:tc>
          <w:tcPr>
            <w:tcW w:w="733" w:type="dxa"/>
            <w:tcBorders>
              <w:top w:val="single" w:sz="6" w:space="0" w:color="auto"/>
              <w:left w:val="single" w:sz="6" w:space="0" w:color="auto"/>
              <w:bottom w:val="single" w:sz="6" w:space="0" w:color="auto"/>
              <w:right w:val="single" w:sz="6" w:space="0" w:color="auto"/>
            </w:tcBorders>
            <w:vAlign w:val="center"/>
          </w:tcPr>
          <w:p w:rsidR="009C53D0" w:rsidRPr="00D33B70" w:rsidRDefault="009C53D0" w:rsidP="00E060C9">
            <w:pPr>
              <w:numPr>
                <w:ilvl w:val="12"/>
                <w:numId w:val="0"/>
              </w:numPr>
              <w:spacing w:before="60" w:after="60"/>
              <w:jc w:val="center"/>
              <w:rPr>
                <w:color w:val="000000"/>
                <w:spacing w:val="0"/>
              </w:rPr>
            </w:pPr>
            <w:r w:rsidRPr="00D33B70">
              <w:rPr>
                <w:color w:val="000000"/>
                <w:spacing w:val="0"/>
              </w:rPr>
              <w:t>10%</w:t>
            </w:r>
          </w:p>
        </w:tc>
        <w:tc>
          <w:tcPr>
            <w:tcW w:w="2079" w:type="dxa"/>
            <w:tcBorders>
              <w:top w:val="single" w:sz="6" w:space="0" w:color="auto"/>
              <w:left w:val="single" w:sz="6" w:space="0" w:color="auto"/>
              <w:bottom w:val="single" w:sz="6" w:space="0" w:color="auto"/>
              <w:right w:val="single" w:sz="6" w:space="0" w:color="auto"/>
            </w:tcBorders>
            <w:shd w:val="clear" w:color="auto" w:fill="auto"/>
            <w:vAlign w:val="center"/>
          </w:tcPr>
          <w:p w:rsidR="009C53D0" w:rsidRPr="00D33B70" w:rsidRDefault="00026B6D" w:rsidP="00C62EB2">
            <w:pPr>
              <w:jc w:val="center"/>
              <w:rPr>
                <w:rFonts w:cs="Arial"/>
              </w:rPr>
            </w:pPr>
            <w:r w:rsidRPr="00D33B70">
              <w:rPr>
                <w:rFonts w:cs="Arial"/>
              </w:rPr>
              <w:t>1719</w:t>
            </w:r>
          </w:p>
        </w:tc>
        <w:tc>
          <w:tcPr>
            <w:tcW w:w="2079" w:type="dxa"/>
            <w:tcBorders>
              <w:top w:val="single" w:sz="6" w:space="0" w:color="auto"/>
              <w:left w:val="single" w:sz="6" w:space="0" w:color="auto"/>
              <w:bottom w:val="single" w:sz="6" w:space="0" w:color="auto"/>
              <w:right w:val="single" w:sz="6" w:space="0" w:color="auto"/>
            </w:tcBorders>
            <w:shd w:val="clear" w:color="auto" w:fill="auto"/>
            <w:vAlign w:val="center"/>
          </w:tcPr>
          <w:p w:rsidR="009C53D0" w:rsidRPr="00D33B70" w:rsidRDefault="00026B6D" w:rsidP="00C62EB2">
            <w:pPr>
              <w:jc w:val="center"/>
              <w:rPr>
                <w:rFonts w:cs="Arial"/>
              </w:rPr>
            </w:pPr>
            <w:r w:rsidRPr="00D33B70">
              <w:rPr>
                <w:rFonts w:cs="Arial"/>
              </w:rPr>
              <w:t>16</w:t>
            </w:r>
          </w:p>
        </w:tc>
      </w:tr>
      <w:tr w:rsidR="009C53D0" w:rsidRPr="00D33B70" w:rsidTr="00E060C9">
        <w:trPr>
          <w:trHeight w:val="376"/>
          <w:jc w:val="center"/>
        </w:trPr>
        <w:tc>
          <w:tcPr>
            <w:tcW w:w="733" w:type="dxa"/>
            <w:tcBorders>
              <w:top w:val="single" w:sz="6" w:space="0" w:color="auto"/>
              <w:left w:val="single" w:sz="6" w:space="0" w:color="auto"/>
              <w:bottom w:val="single" w:sz="6" w:space="0" w:color="auto"/>
              <w:right w:val="single" w:sz="6" w:space="0" w:color="auto"/>
            </w:tcBorders>
            <w:vAlign w:val="center"/>
          </w:tcPr>
          <w:p w:rsidR="009C53D0" w:rsidRPr="00D33B70" w:rsidRDefault="009C53D0" w:rsidP="00E060C9">
            <w:pPr>
              <w:numPr>
                <w:ilvl w:val="12"/>
                <w:numId w:val="0"/>
              </w:numPr>
              <w:spacing w:before="60" w:after="60"/>
              <w:jc w:val="center"/>
              <w:rPr>
                <w:color w:val="000000"/>
                <w:spacing w:val="0"/>
              </w:rPr>
            </w:pPr>
            <w:r w:rsidRPr="00D33B70">
              <w:rPr>
                <w:color w:val="000000"/>
                <w:spacing w:val="0"/>
              </w:rPr>
              <w:t>5%</w:t>
            </w:r>
          </w:p>
        </w:tc>
        <w:tc>
          <w:tcPr>
            <w:tcW w:w="2079" w:type="dxa"/>
            <w:tcBorders>
              <w:top w:val="single" w:sz="6" w:space="0" w:color="auto"/>
              <w:left w:val="single" w:sz="6" w:space="0" w:color="auto"/>
              <w:bottom w:val="single" w:sz="6" w:space="0" w:color="auto"/>
              <w:right w:val="single" w:sz="6" w:space="0" w:color="auto"/>
            </w:tcBorders>
            <w:shd w:val="clear" w:color="auto" w:fill="auto"/>
            <w:vAlign w:val="center"/>
          </w:tcPr>
          <w:p w:rsidR="009C53D0" w:rsidRPr="00D33B70" w:rsidRDefault="00026B6D" w:rsidP="00C62EB2">
            <w:pPr>
              <w:jc w:val="center"/>
              <w:rPr>
                <w:rFonts w:cs="Arial"/>
              </w:rPr>
            </w:pPr>
            <w:r w:rsidRPr="00D33B70">
              <w:rPr>
                <w:rFonts w:cs="Arial"/>
              </w:rPr>
              <w:t>1976</w:t>
            </w:r>
          </w:p>
        </w:tc>
        <w:tc>
          <w:tcPr>
            <w:tcW w:w="2079" w:type="dxa"/>
            <w:tcBorders>
              <w:top w:val="single" w:sz="6" w:space="0" w:color="auto"/>
              <w:left w:val="single" w:sz="6" w:space="0" w:color="auto"/>
              <w:bottom w:val="single" w:sz="6" w:space="0" w:color="auto"/>
              <w:right w:val="single" w:sz="6" w:space="0" w:color="auto"/>
            </w:tcBorders>
            <w:shd w:val="clear" w:color="auto" w:fill="auto"/>
            <w:vAlign w:val="center"/>
          </w:tcPr>
          <w:p w:rsidR="009C53D0" w:rsidRPr="00D33B70" w:rsidRDefault="009C53D0" w:rsidP="00026B6D">
            <w:pPr>
              <w:jc w:val="center"/>
              <w:rPr>
                <w:rFonts w:cs="Arial"/>
              </w:rPr>
            </w:pPr>
            <w:r w:rsidRPr="00D33B70">
              <w:rPr>
                <w:rFonts w:cs="Arial"/>
              </w:rPr>
              <w:t>2</w:t>
            </w:r>
            <w:r w:rsidR="00026B6D" w:rsidRPr="00D33B70">
              <w:rPr>
                <w:rFonts w:cs="Arial"/>
              </w:rPr>
              <w:t>2</w:t>
            </w:r>
          </w:p>
        </w:tc>
      </w:tr>
      <w:tr w:rsidR="009C53D0" w:rsidRPr="00D33B70" w:rsidTr="00E060C9">
        <w:trPr>
          <w:trHeight w:val="376"/>
          <w:jc w:val="center"/>
        </w:trPr>
        <w:tc>
          <w:tcPr>
            <w:tcW w:w="733" w:type="dxa"/>
            <w:tcBorders>
              <w:top w:val="single" w:sz="6" w:space="0" w:color="auto"/>
              <w:left w:val="single" w:sz="6" w:space="0" w:color="auto"/>
              <w:bottom w:val="single" w:sz="6" w:space="0" w:color="auto"/>
              <w:right w:val="single" w:sz="6" w:space="0" w:color="auto"/>
            </w:tcBorders>
            <w:vAlign w:val="center"/>
          </w:tcPr>
          <w:p w:rsidR="009C53D0" w:rsidRPr="00D33B70" w:rsidRDefault="009C53D0" w:rsidP="00E060C9">
            <w:pPr>
              <w:numPr>
                <w:ilvl w:val="12"/>
                <w:numId w:val="0"/>
              </w:numPr>
              <w:spacing w:before="60" w:after="60"/>
              <w:jc w:val="center"/>
              <w:rPr>
                <w:color w:val="000000"/>
                <w:spacing w:val="0"/>
              </w:rPr>
            </w:pPr>
            <w:r w:rsidRPr="00D33B70">
              <w:rPr>
                <w:color w:val="000000"/>
                <w:spacing w:val="0"/>
              </w:rPr>
              <w:t>1%</w:t>
            </w:r>
          </w:p>
        </w:tc>
        <w:tc>
          <w:tcPr>
            <w:tcW w:w="2079" w:type="dxa"/>
            <w:tcBorders>
              <w:top w:val="single" w:sz="6" w:space="0" w:color="auto"/>
              <w:left w:val="single" w:sz="6" w:space="0" w:color="auto"/>
              <w:bottom w:val="single" w:sz="6" w:space="0" w:color="auto"/>
              <w:right w:val="single" w:sz="6" w:space="0" w:color="auto"/>
            </w:tcBorders>
            <w:shd w:val="clear" w:color="auto" w:fill="auto"/>
            <w:vAlign w:val="center"/>
          </w:tcPr>
          <w:p w:rsidR="009C53D0" w:rsidRPr="00D33B70" w:rsidRDefault="00026B6D" w:rsidP="00C62EB2">
            <w:pPr>
              <w:jc w:val="center"/>
              <w:rPr>
                <w:rFonts w:cs="Arial"/>
              </w:rPr>
            </w:pPr>
            <w:r w:rsidRPr="00D33B70">
              <w:rPr>
                <w:rFonts w:cs="Arial"/>
              </w:rPr>
              <w:t>2318</w:t>
            </w:r>
          </w:p>
        </w:tc>
        <w:tc>
          <w:tcPr>
            <w:tcW w:w="2079" w:type="dxa"/>
            <w:tcBorders>
              <w:top w:val="single" w:sz="6" w:space="0" w:color="auto"/>
              <w:left w:val="single" w:sz="6" w:space="0" w:color="auto"/>
              <w:bottom w:val="single" w:sz="6" w:space="0" w:color="auto"/>
              <w:right w:val="single" w:sz="6" w:space="0" w:color="auto"/>
            </w:tcBorders>
            <w:shd w:val="clear" w:color="auto" w:fill="auto"/>
            <w:vAlign w:val="center"/>
          </w:tcPr>
          <w:p w:rsidR="009C53D0" w:rsidRPr="00D33B70" w:rsidRDefault="009C53D0" w:rsidP="00C62EB2">
            <w:pPr>
              <w:jc w:val="center"/>
              <w:rPr>
                <w:rFonts w:cs="Arial"/>
              </w:rPr>
            </w:pPr>
            <w:r w:rsidRPr="00D33B70">
              <w:rPr>
                <w:rFonts w:cs="Arial"/>
              </w:rPr>
              <w:t>35</w:t>
            </w:r>
          </w:p>
        </w:tc>
      </w:tr>
    </w:tbl>
    <w:p w:rsidR="00E060C9" w:rsidRPr="00D33B70" w:rsidRDefault="00E060C9" w:rsidP="009C53D0">
      <w:pPr>
        <w:pStyle w:val="Text1"/>
      </w:pPr>
      <w:r w:rsidRPr="00D33B70">
        <w:t>*  Results based on properties surveyed by CoGG.</w:t>
      </w:r>
    </w:p>
    <w:p w:rsidR="00E060C9" w:rsidRPr="00D33B70" w:rsidRDefault="00E060C9" w:rsidP="009A4BC5">
      <w:pPr>
        <w:pStyle w:val="Text"/>
        <w:numPr>
          <w:ilvl w:val="12"/>
          <w:numId w:val="0"/>
        </w:numPr>
      </w:pPr>
      <w:r w:rsidRPr="00D33B70">
        <w:t xml:space="preserve">Hazard mapping was undertaken using the methodology prescribed in the Melbourne Water document </w:t>
      </w:r>
      <w:r w:rsidRPr="00D33B70">
        <w:rPr>
          <w:i/>
        </w:rPr>
        <w:t>Guidelines for Development in Flood-prone Areas</w:t>
      </w:r>
      <w:r w:rsidRPr="00D33B70">
        <w:t xml:space="preserve"> (Melbourne Water 2008).  The analysis is designed to determine if it is safe for people to move about on a property during a flood event.  Safety is defined in terms of the depth, velocity and velocity-depth product.  The existing 1% AEP hazard mapping for the study area is shown in Figure E-2.  As expected, the majority of the main overland flow through the catchments is classified as safe in a 1% AEP event.  </w:t>
      </w:r>
      <w:r w:rsidR="009A4BC5" w:rsidRPr="00D33B70">
        <w:t>This is due to the relatively shallow flow depths experienced across the majority of the study area. The majority of the flooding that has been deemed unsafe occurs within the retarding basins or road corridors, however there are other isolated areas deemed unsafe in the 1% AEP event. These include properties on Belle Vue Avenue immediately south of Roslyn Road and on the major drainage path between Roslyn Road and Mount Pleasant Road, adjacent to Barrabool Road.</w:t>
      </w:r>
    </w:p>
    <w:p w:rsidR="00E060C9" w:rsidRPr="00D33B70" w:rsidRDefault="00E060C9" w:rsidP="00E060C9">
      <w:pPr>
        <w:pStyle w:val="Text"/>
        <w:ind w:left="0"/>
      </w:pPr>
      <w:r w:rsidRPr="00D33B70">
        <w:br w:type="page"/>
      </w:r>
    </w:p>
    <w:p w:rsidR="00E060C9" w:rsidRPr="00D33B70" w:rsidRDefault="00E060C9" w:rsidP="00E060C9">
      <w:pPr>
        <w:pStyle w:val="Caption"/>
        <w:ind w:left="0"/>
      </w:pPr>
      <w:r w:rsidRPr="00D33B70">
        <w:lastRenderedPageBreak/>
        <w:t>Figure E-1</w:t>
      </w:r>
      <w:r w:rsidRPr="00D33B70">
        <w:tab/>
        <w:t>Existing 1% AEP Peak Flood Depth</w:t>
      </w:r>
    </w:p>
    <w:p w:rsidR="00E060C9" w:rsidRPr="00D33B70" w:rsidRDefault="00E060C9" w:rsidP="009C53D0">
      <w:pPr>
        <w:pStyle w:val="Text1"/>
      </w:pPr>
    </w:p>
    <w:p w:rsidR="00E060C9" w:rsidRPr="00D33B70" w:rsidRDefault="00E060C9" w:rsidP="009C53D0">
      <w:pPr>
        <w:pStyle w:val="Text1"/>
      </w:pPr>
    </w:p>
    <w:p w:rsidR="00E060C9" w:rsidRPr="00D33B70" w:rsidRDefault="00E060C9" w:rsidP="009C53D0">
      <w:pPr>
        <w:pStyle w:val="Text1"/>
      </w:pPr>
    </w:p>
    <w:p w:rsidR="00E060C9" w:rsidRPr="00D33B70" w:rsidRDefault="00E060C9" w:rsidP="009C53D0">
      <w:pPr>
        <w:pStyle w:val="Text1"/>
      </w:pPr>
    </w:p>
    <w:p w:rsidR="00E060C9" w:rsidRPr="00D33B70" w:rsidRDefault="00E060C9" w:rsidP="009C53D0">
      <w:pPr>
        <w:pStyle w:val="Text1"/>
      </w:pPr>
      <w:r w:rsidRPr="00D33B70">
        <w:br w:type="page"/>
      </w:r>
    </w:p>
    <w:p w:rsidR="00E060C9" w:rsidRPr="00D33B70" w:rsidRDefault="00E060C9" w:rsidP="009C53D0">
      <w:pPr>
        <w:pStyle w:val="Text1"/>
      </w:pPr>
    </w:p>
    <w:p w:rsidR="00E060C9" w:rsidRPr="00D33B70" w:rsidRDefault="00E060C9" w:rsidP="009C53D0">
      <w:pPr>
        <w:pStyle w:val="Text1"/>
      </w:pPr>
    </w:p>
    <w:p w:rsidR="00E060C9" w:rsidRPr="00D33B70" w:rsidRDefault="00E060C9" w:rsidP="00E060C9">
      <w:pPr>
        <w:pStyle w:val="Caption"/>
        <w:ind w:left="0"/>
      </w:pPr>
      <w:r w:rsidRPr="00D33B70">
        <w:t>Figure E-2</w:t>
      </w:r>
      <w:r w:rsidRPr="00D33B70">
        <w:tab/>
        <w:t>Existing 1% AEP Hazard Mapping</w:t>
      </w:r>
    </w:p>
    <w:p w:rsidR="00E060C9" w:rsidRPr="00D33B70" w:rsidRDefault="00E060C9" w:rsidP="00E060C9">
      <w:pPr>
        <w:pStyle w:val="Text"/>
        <w:ind w:left="0"/>
      </w:pPr>
    </w:p>
    <w:p w:rsidR="00E060C9" w:rsidRPr="00D33B70" w:rsidRDefault="00E060C9" w:rsidP="009C53D0">
      <w:pPr>
        <w:pStyle w:val="Text1"/>
        <w:rPr>
          <w:highlight w:val="yellow"/>
        </w:rPr>
      </w:pPr>
    </w:p>
    <w:p w:rsidR="00E060C9" w:rsidRPr="00D33B70" w:rsidRDefault="00E060C9" w:rsidP="009C53D0">
      <w:pPr>
        <w:pStyle w:val="Text1"/>
        <w:rPr>
          <w:highlight w:val="yellow"/>
        </w:rPr>
      </w:pPr>
    </w:p>
    <w:p w:rsidR="00E060C9" w:rsidRPr="00D33B70" w:rsidRDefault="00E060C9" w:rsidP="00E060C9">
      <w:pPr>
        <w:jc w:val="left"/>
        <w:rPr>
          <w:rFonts w:ascii="Arial,Bold" w:hAnsi="Arial,Bold"/>
          <w:b/>
          <w:color w:val="000000"/>
          <w:spacing w:val="0"/>
          <w:sz w:val="24"/>
          <w:highlight w:val="yellow"/>
        </w:rPr>
      </w:pPr>
    </w:p>
    <w:p w:rsidR="00E060C9" w:rsidRPr="00D33B70" w:rsidRDefault="00E060C9" w:rsidP="00E060C9">
      <w:pPr>
        <w:pStyle w:val="Text"/>
        <w:ind w:left="0"/>
        <w:outlineLvl w:val="0"/>
      </w:pPr>
      <w:r w:rsidRPr="00D33B70">
        <w:rPr>
          <w:highlight w:val="yellow"/>
        </w:rPr>
        <w:br w:type="page"/>
      </w:r>
      <w:bookmarkStart w:id="23" w:name="_Toc231360362"/>
      <w:r w:rsidRPr="00D33B70">
        <w:rPr>
          <w:b/>
          <w:sz w:val="32"/>
        </w:rPr>
        <w:lastRenderedPageBreak/>
        <w:t>Mitigation Option Assessment</w:t>
      </w:r>
      <w:bookmarkEnd w:id="23"/>
    </w:p>
    <w:p w:rsidR="00E060C9" w:rsidRPr="00D33B70" w:rsidRDefault="00E060C9" w:rsidP="005764DA">
      <w:pPr>
        <w:pStyle w:val="Text"/>
        <w:spacing w:line="260" w:lineRule="atLeast"/>
        <w:ind w:left="0"/>
      </w:pPr>
      <w:r w:rsidRPr="00D33B70">
        <w:t xml:space="preserve">A full range of structural and non-structural flood mitigation elements were considered when developing the three mitigation schemes.  The elements considered ranged from upgraded underground pipe systems through to planning scheme amendments and education and awareness programs.  These elements were screened to provide a list of elements that were considered suitable for use in the </w:t>
      </w:r>
      <w:r w:rsidR="006A26F2" w:rsidRPr="00D33B70">
        <w:t>study area</w:t>
      </w:r>
      <w:r w:rsidR="00CB43CE" w:rsidRPr="00D33B70">
        <w:t>.</w:t>
      </w:r>
      <w:r w:rsidRPr="00D33B70">
        <w:t xml:space="preserve">  Through discussion with Council officers, the elements were combined to form the mitigation schemes for detailed modelling and assessment.  The ‘</w:t>
      </w:r>
      <w:r w:rsidR="007C7B95" w:rsidRPr="00D33B70">
        <w:t>no structural works’</w:t>
      </w:r>
      <w:r w:rsidRPr="00D33B70">
        <w:t xml:space="preserve"> strategy, i.e., the existing flood conditions, was also considered.</w:t>
      </w:r>
    </w:p>
    <w:p w:rsidR="00E060C9" w:rsidRPr="00D33B70" w:rsidRDefault="006A26F2" w:rsidP="005764DA">
      <w:pPr>
        <w:pStyle w:val="Text"/>
        <w:spacing w:line="260" w:lineRule="atLeast"/>
        <w:ind w:left="0"/>
      </w:pPr>
      <w:r w:rsidRPr="00D33B70">
        <w:t>The s</w:t>
      </w:r>
      <w:r w:rsidR="00E060C9" w:rsidRPr="00D33B70">
        <w:t>chemes were assessed using the hydraulic model for each flood event.  Table E-2 shows the number of flooded properties under each scenario assessed.  Table E-3 outlines the benefit (as a result of reduced flooding), the capital and on-going costs and Benefit to Cost Ratio (BCR)</w:t>
      </w:r>
      <w:r w:rsidR="00EA6E58" w:rsidRPr="00D33B70">
        <w:t>.</w:t>
      </w:r>
    </w:p>
    <w:p w:rsidR="00E060C9" w:rsidRPr="00D33B70" w:rsidRDefault="00E060C9" w:rsidP="00E060C9">
      <w:pPr>
        <w:pStyle w:val="Caption"/>
        <w:ind w:left="0"/>
        <w:outlineLvl w:val="0"/>
      </w:pPr>
      <w:r w:rsidRPr="00D33B70">
        <w:t>Table E-2</w:t>
      </w:r>
      <w:r w:rsidRPr="00D33B70">
        <w:tab/>
        <w:t>Flood Affected Properties</w:t>
      </w:r>
    </w:p>
    <w:tbl>
      <w:tblPr>
        <w:tblW w:w="0" w:type="auto"/>
        <w:jc w:val="center"/>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26"/>
        <w:gridCol w:w="1843"/>
        <w:gridCol w:w="1843"/>
        <w:gridCol w:w="1842"/>
        <w:gridCol w:w="1717"/>
      </w:tblGrid>
      <w:tr w:rsidR="006A26F2" w:rsidRPr="00D33B70" w:rsidTr="00E060C9">
        <w:trPr>
          <w:trHeight w:val="384"/>
          <w:jc w:val="center"/>
        </w:trPr>
        <w:tc>
          <w:tcPr>
            <w:tcW w:w="2426" w:type="dxa"/>
            <w:vMerge w:val="restart"/>
            <w:tcBorders>
              <w:top w:val="single" w:sz="6" w:space="0" w:color="auto"/>
              <w:left w:val="single" w:sz="6" w:space="0" w:color="auto"/>
              <w:right w:val="single" w:sz="6" w:space="0" w:color="auto"/>
            </w:tcBorders>
            <w:shd w:val="pct10" w:color="auto" w:fill="auto"/>
            <w:vAlign w:val="center"/>
          </w:tcPr>
          <w:p w:rsidR="006A26F2" w:rsidRPr="00D33B70" w:rsidRDefault="006A26F2" w:rsidP="006A26F2">
            <w:pPr>
              <w:pStyle w:val="Text"/>
              <w:spacing w:before="40" w:after="40" w:line="240" w:lineRule="auto"/>
              <w:ind w:left="0" w:right="31"/>
              <w:jc w:val="left"/>
              <w:rPr>
                <w:b/>
              </w:rPr>
            </w:pPr>
            <w:r w:rsidRPr="00D33B70">
              <w:rPr>
                <w:b/>
              </w:rPr>
              <w:t>Scenario</w:t>
            </w:r>
          </w:p>
        </w:tc>
        <w:tc>
          <w:tcPr>
            <w:tcW w:w="7245" w:type="dxa"/>
            <w:gridSpan w:val="4"/>
            <w:tcBorders>
              <w:top w:val="single" w:sz="6" w:space="0" w:color="auto"/>
              <w:left w:val="single" w:sz="6" w:space="0" w:color="auto"/>
              <w:bottom w:val="single" w:sz="6" w:space="0" w:color="auto"/>
              <w:right w:val="single" w:sz="6" w:space="0" w:color="auto"/>
            </w:tcBorders>
            <w:shd w:val="pct10" w:color="auto" w:fill="auto"/>
            <w:vAlign w:val="center"/>
          </w:tcPr>
          <w:p w:rsidR="006A26F2" w:rsidRPr="00D33B70" w:rsidRDefault="006A26F2" w:rsidP="00E060C9">
            <w:pPr>
              <w:pStyle w:val="Text"/>
              <w:spacing w:before="40" w:after="40" w:line="240" w:lineRule="auto"/>
              <w:ind w:left="0" w:right="936"/>
              <w:jc w:val="center"/>
              <w:rPr>
                <w:b/>
              </w:rPr>
            </w:pPr>
            <w:r w:rsidRPr="00D33B70">
              <w:rPr>
                <w:b/>
              </w:rPr>
              <w:t>Flood Affected Property Floors *</w:t>
            </w:r>
          </w:p>
        </w:tc>
      </w:tr>
      <w:tr w:rsidR="006A26F2" w:rsidRPr="00D33B70" w:rsidTr="00CB43CE">
        <w:trPr>
          <w:jc w:val="center"/>
        </w:trPr>
        <w:tc>
          <w:tcPr>
            <w:tcW w:w="2426" w:type="dxa"/>
            <w:vMerge/>
            <w:tcBorders>
              <w:left w:val="single" w:sz="6" w:space="0" w:color="auto"/>
              <w:bottom w:val="single" w:sz="6" w:space="0" w:color="auto"/>
              <w:right w:val="single" w:sz="6" w:space="0" w:color="auto"/>
            </w:tcBorders>
            <w:vAlign w:val="center"/>
          </w:tcPr>
          <w:p w:rsidR="006A26F2" w:rsidRPr="00D33B70" w:rsidRDefault="006A26F2" w:rsidP="006A26F2">
            <w:pPr>
              <w:pStyle w:val="Text"/>
              <w:spacing w:before="40" w:after="40" w:line="240" w:lineRule="auto"/>
              <w:ind w:left="0" w:right="31"/>
              <w:jc w:val="left"/>
              <w:rPr>
                <w:b/>
              </w:rPr>
            </w:pPr>
          </w:p>
        </w:tc>
        <w:tc>
          <w:tcPr>
            <w:tcW w:w="1843" w:type="dxa"/>
            <w:tcBorders>
              <w:top w:val="single" w:sz="6" w:space="0" w:color="auto"/>
              <w:left w:val="single" w:sz="6" w:space="0" w:color="auto"/>
              <w:bottom w:val="single" w:sz="6" w:space="0" w:color="auto"/>
              <w:right w:val="single" w:sz="6" w:space="0" w:color="auto"/>
            </w:tcBorders>
            <w:shd w:val="pct10" w:color="auto" w:fill="auto"/>
            <w:vAlign w:val="center"/>
          </w:tcPr>
          <w:p w:rsidR="006A26F2" w:rsidRPr="00D33B70" w:rsidRDefault="006A26F2" w:rsidP="00E060C9">
            <w:pPr>
              <w:pStyle w:val="Text"/>
              <w:tabs>
                <w:tab w:val="left" w:pos="2443"/>
              </w:tabs>
              <w:spacing w:before="40" w:after="40" w:line="240" w:lineRule="auto"/>
              <w:ind w:left="0"/>
              <w:jc w:val="center"/>
              <w:rPr>
                <w:b/>
              </w:rPr>
            </w:pPr>
            <w:r w:rsidRPr="00D33B70">
              <w:rPr>
                <w:b/>
              </w:rPr>
              <w:t>20% AEP</w:t>
            </w:r>
          </w:p>
        </w:tc>
        <w:tc>
          <w:tcPr>
            <w:tcW w:w="1843" w:type="dxa"/>
            <w:tcBorders>
              <w:top w:val="single" w:sz="6" w:space="0" w:color="auto"/>
              <w:left w:val="single" w:sz="6" w:space="0" w:color="auto"/>
              <w:bottom w:val="single" w:sz="6" w:space="0" w:color="auto"/>
              <w:right w:val="single" w:sz="6" w:space="0" w:color="auto"/>
            </w:tcBorders>
            <w:shd w:val="pct10" w:color="auto" w:fill="auto"/>
            <w:vAlign w:val="center"/>
          </w:tcPr>
          <w:p w:rsidR="006A26F2" w:rsidRPr="00D33B70" w:rsidRDefault="006A26F2" w:rsidP="00E060C9">
            <w:pPr>
              <w:pStyle w:val="Text"/>
              <w:spacing w:before="40" w:after="40" w:line="240" w:lineRule="auto"/>
              <w:ind w:left="0" w:right="42"/>
              <w:jc w:val="center"/>
              <w:rPr>
                <w:b/>
              </w:rPr>
            </w:pPr>
            <w:r w:rsidRPr="00D33B70">
              <w:rPr>
                <w:b/>
              </w:rPr>
              <w:t>10% AEP</w:t>
            </w:r>
          </w:p>
        </w:tc>
        <w:tc>
          <w:tcPr>
            <w:tcW w:w="1842" w:type="dxa"/>
            <w:tcBorders>
              <w:top w:val="single" w:sz="6" w:space="0" w:color="auto"/>
              <w:left w:val="single" w:sz="6" w:space="0" w:color="auto"/>
              <w:bottom w:val="single" w:sz="6" w:space="0" w:color="auto"/>
              <w:right w:val="single" w:sz="6" w:space="0" w:color="auto"/>
            </w:tcBorders>
            <w:shd w:val="pct10" w:color="auto" w:fill="auto"/>
            <w:vAlign w:val="center"/>
          </w:tcPr>
          <w:p w:rsidR="006A26F2" w:rsidRPr="00D33B70" w:rsidRDefault="006A26F2" w:rsidP="00E060C9">
            <w:pPr>
              <w:pStyle w:val="Text"/>
              <w:tabs>
                <w:tab w:val="left" w:pos="1876"/>
              </w:tabs>
              <w:spacing w:before="40" w:after="40" w:line="240" w:lineRule="auto"/>
              <w:ind w:left="0"/>
              <w:jc w:val="center"/>
              <w:rPr>
                <w:b/>
              </w:rPr>
            </w:pPr>
            <w:r w:rsidRPr="00D33B70">
              <w:rPr>
                <w:b/>
              </w:rPr>
              <w:t>5% AEP</w:t>
            </w:r>
          </w:p>
        </w:tc>
        <w:tc>
          <w:tcPr>
            <w:tcW w:w="1717" w:type="dxa"/>
            <w:tcBorders>
              <w:top w:val="single" w:sz="6" w:space="0" w:color="auto"/>
              <w:left w:val="single" w:sz="6" w:space="0" w:color="auto"/>
              <w:bottom w:val="single" w:sz="6" w:space="0" w:color="auto"/>
              <w:right w:val="single" w:sz="6" w:space="0" w:color="auto"/>
            </w:tcBorders>
            <w:shd w:val="pct10" w:color="auto" w:fill="auto"/>
          </w:tcPr>
          <w:p w:rsidR="006A26F2" w:rsidRPr="00D33B70" w:rsidRDefault="006A26F2" w:rsidP="00E060C9">
            <w:pPr>
              <w:pStyle w:val="Text"/>
              <w:tabs>
                <w:tab w:val="left" w:pos="1876"/>
              </w:tabs>
              <w:spacing w:before="40" w:after="40" w:line="240" w:lineRule="auto"/>
              <w:ind w:left="0"/>
              <w:jc w:val="center"/>
              <w:rPr>
                <w:b/>
              </w:rPr>
            </w:pPr>
            <w:r w:rsidRPr="00D33B70">
              <w:rPr>
                <w:b/>
              </w:rPr>
              <w:t>1% AEP</w:t>
            </w:r>
          </w:p>
        </w:tc>
      </w:tr>
      <w:tr w:rsidR="00E060C9" w:rsidRPr="00D33B70" w:rsidTr="006A26F2">
        <w:trPr>
          <w:jc w:val="center"/>
        </w:trPr>
        <w:tc>
          <w:tcPr>
            <w:tcW w:w="2426" w:type="dxa"/>
            <w:tcBorders>
              <w:top w:val="single" w:sz="6" w:space="0" w:color="auto"/>
              <w:left w:val="single" w:sz="6" w:space="0" w:color="auto"/>
              <w:bottom w:val="single" w:sz="6" w:space="0" w:color="auto"/>
              <w:right w:val="single" w:sz="6" w:space="0" w:color="auto"/>
            </w:tcBorders>
            <w:vAlign w:val="center"/>
          </w:tcPr>
          <w:p w:rsidR="00E060C9" w:rsidRPr="00D33B70" w:rsidRDefault="00E060C9" w:rsidP="006A26F2">
            <w:pPr>
              <w:pStyle w:val="Text"/>
              <w:spacing w:before="40" w:after="40" w:line="240" w:lineRule="auto"/>
              <w:ind w:left="0" w:right="31"/>
              <w:jc w:val="left"/>
              <w:rPr>
                <w:b/>
              </w:rPr>
            </w:pPr>
            <w:r w:rsidRPr="00D33B70">
              <w:rPr>
                <w:b/>
              </w:rPr>
              <w:t>Existing Conditions</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E060C9" w:rsidRPr="00D33B70" w:rsidRDefault="006A26F2" w:rsidP="00E060C9">
            <w:pPr>
              <w:pStyle w:val="Text"/>
              <w:spacing w:before="40" w:after="40" w:line="240" w:lineRule="auto"/>
              <w:ind w:left="0" w:right="31"/>
              <w:jc w:val="center"/>
              <w:rPr>
                <w:b/>
              </w:rPr>
            </w:pPr>
            <w:r w:rsidRPr="00D33B70">
              <w:rPr>
                <w:b/>
              </w:rPr>
              <w:t>14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E060C9" w:rsidRPr="00D33B70" w:rsidRDefault="006A26F2" w:rsidP="00E060C9">
            <w:pPr>
              <w:pStyle w:val="Text"/>
              <w:spacing w:before="40" w:after="40" w:line="240" w:lineRule="auto"/>
              <w:ind w:left="0" w:right="31"/>
              <w:jc w:val="center"/>
              <w:rPr>
                <w:b/>
              </w:rPr>
            </w:pPr>
            <w:r w:rsidRPr="00D33B70">
              <w:rPr>
                <w:b/>
              </w:rPr>
              <w:t>16</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rsidR="00E060C9" w:rsidRPr="00D33B70" w:rsidRDefault="006A26F2" w:rsidP="00E060C9">
            <w:pPr>
              <w:pStyle w:val="Text"/>
              <w:spacing w:before="40" w:after="40" w:line="240" w:lineRule="auto"/>
              <w:ind w:left="0" w:right="31"/>
              <w:jc w:val="center"/>
              <w:rPr>
                <w:b/>
              </w:rPr>
            </w:pPr>
            <w:r w:rsidRPr="00D33B70">
              <w:rPr>
                <w:b/>
              </w:rPr>
              <w:t>22</w:t>
            </w: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E060C9" w:rsidRPr="00D33B70" w:rsidRDefault="006A26F2" w:rsidP="00E060C9">
            <w:pPr>
              <w:pStyle w:val="Text"/>
              <w:spacing w:before="40" w:after="40" w:line="240" w:lineRule="auto"/>
              <w:ind w:left="0" w:right="31"/>
              <w:jc w:val="center"/>
              <w:rPr>
                <w:b/>
              </w:rPr>
            </w:pPr>
            <w:r w:rsidRPr="00D33B70">
              <w:rPr>
                <w:b/>
              </w:rPr>
              <w:t>3</w:t>
            </w:r>
            <w:r w:rsidR="00E060C9" w:rsidRPr="00D33B70">
              <w:rPr>
                <w:b/>
              </w:rPr>
              <w:t>5</w:t>
            </w:r>
          </w:p>
        </w:tc>
      </w:tr>
      <w:tr w:rsidR="00E060C9" w:rsidRPr="00D33B70" w:rsidTr="00E060C9">
        <w:trPr>
          <w:jc w:val="center"/>
        </w:trPr>
        <w:tc>
          <w:tcPr>
            <w:tcW w:w="2426" w:type="dxa"/>
            <w:tcBorders>
              <w:top w:val="single" w:sz="6" w:space="0" w:color="auto"/>
              <w:left w:val="single" w:sz="6" w:space="0" w:color="auto"/>
              <w:bottom w:val="single" w:sz="6" w:space="0" w:color="auto"/>
              <w:right w:val="single" w:sz="6" w:space="0" w:color="auto"/>
            </w:tcBorders>
            <w:vAlign w:val="center"/>
          </w:tcPr>
          <w:p w:rsidR="00E060C9" w:rsidRPr="00D33B70" w:rsidRDefault="00E060C9" w:rsidP="006A26F2">
            <w:pPr>
              <w:pStyle w:val="Text"/>
              <w:spacing w:before="40" w:after="40" w:line="240" w:lineRule="auto"/>
              <w:ind w:left="0" w:right="31"/>
              <w:jc w:val="left"/>
            </w:pPr>
            <w:r w:rsidRPr="00D33B70">
              <w:t>Scheme One</w:t>
            </w:r>
          </w:p>
        </w:tc>
        <w:tc>
          <w:tcPr>
            <w:tcW w:w="1843" w:type="dxa"/>
            <w:tcBorders>
              <w:top w:val="single" w:sz="6" w:space="0" w:color="auto"/>
              <w:left w:val="single" w:sz="6" w:space="0" w:color="auto"/>
              <w:bottom w:val="single" w:sz="6" w:space="0" w:color="auto"/>
              <w:right w:val="single" w:sz="6" w:space="0" w:color="auto"/>
            </w:tcBorders>
            <w:vAlign w:val="center"/>
          </w:tcPr>
          <w:p w:rsidR="00E060C9" w:rsidRPr="00D33B70" w:rsidRDefault="006A26F2" w:rsidP="00E060C9">
            <w:pPr>
              <w:pStyle w:val="Text"/>
              <w:tabs>
                <w:tab w:val="left" w:pos="2443"/>
              </w:tabs>
              <w:spacing w:before="40" w:after="40" w:line="240" w:lineRule="auto"/>
              <w:ind w:left="0"/>
              <w:jc w:val="center"/>
            </w:pPr>
            <w:r w:rsidRPr="00D33B70">
              <w:t>14</w:t>
            </w:r>
          </w:p>
        </w:tc>
        <w:tc>
          <w:tcPr>
            <w:tcW w:w="1843" w:type="dxa"/>
            <w:tcBorders>
              <w:top w:val="single" w:sz="6" w:space="0" w:color="auto"/>
              <w:left w:val="single" w:sz="6" w:space="0" w:color="auto"/>
              <w:bottom w:val="single" w:sz="6" w:space="0" w:color="auto"/>
              <w:right w:val="single" w:sz="6" w:space="0" w:color="auto"/>
            </w:tcBorders>
            <w:vAlign w:val="center"/>
          </w:tcPr>
          <w:p w:rsidR="00E060C9" w:rsidRPr="00D33B70" w:rsidRDefault="006A26F2" w:rsidP="00E060C9">
            <w:pPr>
              <w:pStyle w:val="Text"/>
              <w:spacing w:before="40" w:after="40" w:line="240" w:lineRule="auto"/>
              <w:ind w:left="0" w:right="42"/>
              <w:jc w:val="center"/>
            </w:pPr>
            <w:r w:rsidRPr="00D33B70">
              <w:t>16</w:t>
            </w:r>
          </w:p>
        </w:tc>
        <w:tc>
          <w:tcPr>
            <w:tcW w:w="1842" w:type="dxa"/>
            <w:tcBorders>
              <w:top w:val="single" w:sz="6" w:space="0" w:color="auto"/>
              <w:left w:val="single" w:sz="6" w:space="0" w:color="auto"/>
              <w:bottom w:val="single" w:sz="6" w:space="0" w:color="auto"/>
              <w:right w:val="single" w:sz="6" w:space="0" w:color="auto"/>
            </w:tcBorders>
            <w:vAlign w:val="center"/>
          </w:tcPr>
          <w:p w:rsidR="00E060C9" w:rsidRPr="00D33B70" w:rsidRDefault="006A26F2" w:rsidP="00E060C9">
            <w:pPr>
              <w:pStyle w:val="Text"/>
              <w:tabs>
                <w:tab w:val="left" w:pos="1876"/>
              </w:tabs>
              <w:spacing w:before="40" w:after="40" w:line="240" w:lineRule="auto"/>
              <w:ind w:left="0"/>
              <w:jc w:val="center"/>
            </w:pPr>
            <w:r w:rsidRPr="00D33B70">
              <w:t>21</w:t>
            </w:r>
          </w:p>
        </w:tc>
        <w:tc>
          <w:tcPr>
            <w:tcW w:w="1717" w:type="dxa"/>
            <w:tcBorders>
              <w:top w:val="single" w:sz="6" w:space="0" w:color="auto"/>
              <w:left w:val="single" w:sz="6" w:space="0" w:color="auto"/>
              <w:bottom w:val="single" w:sz="6" w:space="0" w:color="auto"/>
              <w:right w:val="single" w:sz="6" w:space="0" w:color="auto"/>
            </w:tcBorders>
          </w:tcPr>
          <w:p w:rsidR="00E060C9" w:rsidRPr="00D33B70" w:rsidRDefault="006A26F2" w:rsidP="00E060C9">
            <w:pPr>
              <w:pStyle w:val="Text"/>
              <w:tabs>
                <w:tab w:val="left" w:pos="1876"/>
              </w:tabs>
              <w:spacing w:before="40" w:after="40" w:line="240" w:lineRule="auto"/>
              <w:ind w:left="0"/>
              <w:jc w:val="center"/>
            </w:pPr>
            <w:r w:rsidRPr="00D33B70">
              <w:t>33</w:t>
            </w:r>
          </w:p>
        </w:tc>
      </w:tr>
      <w:tr w:rsidR="00E060C9" w:rsidRPr="00D33B70" w:rsidTr="00E060C9">
        <w:trPr>
          <w:jc w:val="center"/>
        </w:trPr>
        <w:tc>
          <w:tcPr>
            <w:tcW w:w="2426" w:type="dxa"/>
            <w:tcBorders>
              <w:top w:val="single" w:sz="6" w:space="0" w:color="auto"/>
              <w:left w:val="single" w:sz="6" w:space="0" w:color="auto"/>
              <w:bottom w:val="single" w:sz="6" w:space="0" w:color="auto"/>
              <w:right w:val="single" w:sz="6" w:space="0" w:color="auto"/>
            </w:tcBorders>
            <w:vAlign w:val="center"/>
          </w:tcPr>
          <w:p w:rsidR="00E060C9" w:rsidRPr="00D33B70" w:rsidRDefault="00E060C9" w:rsidP="006A26F2">
            <w:pPr>
              <w:pStyle w:val="Text"/>
              <w:spacing w:before="40" w:after="40" w:line="240" w:lineRule="auto"/>
              <w:ind w:left="0" w:right="31"/>
              <w:jc w:val="left"/>
            </w:pPr>
            <w:r w:rsidRPr="00D33B70">
              <w:t>Scheme Two</w:t>
            </w:r>
          </w:p>
        </w:tc>
        <w:tc>
          <w:tcPr>
            <w:tcW w:w="1843" w:type="dxa"/>
            <w:tcBorders>
              <w:top w:val="single" w:sz="6" w:space="0" w:color="auto"/>
              <w:left w:val="single" w:sz="6" w:space="0" w:color="auto"/>
              <w:bottom w:val="single" w:sz="6" w:space="0" w:color="auto"/>
              <w:right w:val="single" w:sz="6" w:space="0" w:color="auto"/>
            </w:tcBorders>
            <w:vAlign w:val="center"/>
          </w:tcPr>
          <w:p w:rsidR="00E060C9" w:rsidRPr="00D33B70" w:rsidRDefault="006A26F2" w:rsidP="00E060C9">
            <w:pPr>
              <w:pStyle w:val="Text"/>
              <w:tabs>
                <w:tab w:val="left" w:pos="2443"/>
              </w:tabs>
              <w:spacing w:before="40" w:after="40" w:line="240" w:lineRule="auto"/>
              <w:ind w:left="0"/>
              <w:jc w:val="center"/>
            </w:pPr>
            <w:r w:rsidRPr="00D33B70">
              <w:t>13</w:t>
            </w:r>
          </w:p>
        </w:tc>
        <w:tc>
          <w:tcPr>
            <w:tcW w:w="1843" w:type="dxa"/>
            <w:tcBorders>
              <w:top w:val="single" w:sz="6" w:space="0" w:color="auto"/>
              <w:left w:val="single" w:sz="6" w:space="0" w:color="auto"/>
              <w:bottom w:val="single" w:sz="6" w:space="0" w:color="auto"/>
              <w:right w:val="single" w:sz="6" w:space="0" w:color="auto"/>
            </w:tcBorders>
            <w:vAlign w:val="center"/>
          </w:tcPr>
          <w:p w:rsidR="00E060C9" w:rsidRPr="00D33B70" w:rsidRDefault="006A26F2" w:rsidP="00E060C9">
            <w:pPr>
              <w:pStyle w:val="Text"/>
              <w:spacing w:before="40" w:after="40" w:line="240" w:lineRule="auto"/>
              <w:ind w:left="0" w:right="42"/>
              <w:jc w:val="center"/>
            </w:pPr>
            <w:r w:rsidRPr="00D33B70">
              <w:t>15</w:t>
            </w:r>
          </w:p>
        </w:tc>
        <w:tc>
          <w:tcPr>
            <w:tcW w:w="1842" w:type="dxa"/>
            <w:tcBorders>
              <w:top w:val="single" w:sz="6" w:space="0" w:color="auto"/>
              <w:left w:val="single" w:sz="6" w:space="0" w:color="auto"/>
              <w:bottom w:val="single" w:sz="6" w:space="0" w:color="auto"/>
              <w:right w:val="single" w:sz="6" w:space="0" w:color="auto"/>
            </w:tcBorders>
            <w:vAlign w:val="center"/>
          </w:tcPr>
          <w:p w:rsidR="00E060C9" w:rsidRPr="00D33B70" w:rsidRDefault="006A26F2" w:rsidP="00E060C9">
            <w:pPr>
              <w:pStyle w:val="Text"/>
              <w:tabs>
                <w:tab w:val="left" w:pos="1876"/>
              </w:tabs>
              <w:spacing w:before="40" w:after="40" w:line="240" w:lineRule="auto"/>
              <w:ind w:left="0"/>
              <w:jc w:val="center"/>
            </w:pPr>
            <w:r w:rsidRPr="00D33B70">
              <w:t>21</w:t>
            </w:r>
          </w:p>
        </w:tc>
        <w:tc>
          <w:tcPr>
            <w:tcW w:w="1717" w:type="dxa"/>
            <w:tcBorders>
              <w:top w:val="single" w:sz="6" w:space="0" w:color="auto"/>
              <w:left w:val="single" w:sz="6" w:space="0" w:color="auto"/>
              <w:bottom w:val="single" w:sz="6" w:space="0" w:color="auto"/>
              <w:right w:val="single" w:sz="6" w:space="0" w:color="auto"/>
            </w:tcBorders>
          </w:tcPr>
          <w:p w:rsidR="00E060C9" w:rsidRPr="00D33B70" w:rsidRDefault="006A26F2" w:rsidP="00E060C9">
            <w:pPr>
              <w:pStyle w:val="Text"/>
              <w:tabs>
                <w:tab w:val="left" w:pos="1876"/>
              </w:tabs>
              <w:spacing w:before="40" w:after="40" w:line="240" w:lineRule="auto"/>
              <w:ind w:left="0"/>
              <w:jc w:val="center"/>
            </w:pPr>
            <w:r w:rsidRPr="00D33B70">
              <w:t>30</w:t>
            </w:r>
          </w:p>
        </w:tc>
      </w:tr>
      <w:tr w:rsidR="00E060C9" w:rsidRPr="00D33B70" w:rsidTr="00E060C9">
        <w:trPr>
          <w:jc w:val="center"/>
        </w:trPr>
        <w:tc>
          <w:tcPr>
            <w:tcW w:w="2426" w:type="dxa"/>
            <w:tcBorders>
              <w:top w:val="single" w:sz="6" w:space="0" w:color="auto"/>
              <w:left w:val="single" w:sz="6" w:space="0" w:color="auto"/>
              <w:bottom w:val="single" w:sz="6" w:space="0" w:color="auto"/>
              <w:right w:val="single" w:sz="6" w:space="0" w:color="auto"/>
            </w:tcBorders>
            <w:vAlign w:val="center"/>
          </w:tcPr>
          <w:p w:rsidR="00E060C9" w:rsidRPr="00D33B70" w:rsidRDefault="00E060C9" w:rsidP="006A26F2">
            <w:pPr>
              <w:pStyle w:val="Text"/>
              <w:spacing w:before="40" w:after="40" w:line="240" w:lineRule="auto"/>
              <w:ind w:left="0" w:right="31"/>
              <w:jc w:val="left"/>
            </w:pPr>
            <w:r w:rsidRPr="00D33B70">
              <w:t>Scheme Three</w:t>
            </w:r>
          </w:p>
        </w:tc>
        <w:tc>
          <w:tcPr>
            <w:tcW w:w="1843" w:type="dxa"/>
            <w:tcBorders>
              <w:top w:val="single" w:sz="6" w:space="0" w:color="auto"/>
              <w:left w:val="single" w:sz="6" w:space="0" w:color="auto"/>
              <w:bottom w:val="single" w:sz="6" w:space="0" w:color="auto"/>
              <w:right w:val="single" w:sz="6" w:space="0" w:color="auto"/>
            </w:tcBorders>
            <w:vAlign w:val="center"/>
          </w:tcPr>
          <w:p w:rsidR="00E060C9" w:rsidRPr="00D33B70" w:rsidRDefault="006A26F2" w:rsidP="00E060C9">
            <w:pPr>
              <w:pStyle w:val="Text"/>
              <w:tabs>
                <w:tab w:val="left" w:pos="2443"/>
              </w:tabs>
              <w:spacing w:before="40" w:after="40" w:line="240" w:lineRule="auto"/>
              <w:ind w:left="0"/>
              <w:jc w:val="center"/>
            </w:pPr>
            <w:r w:rsidRPr="00D33B70">
              <w:t>13</w:t>
            </w:r>
          </w:p>
        </w:tc>
        <w:tc>
          <w:tcPr>
            <w:tcW w:w="1843" w:type="dxa"/>
            <w:tcBorders>
              <w:top w:val="single" w:sz="6" w:space="0" w:color="auto"/>
              <w:left w:val="single" w:sz="6" w:space="0" w:color="auto"/>
              <w:bottom w:val="single" w:sz="6" w:space="0" w:color="auto"/>
              <w:right w:val="single" w:sz="6" w:space="0" w:color="auto"/>
            </w:tcBorders>
            <w:vAlign w:val="center"/>
          </w:tcPr>
          <w:p w:rsidR="00E060C9" w:rsidRPr="00D33B70" w:rsidRDefault="006A26F2" w:rsidP="00E060C9">
            <w:pPr>
              <w:pStyle w:val="Text"/>
              <w:spacing w:before="40" w:after="40" w:line="240" w:lineRule="auto"/>
              <w:ind w:left="0" w:right="42"/>
              <w:jc w:val="center"/>
            </w:pPr>
            <w:r w:rsidRPr="00D33B70">
              <w:t>15</w:t>
            </w:r>
          </w:p>
        </w:tc>
        <w:tc>
          <w:tcPr>
            <w:tcW w:w="1842" w:type="dxa"/>
            <w:tcBorders>
              <w:top w:val="single" w:sz="6" w:space="0" w:color="auto"/>
              <w:left w:val="single" w:sz="6" w:space="0" w:color="auto"/>
              <w:bottom w:val="single" w:sz="6" w:space="0" w:color="auto"/>
              <w:right w:val="single" w:sz="6" w:space="0" w:color="auto"/>
            </w:tcBorders>
            <w:vAlign w:val="center"/>
          </w:tcPr>
          <w:p w:rsidR="00E060C9" w:rsidRPr="00D33B70" w:rsidRDefault="006A26F2" w:rsidP="00E060C9">
            <w:pPr>
              <w:pStyle w:val="Text"/>
              <w:tabs>
                <w:tab w:val="left" w:pos="1876"/>
              </w:tabs>
              <w:spacing w:before="40" w:after="40" w:line="240" w:lineRule="auto"/>
              <w:ind w:left="0"/>
              <w:jc w:val="center"/>
            </w:pPr>
            <w:r w:rsidRPr="00D33B70">
              <w:t>20</w:t>
            </w:r>
          </w:p>
        </w:tc>
        <w:tc>
          <w:tcPr>
            <w:tcW w:w="1717" w:type="dxa"/>
            <w:tcBorders>
              <w:top w:val="single" w:sz="6" w:space="0" w:color="auto"/>
              <w:left w:val="single" w:sz="6" w:space="0" w:color="auto"/>
              <w:bottom w:val="single" w:sz="6" w:space="0" w:color="auto"/>
              <w:right w:val="single" w:sz="6" w:space="0" w:color="auto"/>
            </w:tcBorders>
            <w:vAlign w:val="center"/>
          </w:tcPr>
          <w:p w:rsidR="00E060C9" w:rsidRPr="00D33B70" w:rsidRDefault="006A26F2" w:rsidP="00E060C9">
            <w:pPr>
              <w:pStyle w:val="Text"/>
              <w:tabs>
                <w:tab w:val="left" w:pos="1876"/>
              </w:tabs>
              <w:spacing w:before="40" w:after="40" w:line="240" w:lineRule="auto"/>
              <w:ind w:left="0"/>
              <w:jc w:val="center"/>
            </w:pPr>
            <w:r w:rsidRPr="00D33B70">
              <w:t>29</w:t>
            </w:r>
          </w:p>
        </w:tc>
      </w:tr>
      <w:tr w:rsidR="006A26F2" w:rsidRPr="00D33B70" w:rsidTr="00E060C9">
        <w:trPr>
          <w:jc w:val="center"/>
        </w:trPr>
        <w:tc>
          <w:tcPr>
            <w:tcW w:w="2426" w:type="dxa"/>
            <w:tcBorders>
              <w:top w:val="single" w:sz="6" w:space="0" w:color="auto"/>
              <w:left w:val="single" w:sz="6" w:space="0" w:color="auto"/>
              <w:bottom w:val="single" w:sz="6" w:space="0" w:color="auto"/>
              <w:right w:val="single" w:sz="6" w:space="0" w:color="auto"/>
            </w:tcBorders>
            <w:vAlign w:val="center"/>
          </w:tcPr>
          <w:p w:rsidR="0097043C" w:rsidRPr="00D33B70" w:rsidRDefault="006A26F2" w:rsidP="00CB43CE">
            <w:pPr>
              <w:pStyle w:val="Text"/>
              <w:spacing w:before="40" w:after="40" w:line="240" w:lineRule="auto"/>
              <w:ind w:left="0" w:right="31"/>
              <w:jc w:val="left"/>
            </w:pPr>
            <w:r w:rsidRPr="00D33B70">
              <w:t xml:space="preserve">Scheme Four </w:t>
            </w:r>
          </w:p>
          <w:p w:rsidR="006A26F2" w:rsidRPr="00D33B70" w:rsidRDefault="006A26F2" w:rsidP="00CB43CE">
            <w:pPr>
              <w:pStyle w:val="Text"/>
              <w:spacing w:before="40" w:after="40" w:line="240" w:lineRule="auto"/>
              <w:ind w:left="0" w:right="31"/>
              <w:jc w:val="left"/>
            </w:pPr>
            <w:r w:rsidRPr="00D33B70">
              <w:t>(</w:t>
            </w:r>
            <w:r w:rsidR="00CB43CE" w:rsidRPr="00D33B70">
              <w:t>No Structural Works</w:t>
            </w:r>
            <w:r w:rsidRPr="00D33B70">
              <w:t>)</w:t>
            </w:r>
          </w:p>
        </w:tc>
        <w:tc>
          <w:tcPr>
            <w:tcW w:w="1843" w:type="dxa"/>
            <w:tcBorders>
              <w:top w:val="single" w:sz="6" w:space="0" w:color="auto"/>
              <w:left w:val="single" w:sz="6" w:space="0" w:color="auto"/>
              <w:bottom w:val="single" w:sz="6" w:space="0" w:color="auto"/>
              <w:right w:val="single" w:sz="6" w:space="0" w:color="auto"/>
            </w:tcBorders>
            <w:vAlign w:val="center"/>
          </w:tcPr>
          <w:p w:rsidR="006A26F2" w:rsidRPr="00D33B70" w:rsidRDefault="006A26F2" w:rsidP="00CB43CE">
            <w:pPr>
              <w:pStyle w:val="Text"/>
              <w:spacing w:before="40" w:after="40" w:line="240" w:lineRule="auto"/>
              <w:ind w:left="0" w:right="31"/>
              <w:jc w:val="center"/>
            </w:pPr>
            <w:r w:rsidRPr="00D33B70">
              <w:t>14</w:t>
            </w:r>
          </w:p>
        </w:tc>
        <w:tc>
          <w:tcPr>
            <w:tcW w:w="1843" w:type="dxa"/>
            <w:tcBorders>
              <w:top w:val="single" w:sz="6" w:space="0" w:color="auto"/>
              <w:left w:val="single" w:sz="6" w:space="0" w:color="auto"/>
              <w:bottom w:val="single" w:sz="6" w:space="0" w:color="auto"/>
              <w:right w:val="single" w:sz="6" w:space="0" w:color="auto"/>
            </w:tcBorders>
            <w:vAlign w:val="center"/>
          </w:tcPr>
          <w:p w:rsidR="006A26F2" w:rsidRPr="00D33B70" w:rsidRDefault="006A26F2" w:rsidP="00CB43CE">
            <w:pPr>
              <w:pStyle w:val="Text"/>
              <w:spacing w:before="40" w:after="40" w:line="240" w:lineRule="auto"/>
              <w:ind w:left="0" w:right="31"/>
              <w:jc w:val="center"/>
            </w:pPr>
            <w:r w:rsidRPr="00D33B70">
              <w:t>16</w:t>
            </w:r>
          </w:p>
        </w:tc>
        <w:tc>
          <w:tcPr>
            <w:tcW w:w="1842" w:type="dxa"/>
            <w:tcBorders>
              <w:top w:val="single" w:sz="6" w:space="0" w:color="auto"/>
              <w:left w:val="single" w:sz="6" w:space="0" w:color="auto"/>
              <w:bottom w:val="single" w:sz="6" w:space="0" w:color="auto"/>
              <w:right w:val="single" w:sz="6" w:space="0" w:color="auto"/>
            </w:tcBorders>
            <w:vAlign w:val="center"/>
          </w:tcPr>
          <w:p w:rsidR="006A26F2" w:rsidRPr="00D33B70" w:rsidRDefault="006A26F2" w:rsidP="00CB43CE">
            <w:pPr>
              <w:pStyle w:val="Text"/>
              <w:spacing w:before="40" w:after="40" w:line="240" w:lineRule="auto"/>
              <w:ind w:left="0" w:right="31"/>
              <w:jc w:val="center"/>
            </w:pPr>
            <w:r w:rsidRPr="00D33B70">
              <w:t>22</w:t>
            </w:r>
          </w:p>
        </w:tc>
        <w:tc>
          <w:tcPr>
            <w:tcW w:w="1717" w:type="dxa"/>
            <w:tcBorders>
              <w:top w:val="single" w:sz="6" w:space="0" w:color="auto"/>
              <w:left w:val="single" w:sz="6" w:space="0" w:color="auto"/>
              <w:bottom w:val="single" w:sz="6" w:space="0" w:color="auto"/>
              <w:right w:val="single" w:sz="6" w:space="0" w:color="auto"/>
            </w:tcBorders>
            <w:vAlign w:val="center"/>
          </w:tcPr>
          <w:p w:rsidR="006A26F2" w:rsidRPr="00D33B70" w:rsidRDefault="006A26F2" w:rsidP="00CB43CE">
            <w:pPr>
              <w:pStyle w:val="Text"/>
              <w:spacing w:before="40" w:after="40" w:line="240" w:lineRule="auto"/>
              <w:ind w:left="0" w:right="31"/>
              <w:jc w:val="center"/>
            </w:pPr>
            <w:r w:rsidRPr="00D33B70">
              <w:t>35</w:t>
            </w:r>
          </w:p>
        </w:tc>
      </w:tr>
    </w:tbl>
    <w:p w:rsidR="00E060C9" w:rsidRPr="00D33B70" w:rsidRDefault="00E060C9" w:rsidP="006A26F2">
      <w:pPr>
        <w:pStyle w:val="Text1"/>
        <w:ind w:left="0" w:firstLine="0"/>
      </w:pPr>
      <w:r w:rsidRPr="00D33B70">
        <w:t xml:space="preserve"> *</w:t>
      </w:r>
      <w:r w:rsidRPr="00D33B70">
        <w:tab/>
        <w:t>Flood Affected Property Floors are defined as those with flood levels above the surveyed floor level.</w:t>
      </w:r>
    </w:p>
    <w:p w:rsidR="00E060C9" w:rsidRPr="00D33B70" w:rsidRDefault="00E060C9" w:rsidP="00E060C9">
      <w:pPr>
        <w:pStyle w:val="Caption"/>
        <w:ind w:left="0"/>
        <w:outlineLvl w:val="0"/>
      </w:pPr>
      <w:r w:rsidRPr="00D33B70">
        <w:t>Table E-3 Mitigation Option Economic Summary</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1093"/>
        <w:gridCol w:w="1094"/>
        <w:gridCol w:w="1093"/>
        <w:gridCol w:w="1094"/>
        <w:gridCol w:w="1093"/>
        <w:gridCol w:w="1094"/>
        <w:gridCol w:w="1094"/>
        <w:gridCol w:w="850"/>
      </w:tblGrid>
      <w:tr w:rsidR="00E060C9" w:rsidRPr="00D33B70" w:rsidTr="00E060C9">
        <w:tc>
          <w:tcPr>
            <w:tcW w:w="1134" w:type="dxa"/>
            <w:tcBorders>
              <w:top w:val="single" w:sz="6" w:space="0" w:color="auto"/>
              <w:left w:val="single" w:sz="6" w:space="0" w:color="auto"/>
              <w:bottom w:val="single" w:sz="6" w:space="0" w:color="auto"/>
              <w:right w:val="single" w:sz="6" w:space="0" w:color="auto"/>
            </w:tcBorders>
            <w:shd w:val="pct10" w:color="auto" w:fill="auto"/>
            <w:vAlign w:val="center"/>
          </w:tcPr>
          <w:p w:rsidR="00E060C9" w:rsidRPr="00D33B70" w:rsidRDefault="006A26F2" w:rsidP="006A26F2">
            <w:pPr>
              <w:pStyle w:val="Text"/>
              <w:spacing w:before="40" w:after="40" w:line="240" w:lineRule="auto"/>
              <w:ind w:left="0" w:right="31"/>
              <w:jc w:val="left"/>
              <w:rPr>
                <w:b/>
              </w:rPr>
            </w:pPr>
            <w:r w:rsidRPr="00D33B70">
              <w:rPr>
                <w:b/>
              </w:rPr>
              <w:t>Scheme</w:t>
            </w:r>
          </w:p>
        </w:tc>
        <w:tc>
          <w:tcPr>
            <w:tcW w:w="1093" w:type="dxa"/>
            <w:tcBorders>
              <w:top w:val="single" w:sz="6" w:space="0" w:color="auto"/>
              <w:left w:val="single" w:sz="6" w:space="0" w:color="auto"/>
              <w:bottom w:val="single" w:sz="6" w:space="0" w:color="auto"/>
              <w:right w:val="single" w:sz="6" w:space="0" w:color="auto"/>
            </w:tcBorders>
            <w:shd w:val="pct10" w:color="auto" w:fill="auto"/>
            <w:vAlign w:val="center"/>
          </w:tcPr>
          <w:p w:rsidR="00E060C9" w:rsidRPr="00D33B70" w:rsidRDefault="00E060C9" w:rsidP="00E060C9">
            <w:pPr>
              <w:pStyle w:val="Text"/>
              <w:tabs>
                <w:tab w:val="left" w:pos="2443"/>
              </w:tabs>
              <w:spacing w:before="40" w:after="40" w:line="240" w:lineRule="auto"/>
              <w:ind w:left="0"/>
              <w:jc w:val="center"/>
              <w:rPr>
                <w:b/>
              </w:rPr>
            </w:pPr>
            <w:r w:rsidRPr="00D33B70">
              <w:rPr>
                <w:b/>
              </w:rPr>
              <w:t>Annual Damages</w:t>
            </w:r>
          </w:p>
        </w:tc>
        <w:tc>
          <w:tcPr>
            <w:tcW w:w="1094" w:type="dxa"/>
            <w:tcBorders>
              <w:top w:val="single" w:sz="6" w:space="0" w:color="auto"/>
              <w:left w:val="single" w:sz="6" w:space="0" w:color="auto"/>
              <w:bottom w:val="single" w:sz="6" w:space="0" w:color="auto"/>
              <w:right w:val="single" w:sz="6" w:space="0" w:color="auto"/>
            </w:tcBorders>
            <w:shd w:val="pct10" w:color="auto" w:fill="auto"/>
            <w:vAlign w:val="center"/>
          </w:tcPr>
          <w:p w:rsidR="00E060C9" w:rsidRPr="00D33B70" w:rsidRDefault="00E060C9" w:rsidP="00E060C9">
            <w:pPr>
              <w:pStyle w:val="Text"/>
              <w:spacing w:before="40" w:after="40" w:line="240" w:lineRule="auto"/>
              <w:ind w:left="0" w:right="42"/>
              <w:jc w:val="center"/>
              <w:rPr>
                <w:b/>
              </w:rPr>
            </w:pPr>
            <w:r w:rsidRPr="00D33B70">
              <w:rPr>
                <w:b/>
              </w:rPr>
              <w:t>Average Annual Benefit</w:t>
            </w:r>
          </w:p>
        </w:tc>
        <w:tc>
          <w:tcPr>
            <w:tcW w:w="1093" w:type="dxa"/>
            <w:tcBorders>
              <w:top w:val="single" w:sz="6" w:space="0" w:color="auto"/>
              <w:left w:val="single" w:sz="6" w:space="0" w:color="auto"/>
              <w:bottom w:val="single" w:sz="6" w:space="0" w:color="auto"/>
              <w:right w:val="single" w:sz="6" w:space="0" w:color="auto"/>
            </w:tcBorders>
            <w:shd w:val="pct10" w:color="auto" w:fill="auto"/>
            <w:vAlign w:val="center"/>
          </w:tcPr>
          <w:p w:rsidR="00E060C9" w:rsidRPr="00D33B70" w:rsidRDefault="00E060C9" w:rsidP="00E060C9">
            <w:pPr>
              <w:pStyle w:val="Text"/>
              <w:tabs>
                <w:tab w:val="left" w:pos="1876"/>
              </w:tabs>
              <w:spacing w:before="40" w:after="40" w:line="240" w:lineRule="auto"/>
              <w:ind w:left="0"/>
              <w:jc w:val="center"/>
              <w:rPr>
                <w:b/>
              </w:rPr>
            </w:pPr>
            <w:r w:rsidRPr="00D33B70">
              <w:rPr>
                <w:b/>
              </w:rPr>
              <w:t>Total Benefit (NPV)*</w:t>
            </w:r>
          </w:p>
        </w:tc>
        <w:tc>
          <w:tcPr>
            <w:tcW w:w="1094" w:type="dxa"/>
            <w:tcBorders>
              <w:top w:val="single" w:sz="6" w:space="0" w:color="auto"/>
              <w:left w:val="single" w:sz="6" w:space="0" w:color="auto"/>
              <w:bottom w:val="single" w:sz="6" w:space="0" w:color="auto"/>
              <w:right w:val="single" w:sz="6" w:space="0" w:color="auto"/>
            </w:tcBorders>
            <w:shd w:val="pct10" w:color="auto" w:fill="auto"/>
            <w:vAlign w:val="center"/>
          </w:tcPr>
          <w:p w:rsidR="00E060C9" w:rsidRPr="00D33B70" w:rsidRDefault="00E060C9" w:rsidP="00E060C9">
            <w:pPr>
              <w:pStyle w:val="Text"/>
              <w:tabs>
                <w:tab w:val="left" w:pos="1876"/>
              </w:tabs>
              <w:spacing w:before="40" w:after="40" w:line="240" w:lineRule="auto"/>
              <w:ind w:left="0"/>
              <w:jc w:val="center"/>
              <w:rPr>
                <w:b/>
              </w:rPr>
            </w:pPr>
            <w:r w:rsidRPr="00D33B70">
              <w:rPr>
                <w:b/>
              </w:rPr>
              <w:t>Capital Cost</w:t>
            </w:r>
          </w:p>
        </w:tc>
        <w:tc>
          <w:tcPr>
            <w:tcW w:w="1093" w:type="dxa"/>
            <w:tcBorders>
              <w:top w:val="single" w:sz="6" w:space="0" w:color="auto"/>
              <w:left w:val="single" w:sz="6" w:space="0" w:color="auto"/>
              <w:bottom w:val="single" w:sz="6" w:space="0" w:color="auto"/>
              <w:right w:val="single" w:sz="6" w:space="0" w:color="auto"/>
            </w:tcBorders>
            <w:shd w:val="pct10" w:color="auto" w:fill="auto"/>
            <w:vAlign w:val="center"/>
          </w:tcPr>
          <w:p w:rsidR="00E060C9" w:rsidRPr="00D33B70" w:rsidRDefault="00E060C9" w:rsidP="00E060C9">
            <w:pPr>
              <w:pStyle w:val="Text"/>
              <w:tabs>
                <w:tab w:val="left" w:pos="1876"/>
              </w:tabs>
              <w:spacing w:before="40" w:after="40" w:line="240" w:lineRule="auto"/>
              <w:ind w:left="0"/>
              <w:jc w:val="center"/>
              <w:rPr>
                <w:b/>
              </w:rPr>
            </w:pPr>
            <w:r w:rsidRPr="00D33B70">
              <w:rPr>
                <w:b/>
              </w:rPr>
              <w:t>Ongoing Costs over 30 Years (PA)</w:t>
            </w:r>
          </w:p>
        </w:tc>
        <w:tc>
          <w:tcPr>
            <w:tcW w:w="1094" w:type="dxa"/>
            <w:tcBorders>
              <w:top w:val="single" w:sz="6" w:space="0" w:color="auto"/>
              <w:left w:val="single" w:sz="6" w:space="0" w:color="auto"/>
              <w:bottom w:val="single" w:sz="6" w:space="0" w:color="auto"/>
              <w:right w:val="single" w:sz="6" w:space="0" w:color="auto"/>
            </w:tcBorders>
            <w:shd w:val="pct10" w:color="auto" w:fill="auto"/>
            <w:vAlign w:val="center"/>
          </w:tcPr>
          <w:p w:rsidR="00E060C9" w:rsidRPr="00D33B70" w:rsidRDefault="00E060C9" w:rsidP="00E060C9">
            <w:pPr>
              <w:pStyle w:val="Text"/>
              <w:tabs>
                <w:tab w:val="left" w:pos="1876"/>
              </w:tabs>
              <w:spacing w:before="40" w:after="40" w:line="240" w:lineRule="auto"/>
              <w:ind w:left="0"/>
              <w:jc w:val="center"/>
              <w:rPr>
                <w:b/>
              </w:rPr>
            </w:pPr>
            <w:r w:rsidRPr="00D33B70">
              <w:rPr>
                <w:b/>
              </w:rPr>
              <w:t>Ongoing Costs over 30 Years (NPV)*</w:t>
            </w:r>
          </w:p>
        </w:tc>
        <w:tc>
          <w:tcPr>
            <w:tcW w:w="1094" w:type="dxa"/>
            <w:tcBorders>
              <w:top w:val="single" w:sz="6" w:space="0" w:color="auto"/>
              <w:left w:val="single" w:sz="6" w:space="0" w:color="auto"/>
              <w:bottom w:val="single" w:sz="6" w:space="0" w:color="auto"/>
              <w:right w:val="single" w:sz="6" w:space="0" w:color="auto"/>
            </w:tcBorders>
            <w:shd w:val="pct10" w:color="auto" w:fill="auto"/>
            <w:vAlign w:val="center"/>
          </w:tcPr>
          <w:p w:rsidR="00E060C9" w:rsidRPr="00D33B70" w:rsidRDefault="00E060C9" w:rsidP="00E060C9">
            <w:pPr>
              <w:pStyle w:val="Text"/>
              <w:tabs>
                <w:tab w:val="left" w:pos="1876"/>
              </w:tabs>
              <w:spacing w:before="40" w:after="40" w:line="240" w:lineRule="auto"/>
              <w:ind w:left="0"/>
              <w:jc w:val="center"/>
              <w:rPr>
                <w:b/>
              </w:rPr>
            </w:pPr>
            <w:r w:rsidRPr="00D33B70">
              <w:rPr>
                <w:b/>
              </w:rPr>
              <w:t>Total Option Cost</w:t>
            </w:r>
          </w:p>
        </w:tc>
        <w:tc>
          <w:tcPr>
            <w:tcW w:w="850" w:type="dxa"/>
            <w:tcBorders>
              <w:top w:val="single" w:sz="6" w:space="0" w:color="auto"/>
              <w:left w:val="single" w:sz="6" w:space="0" w:color="auto"/>
              <w:bottom w:val="single" w:sz="6" w:space="0" w:color="auto"/>
              <w:right w:val="single" w:sz="6" w:space="0" w:color="auto"/>
            </w:tcBorders>
            <w:shd w:val="pct10" w:color="auto" w:fill="auto"/>
            <w:vAlign w:val="center"/>
          </w:tcPr>
          <w:p w:rsidR="00E060C9" w:rsidRPr="00D33B70" w:rsidRDefault="00E060C9" w:rsidP="00E060C9">
            <w:pPr>
              <w:pStyle w:val="Text"/>
              <w:tabs>
                <w:tab w:val="left" w:pos="1876"/>
              </w:tabs>
              <w:spacing w:before="40" w:after="40" w:line="240" w:lineRule="auto"/>
              <w:ind w:left="0"/>
              <w:jc w:val="center"/>
              <w:rPr>
                <w:b/>
              </w:rPr>
            </w:pPr>
            <w:r w:rsidRPr="00D33B70">
              <w:rPr>
                <w:b/>
              </w:rPr>
              <w:t>BCR</w:t>
            </w:r>
          </w:p>
        </w:tc>
      </w:tr>
      <w:tr w:rsidR="00E060C9" w:rsidRPr="00D33B70" w:rsidTr="00E71675">
        <w:tc>
          <w:tcPr>
            <w:tcW w:w="1134" w:type="dxa"/>
            <w:tcBorders>
              <w:top w:val="single" w:sz="6" w:space="0" w:color="auto"/>
              <w:left w:val="single" w:sz="6" w:space="0" w:color="auto"/>
              <w:bottom w:val="single" w:sz="6" w:space="0" w:color="auto"/>
              <w:right w:val="single" w:sz="6" w:space="0" w:color="auto"/>
            </w:tcBorders>
            <w:vAlign w:val="center"/>
          </w:tcPr>
          <w:p w:rsidR="00E060C9" w:rsidRPr="00D33B70" w:rsidRDefault="00E060C9" w:rsidP="00E71675">
            <w:pPr>
              <w:pStyle w:val="Text"/>
              <w:spacing w:before="40" w:after="40" w:line="240" w:lineRule="auto"/>
              <w:ind w:left="0" w:right="31"/>
              <w:jc w:val="left"/>
            </w:pPr>
            <w:r w:rsidRPr="00D33B70">
              <w:t>One</w:t>
            </w:r>
          </w:p>
        </w:tc>
        <w:tc>
          <w:tcPr>
            <w:tcW w:w="1093" w:type="dxa"/>
            <w:tcBorders>
              <w:top w:val="single" w:sz="6" w:space="0" w:color="auto"/>
              <w:left w:val="single" w:sz="6" w:space="0" w:color="auto"/>
              <w:bottom w:val="single" w:sz="6" w:space="0" w:color="auto"/>
              <w:right w:val="single" w:sz="6" w:space="0" w:color="auto"/>
            </w:tcBorders>
            <w:vAlign w:val="center"/>
          </w:tcPr>
          <w:p w:rsidR="00E060C9" w:rsidRPr="00D33B70" w:rsidRDefault="00E71675" w:rsidP="00E71675">
            <w:pPr>
              <w:pStyle w:val="Text"/>
              <w:tabs>
                <w:tab w:val="left" w:pos="2443"/>
              </w:tabs>
              <w:spacing w:before="40" w:after="40" w:line="240" w:lineRule="auto"/>
              <w:ind w:left="0"/>
              <w:jc w:val="center"/>
              <w:rPr>
                <w:sz w:val="16"/>
              </w:rPr>
            </w:pPr>
            <w:r w:rsidRPr="00D33B70">
              <w:rPr>
                <w:sz w:val="16"/>
              </w:rPr>
              <w:t>$381,000</w:t>
            </w:r>
          </w:p>
        </w:tc>
        <w:tc>
          <w:tcPr>
            <w:tcW w:w="1094" w:type="dxa"/>
            <w:tcBorders>
              <w:top w:val="single" w:sz="6" w:space="0" w:color="auto"/>
              <w:left w:val="single" w:sz="6" w:space="0" w:color="auto"/>
              <w:bottom w:val="single" w:sz="6" w:space="0" w:color="auto"/>
              <w:right w:val="single" w:sz="6" w:space="0" w:color="auto"/>
            </w:tcBorders>
            <w:vAlign w:val="center"/>
          </w:tcPr>
          <w:p w:rsidR="00E060C9" w:rsidRPr="00D33B70" w:rsidRDefault="00E71675" w:rsidP="00E71675">
            <w:pPr>
              <w:jc w:val="center"/>
              <w:rPr>
                <w:rFonts w:cs="Arial"/>
                <w:color w:val="000000"/>
                <w:sz w:val="16"/>
                <w:szCs w:val="22"/>
              </w:rPr>
            </w:pPr>
            <w:r w:rsidRPr="00D33B70">
              <w:rPr>
                <w:rFonts w:cs="Arial"/>
                <w:color w:val="000000"/>
                <w:sz w:val="16"/>
                <w:szCs w:val="22"/>
              </w:rPr>
              <w:t>$8,000</w:t>
            </w:r>
          </w:p>
        </w:tc>
        <w:tc>
          <w:tcPr>
            <w:tcW w:w="1093" w:type="dxa"/>
            <w:tcBorders>
              <w:top w:val="single" w:sz="6" w:space="0" w:color="auto"/>
              <w:left w:val="single" w:sz="6" w:space="0" w:color="auto"/>
              <w:bottom w:val="single" w:sz="6" w:space="0" w:color="auto"/>
              <w:right w:val="single" w:sz="6" w:space="0" w:color="auto"/>
            </w:tcBorders>
            <w:vAlign w:val="center"/>
          </w:tcPr>
          <w:p w:rsidR="00E060C9" w:rsidRPr="00D33B70" w:rsidRDefault="00E71675" w:rsidP="00E71675">
            <w:pPr>
              <w:jc w:val="center"/>
              <w:rPr>
                <w:rFonts w:cs="Arial"/>
                <w:color w:val="000000"/>
                <w:sz w:val="16"/>
                <w:szCs w:val="22"/>
              </w:rPr>
            </w:pPr>
            <w:r w:rsidRPr="00D33B70">
              <w:rPr>
                <w:rFonts w:cs="Arial"/>
                <w:color w:val="000000"/>
                <w:sz w:val="16"/>
                <w:szCs w:val="22"/>
              </w:rPr>
              <w:t>$99,000</w:t>
            </w:r>
          </w:p>
        </w:tc>
        <w:tc>
          <w:tcPr>
            <w:tcW w:w="1094" w:type="dxa"/>
            <w:tcBorders>
              <w:top w:val="single" w:sz="6" w:space="0" w:color="auto"/>
              <w:left w:val="single" w:sz="6" w:space="0" w:color="auto"/>
              <w:bottom w:val="single" w:sz="6" w:space="0" w:color="auto"/>
              <w:right w:val="single" w:sz="6" w:space="0" w:color="auto"/>
            </w:tcBorders>
            <w:vAlign w:val="center"/>
          </w:tcPr>
          <w:p w:rsidR="00E060C9" w:rsidRPr="00D33B70" w:rsidRDefault="00E71675" w:rsidP="00E71675">
            <w:pPr>
              <w:jc w:val="center"/>
              <w:rPr>
                <w:rFonts w:cs="Arial"/>
                <w:color w:val="000000"/>
                <w:sz w:val="16"/>
                <w:szCs w:val="22"/>
              </w:rPr>
            </w:pPr>
            <w:r w:rsidRPr="00D33B70">
              <w:rPr>
                <w:rFonts w:cs="Arial"/>
                <w:color w:val="000000"/>
                <w:sz w:val="16"/>
                <w:szCs w:val="22"/>
              </w:rPr>
              <w:t>$6,694,000</w:t>
            </w:r>
          </w:p>
        </w:tc>
        <w:tc>
          <w:tcPr>
            <w:tcW w:w="1093" w:type="dxa"/>
            <w:tcBorders>
              <w:top w:val="single" w:sz="6" w:space="0" w:color="auto"/>
              <w:left w:val="single" w:sz="6" w:space="0" w:color="auto"/>
              <w:bottom w:val="single" w:sz="6" w:space="0" w:color="auto"/>
              <w:right w:val="single" w:sz="6" w:space="0" w:color="auto"/>
            </w:tcBorders>
            <w:vAlign w:val="center"/>
          </w:tcPr>
          <w:p w:rsidR="00E060C9" w:rsidRPr="00D33B70" w:rsidRDefault="00E71675" w:rsidP="00E71675">
            <w:pPr>
              <w:jc w:val="center"/>
              <w:rPr>
                <w:rFonts w:cs="Arial"/>
                <w:color w:val="000000"/>
                <w:sz w:val="16"/>
                <w:szCs w:val="22"/>
              </w:rPr>
            </w:pPr>
            <w:r w:rsidRPr="00D33B70">
              <w:rPr>
                <w:rFonts w:cs="Arial"/>
                <w:color w:val="000000"/>
                <w:sz w:val="16"/>
                <w:szCs w:val="22"/>
              </w:rPr>
              <w:t>$161,000</w:t>
            </w:r>
          </w:p>
        </w:tc>
        <w:tc>
          <w:tcPr>
            <w:tcW w:w="1094" w:type="dxa"/>
            <w:tcBorders>
              <w:top w:val="single" w:sz="6" w:space="0" w:color="auto"/>
              <w:left w:val="single" w:sz="6" w:space="0" w:color="auto"/>
              <w:bottom w:val="single" w:sz="6" w:space="0" w:color="auto"/>
              <w:right w:val="single" w:sz="6" w:space="0" w:color="auto"/>
            </w:tcBorders>
            <w:vAlign w:val="center"/>
          </w:tcPr>
          <w:p w:rsidR="00E060C9" w:rsidRPr="00D33B70" w:rsidRDefault="00E71675" w:rsidP="00E71675">
            <w:pPr>
              <w:jc w:val="center"/>
              <w:rPr>
                <w:rFonts w:cs="Arial"/>
                <w:color w:val="000000"/>
                <w:sz w:val="16"/>
                <w:szCs w:val="22"/>
              </w:rPr>
            </w:pPr>
            <w:r w:rsidRPr="00D33B70">
              <w:rPr>
                <w:rFonts w:cs="Arial"/>
                <w:color w:val="000000"/>
                <w:sz w:val="16"/>
                <w:szCs w:val="22"/>
              </w:rPr>
              <w:t>$1,998,000</w:t>
            </w:r>
          </w:p>
        </w:tc>
        <w:tc>
          <w:tcPr>
            <w:tcW w:w="1094" w:type="dxa"/>
            <w:tcBorders>
              <w:top w:val="single" w:sz="6" w:space="0" w:color="auto"/>
              <w:left w:val="single" w:sz="6" w:space="0" w:color="auto"/>
              <w:bottom w:val="single" w:sz="6" w:space="0" w:color="auto"/>
              <w:right w:val="single" w:sz="6" w:space="0" w:color="auto"/>
            </w:tcBorders>
            <w:vAlign w:val="center"/>
          </w:tcPr>
          <w:p w:rsidR="00E060C9" w:rsidRPr="00D33B70" w:rsidRDefault="00E71675" w:rsidP="00E71675">
            <w:pPr>
              <w:jc w:val="center"/>
              <w:rPr>
                <w:rFonts w:cs="Arial"/>
                <w:color w:val="000000"/>
                <w:sz w:val="16"/>
                <w:szCs w:val="22"/>
              </w:rPr>
            </w:pPr>
            <w:r w:rsidRPr="00D33B70">
              <w:rPr>
                <w:rFonts w:cs="Arial"/>
                <w:color w:val="000000"/>
                <w:sz w:val="16"/>
                <w:szCs w:val="22"/>
              </w:rPr>
              <w:t>$8,692,000</w:t>
            </w:r>
          </w:p>
        </w:tc>
        <w:tc>
          <w:tcPr>
            <w:tcW w:w="850" w:type="dxa"/>
            <w:tcBorders>
              <w:top w:val="single" w:sz="6" w:space="0" w:color="auto"/>
              <w:left w:val="single" w:sz="6" w:space="0" w:color="auto"/>
              <w:bottom w:val="single" w:sz="6" w:space="0" w:color="auto"/>
              <w:right w:val="single" w:sz="6" w:space="0" w:color="auto"/>
            </w:tcBorders>
            <w:vAlign w:val="center"/>
          </w:tcPr>
          <w:p w:rsidR="00E060C9" w:rsidRPr="00D33B70" w:rsidRDefault="006A26F2" w:rsidP="00E71675">
            <w:pPr>
              <w:pStyle w:val="Text"/>
              <w:tabs>
                <w:tab w:val="left" w:pos="1876"/>
              </w:tabs>
              <w:spacing w:before="40" w:after="40" w:line="240" w:lineRule="auto"/>
              <w:ind w:left="0"/>
              <w:jc w:val="center"/>
              <w:rPr>
                <w:sz w:val="16"/>
              </w:rPr>
            </w:pPr>
            <w:r w:rsidRPr="00D33B70">
              <w:rPr>
                <w:sz w:val="16"/>
              </w:rPr>
              <w:t>0.01</w:t>
            </w:r>
          </w:p>
        </w:tc>
      </w:tr>
      <w:tr w:rsidR="00E060C9" w:rsidRPr="00D33B70" w:rsidTr="00E71675">
        <w:tc>
          <w:tcPr>
            <w:tcW w:w="1134" w:type="dxa"/>
            <w:tcBorders>
              <w:top w:val="single" w:sz="6" w:space="0" w:color="auto"/>
              <w:left w:val="single" w:sz="6" w:space="0" w:color="auto"/>
              <w:bottom w:val="single" w:sz="6" w:space="0" w:color="auto"/>
              <w:right w:val="single" w:sz="6" w:space="0" w:color="auto"/>
            </w:tcBorders>
            <w:vAlign w:val="center"/>
          </w:tcPr>
          <w:p w:rsidR="00E060C9" w:rsidRPr="00D33B70" w:rsidRDefault="00E060C9" w:rsidP="00E71675">
            <w:pPr>
              <w:pStyle w:val="Text"/>
              <w:spacing w:before="40" w:after="40" w:line="240" w:lineRule="auto"/>
              <w:ind w:left="0" w:right="31"/>
              <w:jc w:val="left"/>
            </w:pPr>
            <w:r w:rsidRPr="00D33B70">
              <w:t>Two</w:t>
            </w:r>
          </w:p>
        </w:tc>
        <w:tc>
          <w:tcPr>
            <w:tcW w:w="1093" w:type="dxa"/>
            <w:tcBorders>
              <w:top w:val="single" w:sz="6" w:space="0" w:color="auto"/>
              <w:left w:val="single" w:sz="6" w:space="0" w:color="auto"/>
              <w:bottom w:val="single" w:sz="6" w:space="0" w:color="auto"/>
              <w:right w:val="single" w:sz="6" w:space="0" w:color="auto"/>
            </w:tcBorders>
            <w:vAlign w:val="center"/>
          </w:tcPr>
          <w:p w:rsidR="00E060C9" w:rsidRPr="00D33B70" w:rsidRDefault="00E71675" w:rsidP="00E71675">
            <w:pPr>
              <w:pStyle w:val="Text"/>
              <w:tabs>
                <w:tab w:val="left" w:pos="2443"/>
              </w:tabs>
              <w:spacing w:before="40" w:after="40" w:line="240" w:lineRule="auto"/>
              <w:ind w:left="0"/>
              <w:jc w:val="center"/>
              <w:rPr>
                <w:sz w:val="16"/>
              </w:rPr>
            </w:pPr>
            <w:r w:rsidRPr="00D33B70">
              <w:rPr>
                <w:sz w:val="16"/>
              </w:rPr>
              <w:t>$362,000</w:t>
            </w:r>
          </w:p>
        </w:tc>
        <w:tc>
          <w:tcPr>
            <w:tcW w:w="1094" w:type="dxa"/>
            <w:tcBorders>
              <w:top w:val="single" w:sz="6" w:space="0" w:color="auto"/>
              <w:left w:val="single" w:sz="6" w:space="0" w:color="auto"/>
              <w:bottom w:val="single" w:sz="6" w:space="0" w:color="auto"/>
              <w:right w:val="single" w:sz="6" w:space="0" w:color="auto"/>
            </w:tcBorders>
            <w:vAlign w:val="center"/>
          </w:tcPr>
          <w:p w:rsidR="00E060C9" w:rsidRPr="00D33B70" w:rsidRDefault="00E71675" w:rsidP="00E71675">
            <w:pPr>
              <w:jc w:val="center"/>
              <w:rPr>
                <w:rFonts w:cs="Arial"/>
                <w:color w:val="000000"/>
                <w:sz w:val="16"/>
                <w:szCs w:val="22"/>
              </w:rPr>
            </w:pPr>
            <w:r w:rsidRPr="00D33B70">
              <w:rPr>
                <w:rFonts w:cs="Arial"/>
                <w:color w:val="000000"/>
                <w:sz w:val="16"/>
                <w:szCs w:val="22"/>
              </w:rPr>
              <w:t>$27,000</w:t>
            </w:r>
          </w:p>
        </w:tc>
        <w:tc>
          <w:tcPr>
            <w:tcW w:w="1093" w:type="dxa"/>
            <w:tcBorders>
              <w:top w:val="single" w:sz="6" w:space="0" w:color="auto"/>
              <w:left w:val="single" w:sz="6" w:space="0" w:color="auto"/>
              <w:bottom w:val="single" w:sz="6" w:space="0" w:color="auto"/>
              <w:right w:val="single" w:sz="6" w:space="0" w:color="auto"/>
            </w:tcBorders>
            <w:vAlign w:val="center"/>
          </w:tcPr>
          <w:p w:rsidR="00E060C9" w:rsidRPr="00D33B70" w:rsidRDefault="00E71675" w:rsidP="00E71675">
            <w:pPr>
              <w:jc w:val="center"/>
              <w:rPr>
                <w:rFonts w:cs="Arial"/>
                <w:color w:val="000000"/>
                <w:sz w:val="16"/>
                <w:szCs w:val="22"/>
              </w:rPr>
            </w:pPr>
            <w:r w:rsidRPr="00D33B70">
              <w:rPr>
                <w:rFonts w:cs="Arial"/>
                <w:color w:val="000000"/>
                <w:sz w:val="16"/>
                <w:szCs w:val="22"/>
              </w:rPr>
              <w:t>$335,000</w:t>
            </w:r>
          </w:p>
        </w:tc>
        <w:tc>
          <w:tcPr>
            <w:tcW w:w="1094" w:type="dxa"/>
            <w:tcBorders>
              <w:top w:val="single" w:sz="6" w:space="0" w:color="auto"/>
              <w:left w:val="single" w:sz="6" w:space="0" w:color="auto"/>
              <w:bottom w:val="single" w:sz="6" w:space="0" w:color="auto"/>
              <w:right w:val="single" w:sz="6" w:space="0" w:color="auto"/>
            </w:tcBorders>
            <w:vAlign w:val="center"/>
          </w:tcPr>
          <w:p w:rsidR="00E060C9" w:rsidRPr="00D33B70" w:rsidRDefault="00E71675" w:rsidP="00E71675">
            <w:pPr>
              <w:jc w:val="center"/>
              <w:rPr>
                <w:rFonts w:cs="Arial"/>
                <w:color w:val="000000"/>
                <w:sz w:val="16"/>
                <w:szCs w:val="22"/>
              </w:rPr>
            </w:pPr>
            <w:r w:rsidRPr="00D33B70">
              <w:rPr>
                <w:rFonts w:cs="Arial"/>
                <w:color w:val="000000"/>
                <w:sz w:val="16"/>
                <w:szCs w:val="22"/>
              </w:rPr>
              <w:t>$21,102,000</w:t>
            </w:r>
          </w:p>
        </w:tc>
        <w:tc>
          <w:tcPr>
            <w:tcW w:w="1093" w:type="dxa"/>
            <w:tcBorders>
              <w:top w:val="single" w:sz="6" w:space="0" w:color="auto"/>
              <w:left w:val="single" w:sz="6" w:space="0" w:color="auto"/>
              <w:bottom w:val="single" w:sz="6" w:space="0" w:color="auto"/>
              <w:right w:val="single" w:sz="6" w:space="0" w:color="auto"/>
            </w:tcBorders>
            <w:vAlign w:val="center"/>
          </w:tcPr>
          <w:p w:rsidR="00E060C9" w:rsidRPr="00D33B70" w:rsidRDefault="00E71675" w:rsidP="00E71675">
            <w:pPr>
              <w:jc w:val="center"/>
              <w:rPr>
                <w:rFonts w:cs="Arial"/>
                <w:color w:val="000000"/>
                <w:sz w:val="16"/>
                <w:szCs w:val="22"/>
              </w:rPr>
            </w:pPr>
            <w:r w:rsidRPr="00D33B70">
              <w:rPr>
                <w:rFonts w:cs="Arial"/>
                <w:color w:val="000000"/>
                <w:sz w:val="16"/>
                <w:szCs w:val="22"/>
              </w:rPr>
              <w:t>$506,000</w:t>
            </w:r>
          </w:p>
        </w:tc>
        <w:tc>
          <w:tcPr>
            <w:tcW w:w="1094" w:type="dxa"/>
            <w:tcBorders>
              <w:top w:val="single" w:sz="6" w:space="0" w:color="auto"/>
              <w:left w:val="single" w:sz="6" w:space="0" w:color="auto"/>
              <w:bottom w:val="single" w:sz="6" w:space="0" w:color="auto"/>
              <w:right w:val="single" w:sz="6" w:space="0" w:color="auto"/>
            </w:tcBorders>
            <w:vAlign w:val="center"/>
          </w:tcPr>
          <w:p w:rsidR="00E060C9" w:rsidRPr="00D33B70" w:rsidRDefault="00E71675" w:rsidP="00E71675">
            <w:pPr>
              <w:jc w:val="center"/>
              <w:rPr>
                <w:rFonts w:cs="Arial"/>
                <w:color w:val="000000"/>
                <w:sz w:val="16"/>
                <w:szCs w:val="22"/>
              </w:rPr>
            </w:pPr>
            <w:r w:rsidRPr="00D33B70">
              <w:rPr>
                <w:rFonts w:cs="Arial"/>
                <w:color w:val="000000"/>
                <w:sz w:val="16"/>
                <w:szCs w:val="22"/>
              </w:rPr>
              <w:t>$6,279,000</w:t>
            </w:r>
          </w:p>
        </w:tc>
        <w:tc>
          <w:tcPr>
            <w:tcW w:w="1094" w:type="dxa"/>
            <w:tcBorders>
              <w:top w:val="single" w:sz="6" w:space="0" w:color="auto"/>
              <w:left w:val="single" w:sz="6" w:space="0" w:color="auto"/>
              <w:bottom w:val="single" w:sz="6" w:space="0" w:color="auto"/>
              <w:right w:val="single" w:sz="6" w:space="0" w:color="auto"/>
            </w:tcBorders>
            <w:vAlign w:val="center"/>
          </w:tcPr>
          <w:p w:rsidR="00E060C9" w:rsidRPr="00D33B70" w:rsidRDefault="00E71675" w:rsidP="00E71675">
            <w:pPr>
              <w:jc w:val="center"/>
              <w:rPr>
                <w:rFonts w:cs="Arial"/>
                <w:color w:val="000000"/>
                <w:sz w:val="16"/>
                <w:szCs w:val="22"/>
              </w:rPr>
            </w:pPr>
            <w:r w:rsidRPr="00D33B70">
              <w:rPr>
                <w:rFonts w:cs="Arial"/>
                <w:color w:val="000000"/>
                <w:sz w:val="16"/>
                <w:szCs w:val="22"/>
              </w:rPr>
              <w:t>$27,381,000</w:t>
            </w:r>
          </w:p>
        </w:tc>
        <w:tc>
          <w:tcPr>
            <w:tcW w:w="850" w:type="dxa"/>
            <w:tcBorders>
              <w:top w:val="single" w:sz="6" w:space="0" w:color="auto"/>
              <w:left w:val="single" w:sz="6" w:space="0" w:color="auto"/>
              <w:bottom w:val="single" w:sz="6" w:space="0" w:color="auto"/>
              <w:right w:val="single" w:sz="6" w:space="0" w:color="auto"/>
            </w:tcBorders>
            <w:vAlign w:val="center"/>
          </w:tcPr>
          <w:p w:rsidR="00E060C9" w:rsidRPr="00D33B70" w:rsidRDefault="00E060C9" w:rsidP="00E71675">
            <w:pPr>
              <w:pStyle w:val="Text"/>
              <w:tabs>
                <w:tab w:val="left" w:pos="1876"/>
              </w:tabs>
              <w:spacing w:before="40" w:after="40" w:line="240" w:lineRule="auto"/>
              <w:ind w:left="0"/>
              <w:jc w:val="center"/>
              <w:rPr>
                <w:sz w:val="16"/>
              </w:rPr>
            </w:pPr>
            <w:r w:rsidRPr="00D33B70">
              <w:rPr>
                <w:sz w:val="16"/>
              </w:rPr>
              <w:t>0.01</w:t>
            </w:r>
          </w:p>
        </w:tc>
      </w:tr>
      <w:tr w:rsidR="006A26F2" w:rsidRPr="00D33B70" w:rsidTr="00E71675">
        <w:tc>
          <w:tcPr>
            <w:tcW w:w="1134" w:type="dxa"/>
            <w:tcBorders>
              <w:top w:val="single" w:sz="6" w:space="0" w:color="auto"/>
              <w:left w:val="single" w:sz="6" w:space="0" w:color="auto"/>
              <w:bottom w:val="single" w:sz="6" w:space="0" w:color="auto"/>
              <w:right w:val="single" w:sz="6" w:space="0" w:color="auto"/>
            </w:tcBorders>
            <w:vAlign w:val="center"/>
          </w:tcPr>
          <w:p w:rsidR="006A26F2" w:rsidRPr="00D33B70" w:rsidRDefault="006A26F2" w:rsidP="00E71675">
            <w:pPr>
              <w:pStyle w:val="Text"/>
              <w:spacing w:before="40" w:after="40" w:line="240" w:lineRule="auto"/>
              <w:ind w:left="0" w:right="31"/>
              <w:jc w:val="left"/>
            </w:pPr>
            <w:r w:rsidRPr="00D33B70">
              <w:t>Three</w:t>
            </w:r>
          </w:p>
        </w:tc>
        <w:tc>
          <w:tcPr>
            <w:tcW w:w="1093" w:type="dxa"/>
            <w:tcBorders>
              <w:top w:val="single" w:sz="6" w:space="0" w:color="auto"/>
              <w:left w:val="single" w:sz="6" w:space="0" w:color="auto"/>
              <w:bottom w:val="single" w:sz="6" w:space="0" w:color="auto"/>
              <w:right w:val="single" w:sz="6" w:space="0" w:color="auto"/>
            </w:tcBorders>
            <w:vAlign w:val="center"/>
          </w:tcPr>
          <w:p w:rsidR="006A26F2" w:rsidRPr="00D33B70" w:rsidRDefault="006A26F2" w:rsidP="00E71675">
            <w:pPr>
              <w:pStyle w:val="Text"/>
              <w:tabs>
                <w:tab w:val="left" w:pos="2443"/>
              </w:tabs>
              <w:spacing w:before="40" w:after="40" w:line="240" w:lineRule="auto"/>
              <w:ind w:left="0"/>
              <w:jc w:val="center"/>
              <w:rPr>
                <w:sz w:val="16"/>
              </w:rPr>
            </w:pPr>
            <w:r w:rsidRPr="00D33B70">
              <w:rPr>
                <w:sz w:val="16"/>
              </w:rPr>
              <w:t>$363,000</w:t>
            </w:r>
          </w:p>
        </w:tc>
        <w:tc>
          <w:tcPr>
            <w:tcW w:w="1094" w:type="dxa"/>
            <w:tcBorders>
              <w:top w:val="single" w:sz="6" w:space="0" w:color="auto"/>
              <w:left w:val="single" w:sz="6" w:space="0" w:color="auto"/>
              <w:bottom w:val="single" w:sz="6" w:space="0" w:color="auto"/>
              <w:right w:val="single" w:sz="6" w:space="0" w:color="auto"/>
            </w:tcBorders>
            <w:vAlign w:val="center"/>
          </w:tcPr>
          <w:p w:rsidR="006A26F2" w:rsidRPr="00D33B70" w:rsidRDefault="006A26F2" w:rsidP="00E71675">
            <w:pPr>
              <w:jc w:val="center"/>
              <w:rPr>
                <w:rFonts w:cs="Arial"/>
                <w:color w:val="000000"/>
                <w:sz w:val="16"/>
                <w:szCs w:val="22"/>
              </w:rPr>
            </w:pPr>
            <w:r w:rsidRPr="00D33B70">
              <w:rPr>
                <w:rFonts w:cs="Arial"/>
                <w:color w:val="000000"/>
                <w:sz w:val="16"/>
                <w:szCs w:val="22"/>
              </w:rPr>
              <w:t>$26,000</w:t>
            </w:r>
          </w:p>
        </w:tc>
        <w:tc>
          <w:tcPr>
            <w:tcW w:w="1093" w:type="dxa"/>
            <w:tcBorders>
              <w:top w:val="single" w:sz="6" w:space="0" w:color="auto"/>
              <w:left w:val="single" w:sz="6" w:space="0" w:color="auto"/>
              <w:bottom w:val="single" w:sz="6" w:space="0" w:color="auto"/>
              <w:right w:val="single" w:sz="6" w:space="0" w:color="auto"/>
            </w:tcBorders>
            <w:vAlign w:val="center"/>
          </w:tcPr>
          <w:p w:rsidR="006A26F2" w:rsidRPr="00D33B70" w:rsidRDefault="006A26F2" w:rsidP="00E71675">
            <w:pPr>
              <w:jc w:val="center"/>
              <w:rPr>
                <w:rFonts w:cs="Arial"/>
                <w:color w:val="000000"/>
                <w:sz w:val="16"/>
                <w:szCs w:val="22"/>
              </w:rPr>
            </w:pPr>
            <w:r w:rsidRPr="00D33B70">
              <w:rPr>
                <w:rFonts w:cs="Arial"/>
                <w:color w:val="000000"/>
                <w:sz w:val="16"/>
                <w:szCs w:val="22"/>
              </w:rPr>
              <w:t>$323,000</w:t>
            </w:r>
          </w:p>
        </w:tc>
        <w:tc>
          <w:tcPr>
            <w:tcW w:w="1094" w:type="dxa"/>
            <w:tcBorders>
              <w:top w:val="single" w:sz="6" w:space="0" w:color="auto"/>
              <w:left w:val="single" w:sz="6" w:space="0" w:color="auto"/>
              <w:bottom w:val="single" w:sz="6" w:space="0" w:color="auto"/>
              <w:right w:val="single" w:sz="6" w:space="0" w:color="auto"/>
            </w:tcBorders>
            <w:vAlign w:val="center"/>
          </w:tcPr>
          <w:p w:rsidR="006A26F2" w:rsidRPr="00D33B70" w:rsidRDefault="006A26F2" w:rsidP="00E71675">
            <w:pPr>
              <w:jc w:val="center"/>
              <w:rPr>
                <w:rFonts w:cs="Arial"/>
                <w:color w:val="000000"/>
                <w:sz w:val="16"/>
                <w:szCs w:val="22"/>
              </w:rPr>
            </w:pPr>
            <w:r w:rsidRPr="00D33B70">
              <w:rPr>
                <w:rFonts w:cs="Arial"/>
                <w:color w:val="000000"/>
                <w:sz w:val="16"/>
                <w:szCs w:val="22"/>
              </w:rPr>
              <w:t>$26,600,000</w:t>
            </w:r>
          </w:p>
        </w:tc>
        <w:tc>
          <w:tcPr>
            <w:tcW w:w="1093" w:type="dxa"/>
            <w:tcBorders>
              <w:top w:val="single" w:sz="6" w:space="0" w:color="auto"/>
              <w:left w:val="single" w:sz="6" w:space="0" w:color="auto"/>
              <w:bottom w:val="single" w:sz="6" w:space="0" w:color="auto"/>
              <w:right w:val="single" w:sz="6" w:space="0" w:color="auto"/>
            </w:tcBorders>
            <w:vAlign w:val="center"/>
          </w:tcPr>
          <w:p w:rsidR="006A26F2" w:rsidRPr="00D33B70" w:rsidRDefault="006A26F2" w:rsidP="00E71675">
            <w:pPr>
              <w:jc w:val="center"/>
              <w:rPr>
                <w:rFonts w:cs="Arial"/>
                <w:color w:val="000000"/>
                <w:sz w:val="16"/>
                <w:szCs w:val="22"/>
              </w:rPr>
            </w:pPr>
            <w:r w:rsidRPr="00D33B70">
              <w:rPr>
                <w:rFonts w:cs="Arial"/>
                <w:color w:val="000000"/>
                <w:sz w:val="16"/>
                <w:szCs w:val="22"/>
              </w:rPr>
              <w:t>$638,000</w:t>
            </w:r>
          </w:p>
        </w:tc>
        <w:tc>
          <w:tcPr>
            <w:tcW w:w="1094" w:type="dxa"/>
            <w:tcBorders>
              <w:top w:val="single" w:sz="6" w:space="0" w:color="auto"/>
              <w:left w:val="single" w:sz="6" w:space="0" w:color="auto"/>
              <w:bottom w:val="single" w:sz="6" w:space="0" w:color="auto"/>
              <w:right w:val="single" w:sz="6" w:space="0" w:color="auto"/>
            </w:tcBorders>
            <w:vAlign w:val="center"/>
          </w:tcPr>
          <w:p w:rsidR="006A26F2" w:rsidRPr="00D33B70" w:rsidRDefault="006A26F2" w:rsidP="00E71675">
            <w:pPr>
              <w:jc w:val="center"/>
              <w:rPr>
                <w:rFonts w:cs="Arial"/>
                <w:color w:val="000000"/>
                <w:sz w:val="16"/>
                <w:szCs w:val="22"/>
              </w:rPr>
            </w:pPr>
            <w:r w:rsidRPr="00D33B70">
              <w:rPr>
                <w:rFonts w:cs="Arial"/>
                <w:color w:val="000000"/>
                <w:sz w:val="16"/>
                <w:szCs w:val="22"/>
              </w:rPr>
              <w:t>$7,917,000</w:t>
            </w:r>
          </w:p>
        </w:tc>
        <w:tc>
          <w:tcPr>
            <w:tcW w:w="1094" w:type="dxa"/>
            <w:tcBorders>
              <w:top w:val="single" w:sz="6" w:space="0" w:color="auto"/>
              <w:left w:val="single" w:sz="6" w:space="0" w:color="auto"/>
              <w:bottom w:val="single" w:sz="6" w:space="0" w:color="auto"/>
              <w:right w:val="single" w:sz="6" w:space="0" w:color="auto"/>
            </w:tcBorders>
            <w:vAlign w:val="center"/>
          </w:tcPr>
          <w:p w:rsidR="006A26F2" w:rsidRPr="00D33B70" w:rsidRDefault="006A26F2" w:rsidP="00E71675">
            <w:pPr>
              <w:jc w:val="center"/>
              <w:rPr>
                <w:rFonts w:cs="Arial"/>
                <w:color w:val="000000"/>
                <w:sz w:val="16"/>
                <w:szCs w:val="22"/>
              </w:rPr>
            </w:pPr>
            <w:r w:rsidRPr="00D33B70">
              <w:rPr>
                <w:rFonts w:cs="Arial"/>
                <w:color w:val="000000"/>
                <w:sz w:val="16"/>
                <w:szCs w:val="22"/>
              </w:rPr>
              <w:t>$34,517,000</w:t>
            </w:r>
          </w:p>
        </w:tc>
        <w:tc>
          <w:tcPr>
            <w:tcW w:w="850" w:type="dxa"/>
            <w:tcBorders>
              <w:top w:val="single" w:sz="6" w:space="0" w:color="auto"/>
              <w:left w:val="single" w:sz="6" w:space="0" w:color="auto"/>
              <w:bottom w:val="single" w:sz="6" w:space="0" w:color="auto"/>
              <w:right w:val="single" w:sz="6" w:space="0" w:color="auto"/>
            </w:tcBorders>
            <w:vAlign w:val="center"/>
          </w:tcPr>
          <w:p w:rsidR="006A26F2" w:rsidRPr="00D33B70" w:rsidRDefault="006A26F2" w:rsidP="00E71675">
            <w:pPr>
              <w:pStyle w:val="Text"/>
              <w:tabs>
                <w:tab w:val="left" w:pos="1876"/>
              </w:tabs>
              <w:spacing w:before="40" w:after="40" w:line="240" w:lineRule="auto"/>
              <w:ind w:left="0"/>
              <w:jc w:val="center"/>
              <w:rPr>
                <w:sz w:val="16"/>
              </w:rPr>
            </w:pPr>
            <w:r w:rsidRPr="00D33B70">
              <w:rPr>
                <w:sz w:val="16"/>
              </w:rPr>
              <w:t>0.01</w:t>
            </w:r>
          </w:p>
        </w:tc>
      </w:tr>
      <w:tr w:rsidR="00E060C9" w:rsidRPr="00D33B70" w:rsidTr="00E71675">
        <w:tc>
          <w:tcPr>
            <w:tcW w:w="1134" w:type="dxa"/>
            <w:tcBorders>
              <w:top w:val="single" w:sz="6" w:space="0" w:color="auto"/>
              <w:left w:val="single" w:sz="6" w:space="0" w:color="auto"/>
              <w:bottom w:val="single" w:sz="6" w:space="0" w:color="auto"/>
              <w:right w:val="single" w:sz="6" w:space="0" w:color="auto"/>
            </w:tcBorders>
            <w:vAlign w:val="center"/>
          </w:tcPr>
          <w:p w:rsidR="00E060C9" w:rsidRPr="00D33B70" w:rsidRDefault="00E060C9" w:rsidP="00E71675">
            <w:pPr>
              <w:pStyle w:val="Text"/>
              <w:spacing w:before="40" w:after="40" w:line="240" w:lineRule="auto"/>
              <w:ind w:left="0" w:right="31"/>
              <w:jc w:val="left"/>
            </w:pPr>
            <w:r w:rsidRPr="00D33B70">
              <w:t>Four</w:t>
            </w:r>
          </w:p>
        </w:tc>
        <w:tc>
          <w:tcPr>
            <w:tcW w:w="1093" w:type="dxa"/>
            <w:tcBorders>
              <w:top w:val="single" w:sz="6" w:space="0" w:color="auto"/>
              <w:left w:val="single" w:sz="6" w:space="0" w:color="auto"/>
              <w:bottom w:val="single" w:sz="6" w:space="0" w:color="auto"/>
              <w:right w:val="single" w:sz="6" w:space="0" w:color="auto"/>
            </w:tcBorders>
            <w:vAlign w:val="center"/>
          </w:tcPr>
          <w:p w:rsidR="00E060C9" w:rsidRPr="00D33B70" w:rsidRDefault="00E060C9" w:rsidP="00E71675">
            <w:pPr>
              <w:pStyle w:val="Text"/>
              <w:tabs>
                <w:tab w:val="left" w:pos="2443"/>
              </w:tabs>
              <w:spacing w:before="40" w:after="40" w:line="240" w:lineRule="auto"/>
              <w:ind w:left="0"/>
              <w:jc w:val="center"/>
              <w:rPr>
                <w:sz w:val="16"/>
              </w:rPr>
            </w:pPr>
            <w:r w:rsidRPr="00D33B70">
              <w:rPr>
                <w:sz w:val="16"/>
              </w:rPr>
              <w:t>$</w:t>
            </w:r>
            <w:r w:rsidR="006A26F2" w:rsidRPr="00D33B70">
              <w:rPr>
                <w:sz w:val="16"/>
              </w:rPr>
              <w:t>389</w:t>
            </w:r>
            <w:r w:rsidRPr="00D33B70">
              <w:rPr>
                <w:sz w:val="16"/>
              </w:rPr>
              <w:t>,000</w:t>
            </w:r>
          </w:p>
        </w:tc>
        <w:tc>
          <w:tcPr>
            <w:tcW w:w="1094" w:type="dxa"/>
            <w:tcBorders>
              <w:top w:val="single" w:sz="6" w:space="0" w:color="auto"/>
              <w:left w:val="single" w:sz="6" w:space="0" w:color="auto"/>
              <w:bottom w:val="single" w:sz="6" w:space="0" w:color="auto"/>
              <w:right w:val="single" w:sz="6" w:space="0" w:color="auto"/>
            </w:tcBorders>
            <w:vAlign w:val="center"/>
          </w:tcPr>
          <w:p w:rsidR="00E060C9" w:rsidRPr="00D33B70" w:rsidRDefault="006A26F2" w:rsidP="00E71675">
            <w:pPr>
              <w:pStyle w:val="Text"/>
              <w:spacing w:before="40" w:after="40" w:line="240" w:lineRule="auto"/>
              <w:ind w:left="0" w:right="42"/>
              <w:jc w:val="center"/>
              <w:rPr>
                <w:sz w:val="16"/>
              </w:rPr>
            </w:pPr>
            <w:r w:rsidRPr="00D33B70">
              <w:rPr>
                <w:sz w:val="16"/>
              </w:rPr>
              <w:t>-</w:t>
            </w:r>
          </w:p>
        </w:tc>
        <w:tc>
          <w:tcPr>
            <w:tcW w:w="1093" w:type="dxa"/>
            <w:tcBorders>
              <w:top w:val="single" w:sz="6" w:space="0" w:color="auto"/>
              <w:left w:val="single" w:sz="6" w:space="0" w:color="auto"/>
              <w:bottom w:val="single" w:sz="6" w:space="0" w:color="auto"/>
              <w:right w:val="single" w:sz="6" w:space="0" w:color="auto"/>
            </w:tcBorders>
            <w:vAlign w:val="center"/>
          </w:tcPr>
          <w:p w:rsidR="00E060C9" w:rsidRPr="00D33B70" w:rsidRDefault="006A26F2" w:rsidP="00E71675">
            <w:pPr>
              <w:pStyle w:val="Text"/>
              <w:tabs>
                <w:tab w:val="left" w:pos="1876"/>
              </w:tabs>
              <w:spacing w:before="40" w:after="40" w:line="240" w:lineRule="auto"/>
              <w:ind w:left="0"/>
              <w:jc w:val="center"/>
              <w:rPr>
                <w:sz w:val="16"/>
              </w:rPr>
            </w:pPr>
            <w:r w:rsidRPr="00D33B70">
              <w:rPr>
                <w:sz w:val="16"/>
              </w:rPr>
              <w:t>-</w:t>
            </w:r>
          </w:p>
        </w:tc>
        <w:tc>
          <w:tcPr>
            <w:tcW w:w="1094" w:type="dxa"/>
            <w:tcBorders>
              <w:top w:val="single" w:sz="6" w:space="0" w:color="auto"/>
              <w:left w:val="single" w:sz="6" w:space="0" w:color="auto"/>
              <w:bottom w:val="single" w:sz="6" w:space="0" w:color="auto"/>
              <w:right w:val="single" w:sz="6" w:space="0" w:color="auto"/>
            </w:tcBorders>
            <w:vAlign w:val="center"/>
          </w:tcPr>
          <w:p w:rsidR="00E060C9" w:rsidRPr="00D33B70" w:rsidRDefault="006A26F2" w:rsidP="00E71675">
            <w:pPr>
              <w:pStyle w:val="Text"/>
              <w:tabs>
                <w:tab w:val="left" w:pos="1876"/>
              </w:tabs>
              <w:spacing w:before="40" w:after="40" w:line="240" w:lineRule="auto"/>
              <w:ind w:left="0"/>
              <w:jc w:val="center"/>
              <w:rPr>
                <w:sz w:val="16"/>
              </w:rPr>
            </w:pPr>
            <w:r w:rsidRPr="00D33B70">
              <w:rPr>
                <w:sz w:val="16"/>
              </w:rPr>
              <w:t>-</w:t>
            </w:r>
          </w:p>
        </w:tc>
        <w:tc>
          <w:tcPr>
            <w:tcW w:w="1093" w:type="dxa"/>
            <w:tcBorders>
              <w:top w:val="single" w:sz="6" w:space="0" w:color="auto"/>
              <w:left w:val="single" w:sz="6" w:space="0" w:color="auto"/>
              <w:bottom w:val="single" w:sz="6" w:space="0" w:color="auto"/>
              <w:right w:val="single" w:sz="6" w:space="0" w:color="auto"/>
            </w:tcBorders>
            <w:vAlign w:val="center"/>
          </w:tcPr>
          <w:p w:rsidR="00E060C9" w:rsidRPr="00D33B70" w:rsidRDefault="006A26F2" w:rsidP="00E71675">
            <w:pPr>
              <w:pStyle w:val="Text"/>
              <w:tabs>
                <w:tab w:val="left" w:pos="1876"/>
              </w:tabs>
              <w:spacing w:before="40" w:after="40" w:line="240" w:lineRule="auto"/>
              <w:ind w:left="0"/>
              <w:jc w:val="center"/>
              <w:rPr>
                <w:sz w:val="16"/>
              </w:rPr>
            </w:pPr>
            <w:r w:rsidRPr="00D33B70">
              <w:rPr>
                <w:sz w:val="16"/>
              </w:rPr>
              <w:t>-</w:t>
            </w:r>
          </w:p>
        </w:tc>
        <w:tc>
          <w:tcPr>
            <w:tcW w:w="1094" w:type="dxa"/>
            <w:tcBorders>
              <w:top w:val="single" w:sz="6" w:space="0" w:color="auto"/>
              <w:left w:val="single" w:sz="6" w:space="0" w:color="auto"/>
              <w:bottom w:val="single" w:sz="6" w:space="0" w:color="auto"/>
              <w:right w:val="single" w:sz="6" w:space="0" w:color="auto"/>
            </w:tcBorders>
            <w:vAlign w:val="center"/>
          </w:tcPr>
          <w:p w:rsidR="00E060C9" w:rsidRPr="00D33B70" w:rsidRDefault="006A26F2" w:rsidP="00E71675">
            <w:pPr>
              <w:pStyle w:val="Text"/>
              <w:tabs>
                <w:tab w:val="left" w:pos="1876"/>
              </w:tabs>
              <w:spacing w:before="40" w:after="40" w:line="240" w:lineRule="auto"/>
              <w:ind w:left="0"/>
              <w:jc w:val="center"/>
              <w:rPr>
                <w:sz w:val="16"/>
              </w:rPr>
            </w:pPr>
            <w:r w:rsidRPr="00D33B70">
              <w:rPr>
                <w:sz w:val="16"/>
              </w:rPr>
              <w:t>-</w:t>
            </w:r>
          </w:p>
        </w:tc>
        <w:tc>
          <w:tcPr>
            <w:tcW w:w="1094" w:type="dxa"/>
            <w:tcBorders>
              <w:top w:val="single" w:sz="6" w:space="0" w:color="auto"/>
              <w:left w:val="single" w:sz="6" w:space="0" w:color="auto"/>
              <w:bottom w:val="single" w:sz="6" w:space="0" w:color="auto"/>
              <w:right w:val="single" w:sz="6" w:space="0" w:color="auto"/>
            </w:tcBorders>
            <w:vAlign w:val="center"/>
          </w:tcPr>
          <w:p w:rsidR="00E060C9" w:rsidRPr="00D33B70" w:rsidRDefault="006A26F2" w:rsidP="00E71675">
            <w:pPr>
              <w:pStyle w:val="Text"/>
              <w:tabs>
                <w:tab w:val="left" w:pos="1876"/>
              </w:tabs>
              <w:spacing w:before="40" w:after="40" w:line="240" w:lineRule="auto"/>
              <w:ind w:left="0"/>
              <w:jc w:val="center"/>
              <w:rPr>
                <w:sz w:val="16"/>
              </w:rPr>
            </w:pPr>
            <w:r w:rsidRPr="00D33B70">
              <w:rPr>
                <w:sz w:val="16"/>
              </w:rPr>
              <w:t>-</w:t>
            </w:r>
          </w:p>
        </w:tc>
        <w:tc>
          <w:tcPr>
            <w:tcW w:w="850" w:type="dxa"/>
            <w:tcBorders>
              <w:top w:val="single" w:sz="6" w:space="0" w:color="auto"/>
              <w:left w:val="single" w:sz="6" w:space="0" w:color="auto"/>
              <w:bottom w:val="single" w:sz="6" w:space="0" w:color="auto"/>
              <w:right w:val="single" w:sz="6" w:space="0" w:color="auto"/>
            </w:tcBorders>
            <w:vAlign w:val="center"/>
          </w:tcPr>
          <w:p w:rsidR="00E060C9" w:rsidRPr="00D33B70" w:rsidRDefault="006A26F2" w:rsidP="00E71675">
            <w:pPr>
              <w:pStyle w:val="Text"/>
              <w:tabs>
                <w:tab w:val="left" w:pos="1876"/>
              </w:tabs>
              <w:spacing w:before="40" w:after="40" w:line="240" w:lineRule="auto"/>
              <w:ind w:left="0"/>
              <w:jc w:val="center"/>
              <w:rPr>
                <w:sz w:val="16"/>
              </w:rPr>
            </w:pPr>
            <w:r w:rsidRPr="00D33B70">
              <w:rPr>
                <w:sz w:val="16"/>
              </w:rPr>
              <w:t>-</w:t>
            </w:r>
          </w:p>
        </w:tc>
      </w:tr>
    </w:tbl>
    <w:p w:rsidR="00E060C9" w:rsidRPr="00D33B70" w:rsidRDefault="00E060C9" w:rsidP="006A26F2">
      <w:pPr>
        <w:pStyle w:val="Text1"/>
        <w:ind w:left="0" w:firstLine="0"/>
      </w:pPr>
      <w:r w:rsidRPr="00D33B70">
        <w:t>*</w:t>
      </w:r>
      <w:r w:rsidRPr="00D33B70">
        <w:tab/>
        <w:t>NPV – Net Present Value discounted at 7% over 30 years</w:t>
      </w:r>
    </w:p>
    <w:p w:rsidR="00E060C9" w:rsidRPr="00D33B70" w:rsidRDefault="00E060C9" w:rsidP="00E060C9">
      <w:pPr>
        <w:pStyle w:val="Text"/>
        <w:ind w:left="0"/>
        <w:outlineLvl w:val="0"/>
        <w:rPr>
          <w:b/>
          <w:sz w:val="32"/>
        </w:rPr>
      </w:pPr>
      <w:bookmarkStart w:id="24" w:name="_Toc231360363"/>
      <w:r w:rsidRPr="00D33B70">
        <w:rPr>
          <w:b/>
          <w:sz w:val="32"/>
        </w:rPr>
        <w:t>Preferred Mitigation Scheme</w:t>
      </w:r>
      <w:bookmarkEnd w:id="24"/>
    </w:p>
    <w:p w:rsidR="00E71675" w:rsidRPr="00D33B70" w:rsidRDefault="00CB43CE" w:rsidP="00E71675">
      <w:pPr>
        <w:pStyle w:val="Text"/>
        <w:ind w:left="0"/>
      </w:pPr>
      <w:r w:rsidRPr="00D33B70">
        <w:t xml:space="preserve">Scheme Four </w:t>
      </w:r>
      <w:r w:rsidR="00E71675" w:rsidRPr="00D33B70">
        <w:t>is the preferred mitigation scheme for the study area.  Through consultation with the CoGG, the preferred scheme was selected as the mitigation works adopted in Schemes One to Three have very low benefit cost ratios (BCRs).  The very low BCRs have resulted in high capital costs per floor level saved, to the order of $4M in capital cost.</w:t>
      </w:r>
    </w:p>
    <w:p w:rsidR="00E060C9" w:rsidRPr="00D33B70" w:rsidRDefault="00E71675" w:rsidP="00E71675">
      <w:pPr>
        <w:pStyle w:val="Text"/>
        <w:numPr>
          <w:ilvl w:val="12"/>
          <w:numId w:val="0"/>
        </w:numPr>
      </w:pPr>
      <w:r w:rsidRPr="00D33B70">
        <w:t>Whilst each of the schemes delivers benefits in reducing the above floor flooding, the nature of the flooding within the catchment has meant that large numbers of properties are still inundated during the modelled flood events. The bulk of the calculated flood damages are a result of property inundation rather than above floor flooding, and consequently despite reductions in the above floor flooding, commensurate reductions in the calculated AAD have not been realised.</w:t>
      </w:r>
    </w:p>
    <w:p w:rsidR="00696FCC" w:rsidRPr="00D33B70" w:rsidRDefault="00696FCC" w:rsidP="00696FCC">
      <w:pPr>
        <w:spacing w:before="220" w:line="300" w:lineRule="atLeast"/>
      </w:pPr>
      <w:r w:rsidRPr="00D33B70">
        <w:lastRenderedPageBreak/>
        <w:t>Whilst structural mitigation measures have not been recommended, the overall flood management strategy recommended in the Highton Drainage/Flood Study comprises the following:</w:t>
      </w:r>
    </w:p>
    <w:p w:rsidR="00696FCC" w:rsidRPr="00D33B70" w:rsidRDefault="00696FCC" w:rsidP="00696FCC">
      <w:pPr>
        <w:numPr>
          <w:ilvl w:val="0"/>
          <w:numId w:val="21"/>
        </w:numPr>
        <w:overflowPunct/>
        <w:autoSpaceDE/>
        <w:autoSpaceDN/>
        <w:adjustRightInd/>
        <w:spacing w:before="220" w:line="300" w:lineRule="atLeast"/>
        <w:textAlignment w:val="auto"/>
      </w:pPr>
      <w:r w:rsidRPr="00D33B70">
        <w:t>Further investigation into the feasibility of localised flood mitigation measures, such as lifting footpaths and/or underground drainage augmentation, in order to reduce the flood risk for properties that have been the subject of previous drainage/flooding requests for service that have identified capacity deficiencies rather than blockages.  These investigations would be undertaken in accordance with the priority ranking established by applying the City's prioritisation method for drainage investigation/design work.</w:t>
      </w:r>
    </w:p>
    <w:p w:rsidR="00696FCC" w:rsidRPr="00D33B70" w:rsidRDefault="00696FCC" w:rsidP="00696FCC">
      <w:pPr>
        <w:numPr>
          <w:ilvl w:val="0"/>
          <w:numId w:val="21"/>
        </w:numPr>
        <w:overflowPunct/>
        <w:autoSpaceDE/>
        <w:autoSpaceDN/>
        <w:adjustRightInd/>
        <w:spacing w:before="220" w:after="160" w:line="300" w:lineRule="atLeast"/>
        <w:textAlignment w:val="auto"/>
        <w:rPr>
          <w:rFonts w:cs="Arial"/>
          <w:szCs w:val="22"/>
        </w:rPr>
      </w:pPr>
      <w:r w:rsidRPr="00D33B70">
        <w:t>Further investigation into the feasibility of property-specific measures to manage flood risk.  Potential measures include flood-proofing of individual or groups of buildings/properties by landowners, and property</w:t>
      </w:r>
      <w:r w:rsidRPr="00D33B70">
        <w:rPr>
          <w:rFonts w:cs="Arial"/>
          <w:szCs w:val="22"/>
        </w:rPr>
        <w:t xml:space="preserve"> buy-back with on-sell following modifications (where feasible) with conditions known to purchaser.</w:t>
      </w:r>
    </w:p>
    <w:p w:rsidR="00696FCC" w:rsidRPr="00D33B70" w:rsidRDefault="00696FCC" w:rsidP="00696FCC">
      <w:pPr>
        <w:numPr>
          <w:ilvl w:val="0"/>
          <w:numId w:val="21"/>
        </w:numPr>
        <w:overflowPunct/>
        <w:autoSpaceDE/>
        <w:autoSpaceDN/>
        <w:adjustRightInd/>
        <w:spacing w:before="220" w:after="160" w:line="300" w:lineRule="atLeast"/>
        <w:textAlignment w:val="auto"/>
        <w:rPr>
          <w:rFonts w:cs="Arial"/>
          <w:szCs w:val="22"/>
        </w:rPr>
      </w:pPr>
      <w:r w:rsidRPr="00D33B70">
        <w:rPr>
          <w:rFonts w:cs="Arial"/>
          <w:szCs w:val="22"/>
        </w:rPr>
        <w:t>Education and awareness program to inform landowners how to minimise the magnitude of damage in a flood event.</w:t>
      </w:r>
    </w:p>
    <w:p w:rsidR="00696FCC" w:rsidRPr="00D33B70" w:rsidRDefault="00696FCC" w:rsidP="00696FCC">
      <w:pPr>
        <w:numPr>
          <w:ilvl w:val="0"/>
          <w:numId w:val="21"/>
        </w:numPr>
        <w:tabs>
          <w:tab w:val="left" w:pos="709"/>
        </w:tabs>
        <w:overflowPunct/>
        <w:autoSpaceDE/>
        <w:autoSpaceDN/>
        <w:adjustRightInd/>
        <w:spacing w:before="220" w:after="160" w:line="300" w:lineRule="atLeast"/>
        <w:textAlignment w:val="auto"/>
        <w:rPr>
          <w:rFonts w:cs="Arial"/>
          <w:szCs w:val="22"/>
        </w:rPr>
      </w:pPr>
      <w:r w:rsidRPr="00D33B70">
        <w:rPr>
          <w:rFonts w:cs="Arial"/>
          <w:szCs w:val="22"/>
        </w:rPr>
        <w:t>Development controls via designation of areas as liable to flooding in accordance with Building Regulations 2006 and use of flood zones/overlays within the Greater Geelong Planning Scheme.</w:t>
      </w:r>
    </w:p>
    <w:p w:rsidR="00696FCC" w:rsidRPr="00D33B70" w:rsidRDefault="00696FCC" w:rsidP="00696FCC">
      <w:pPr>
        <w:numPr>
          <w:ilvl w:val="0"/>
          <w:numId w:val="21"/>
        </w:numPr>
        <w:overflowPunct/>
        <w:autoSpaceDE/>
        <w:autoSpaceDN/>
        <w:adjustRightInd/>
        <w:spacing w:before="220" w:after="160" w:line="300" w:lineRule="atLeast"/>
        <w:textAlignment w:val="auto"/>
        <w:rPr>
          <w:rFonts w:cs="Arial"/>
          <w:szCs w:val="22"/>
        </w:rPr>
      </w:pPr>
      <w:r w:rsidRPr="00D33B70">
        <w:rPr>
          <w:rFonts w:cs="Arial"/>
          <w:szCs w:val="22"/>
        </w:rPr>
        <w:t>Recognition that further development within the catchment has the potential to increase flood risk to people and property.  Assessment of rezoning proposals to include application of principle of zero adverse flood impact on adjacent, upstream and downstream areas.  Assessment of development and subdivision applications to include application of best practice guidelines for development within or upstream of flood-prone areas.</w:t>
      </w:r>
    </w:p>
    <w:p w:rsidR="00696FCC" w:rsidRPr="00D33B70" w:rsidRDefault="00696FCC" w:rsidP="00696FCC">
      <w:pPr>
        <w:numPr>
          <w:ilvl w:val="0"/>
          <w:numId w:val="21"/>
        </w:numPr>
        <w:overflowPunct/>
        <w:autoSpaceDE/>
        <w:autoSpaceDN/>
        <w:adjustRightInd/>
        <w:spacing w:before="220" w:after="160" w:line="300" w:lineRule="atLeast"/>
        <w:textAlignment w:val="auto"/>
        <w:rPr>
          <w:rFonts w:cs="Arial"/>
          <w:szCs w:val="22"/>
        </w:rPr>
      </w:pPr>
      <w:r w:rsidRPr="00D33B70">
        <w:rPr>
          <w:rFonts w:cs="Arial"/>
          <w:szCs w:val="22"/>
        </w:rPr>
        <w:t>Best practice environmental management for stormwater runoff to be encouraged as part of development and subdivision applications in order to reduce runoff and improve water quality, where not a statutory requirement.</w:t>
      </w:r>
    </w:p>
    <w:p w:rsidR="00696FCC" w:rsidRPr="00D33B70" w:rsidRDefault="00696FCC" w:rsidP="00E71675">
      <w:pPr>
        <w:pStyle w:val="Text"/>
        <w:numPr>
          <w:ilvl w:val="12"/>
          <w:numId w:val="0"/>
        </w:numPr>
        <w:rPr>
          <w:highlight w:val="yellow"/>
        </w:rPr>
      </w:pPr>
    </w:p>
    <w:p w:rsidR="00E060C9" w:rsidRPr="00D33B70" w:rsidRDefault="00E060C9" w:rsidP="00430B8C">
      <w:pPr>
        <w:pStyle w:val="Header"/>
        <w:pBdr>
          <w:bottom w:val="none" w:sz="0" w:space="0" w:color="auto"/>
        </w:pBdr>
        <w:tabs>
          <w:tab w:val="clear" w:pos="9072"/>
        </w:tabs>
        <w:rPr>
          <w:smallCaps w:val="0"/>
        </w:rPr>
        <w:sectPr w:rsidR="00E060C9" w:rsidRPr="00D33B70" w:rsidSect="007018E6">
          <w:headerReference w:type="even" r:id="rId21"/>
          <w:headerReference w:type="default" r:id="rId22"/>
          <w:pgSz w:w="11907" w:h="16840"/>
          <w:pgMar w:top="1418" w:right="1134" w:bottom="1418" w:left="1134" w:header="851" w:footer="829" w:gutter="0"/>
          <w:pgNumType w:fmt="lowerRoman" w:start="1"/>
          <w:cols w:space="720"/>
        </w:sectPr>
      </w:pPr>
    </w:p>
    <w:p w:rsidR="00A83F38" w:rsidRPr="00D33B70" w:rsidRDefault="00A83F38" w:rsidP="00430B8C">
      <w:pPr>
        <w:pStyle w:val="Heading0"/>
      </w:pPr>
      <w:bookmarkStart w:id="25" w:name="_Toc332238550"/>
      <w:bookmarkStart w:id="26" w:name="_Toc332440819"/>
      <w:bookmarkStart w:id="27" w:name="_Toc332441398"/>
      <w:bookmarkStart w:id="28" w:name="_Toc387306260"/>
      <w:r w:rsidRPr="00D33B70">
        <w:lastRenderedPageBreak/>
        <w:t>Contents</w:t>
      </w:r>
      <w:bookmarkEnd w:id="25"/>
      <w:bookmarkEnd w:id="26"/>
      <w:bookmarkEnd w:id="27"/>
      <w:bookmarkEnd w:id="28"/>
    </w:p>
    <w:p w:rsidR="00A83F38" w:rsidRPr="00D33B70" w:rsidRDefault="00A83F38" w:rsidP="00430B8C"/>
    <w:p w:rsidR="000A7922" w:rsidRDefault="00F21A4E">
      <w:pPr>
        <w:pStyle w:val="TOC2"/>
        <w:rPr>
          <w:rFonts w:asciiTheme="minorHAnsi" w:eastAsiaTheme="minorEastAsia" w:hAnsiTheme="minorHAnsi" w:cstheme="minorBidi"/>
          <w:b w:val="0"/>
          <w:spacing w:val="0"/>
          <w:szCs w:val="22"/>
          <w:lang w:eastAsia="en-AU"/>
        </w:rPr>
      </w:pPr>
      <w:r w:rsidRPr="00D33B70">
        <w:rPr>
          <w:rFonts w:ascii="CG Times" w:hAnsi="CG Times"/>
        </w:rPr>
        <w:fldChar w:fldCharType="begin"/>
      </w:r>
      <w:r w:rsidR="00A83F38" w:rsidRPr="00D33B70">
        <w:rPr>
          <w:rFonts w:ascii="CG Times" w:hAnsi="CG Times"/>
        </w:rPr>
        <w:instrText xml:space="preserve"> TOC \t "Heading 0,2" </w:instrText>
      </w:r>
      <w:r w:rsidRPr="00D33B70">
        <w:rPr>
          <w:rFonts w:ascii="CG Times" w:hAnsi="CG Times"/>
        </w:rPr>
        <w:fldChar w:fldCharType="separate"/>
      </w:r>
      <w:r w:rsidR="000A7922">
        <w:t>EXECUTIVE SUMMARY</w:t>
      </w:r>
      <w:r w:rsidR="000A7922">
        <w:tab/>
      </w:r>
      <w:r w:rsidR="000A7922">
        <w:fldChar w:fldCharType="begin"/>
      </w:r>
      <w:r w:rsidR="000A7922">
        <w:instrText xml:space="preserve"> PAGEREF _Toc387306259 \h </w:instrText>
      </w:r>
      <w:r w:rsidR="000A7922">
        <w:fldChar w:fldCharType="separate"/>
      </w:r>
      <w:r w:rsidR="00AC6986">
        <w:t>i</w:t>
      </w:r>
      <w:r w:rsidR="000A7922">
        <w:fldChar w:fldCharType="end"/>
      </w:r>
    </w:p>
    <w:p w:rsidR="000A7922" w:rsidRDefault="000A7922">
      <w:pPr>
        <w:pStyle w:val="TOC2"/>
        <w:rPr>
          <w:rFonts w:asciiTheme="minorHAnsi" w:eastAsiaTheme="minorEastAsia" w:hAnsiTheme="minorHAnsi" w:cstheme="minorBidi"/>
          <w:b w:val="0"/>
          <w:spacing w:val="0"/>
          <w:szCs w:val="22"/>
          <w:lang w:eastAsia="en-AU"/>
        </w:rPr>
      </w:pPr>
      <w:r>
        <w:t>Contents</w:t>
      </w:r>
      <w:r>
        <w:tab/>
      </w:r>
      <w:r>
        <w:fldChar w:fldCharType="begin"/>
      </w:r>
      <w:r>
        <w:instrText xml:space="preserve"> PAGEREF _Toc387306260 \h </w:instrText>
      </w:r>
      <w:r>
        <w:fldChar w:fldCharType="separate"/>
      </w:r>
      <w:r w:rsidR="00AC6986">
        <w:t>vii</w:t>
      </w:r>
      <w:r>
        <w:fldChar w:fldCharType="end"/>
      </w:r>
    </w:p>
    <w:p w:rsidR="000A7922" w:rsidRDefault="000A7922">
      <w:pPr>
        <w:pStyle w:val="TOC2"/>
        <w:rPr>
          <w:rFonts w:asciiTheme="minorHAnsi" w:eastAsiaTheme="minorEastAsia" w:hAnsiTheme="minorHAnsi" w:cstheme="minorBidi"/>
          <w:b w:val="0"/>
          <w:spacing w:val="0"/>
          <w:szCs w:val="22"/>
          <w:lang w:eastAsia="en-AU"/>
        </w:rPr>
      </w:pPr>
      <w:r>
        <w:t>List of Figures</w:t>
      </w:r>
      <w:r>
        <w:tab/>
      </w:r>
      <w:r>
        <w:fldChar w:fldCharType="begin"/>
      </w:r>
      <w:r>
        <w:instrText xml:space="preserve"> PAGEREF _Toc387306261 \h </w:instrText>
      </w:r>
      <w:r>
        <w:fldChar w:fldCharType="separate"/>
      </w:r>
      <w:r w:rsidR="00AC6986">
        <w:t>ix</w:t>
      </w:r>
      <w:r>
        <w:fldChar w:fldCharType="end"/>
      </w:r>
    </w:p>
    <w:p w:rsidR="000A7922" w:rsidRDefault="000A7922">
      <w:pPr>
        <w:pStyle w:val="TOC2"/>
        <w:rPr>
          <w:rFonts w:asciiTheme="minorHAnsi" w:eastAsiaTheme="minorEastAsia" w:hAnsiTheme="minorHAnsi" w:cstheme="minorBidi"/>
          <w:b w:val="0"/>
          <w:spacing w:val="0"/>
          <w:szCs w:val="22"/>
          <w:lang w:eastAsia="en-AU"/>
        </w:rPr>
      </w:pPr>
      <w:r>
        <w:t>List of Tables</w:t>
      </w:r>
      <w:r>
        <w:tab/>
      </w:r>
      <w:r>
        <w:fldChar w:fldCharType="begin"/>
      </w:r>
      <w:r>
        <w:instrText xml:space="preserve"> PAGEREF _Toc387306262 \h </w:instrText>
      </w:r>
      <w:r>
        <w:fldChar w:fldCharType="separate"/>
      </w:r>
      <w:r w:rsidR="00AC6986">
        <w:t>x</w:t>
      </w:r>
      <w:r>
        <w:fldChar w:fldCharType="end"/>
      </w:r>
    </w:p>
    <w:p w:rsidR="00007AD7" w:rsidRDefault="00F21A4E">
      <w:pPr>
        <w:pStyle w:val="TOC1"/>
      </w:pPr>
      <w:r w:rsidRPr="00D33B70">
        <w:rPr>
          <w:rFonts w:ascii="CG Times" w:hAnsi="CG Times"/>
        </w:rPr>
        <w:fldChar w:fldCharType="end"/>
      </w:r>
      <w:r w:rsidRPr="00D33B70">
        <w:rPr>
          <w:rFonts w:ascii="CG Times" w:hAnsi="CG Times"/>
        </w:rPr>
        <w:fldChar w:fldCharType="begin"/>
      </w:r>
      <w:r w:rsidR="00A83F38" w:rsidRPr="00D33B70">
        <w:rPr>
          <w:rFonts w:ascii="CG Times" w:hAnsi="CG Times"/>
        </w:rPr>
        <w:instrText xml:space="preserve"> TOC \o "1-4" </w:instrText>
      </w:r>
      <w:r w:rsidRPr="00D33B70">
        <w:rPr>
          <w:rFonts w:ascii="CG Times" w:hAnsi="CG Times"/>
        </w:rPr>
        <w:fldChar w:fldCharType="separate"/>
      </w:r>
    </w:p>
    <w:p w:rsidR="00007AD7" w:rsidRDefault="00007AD7">
      <w:pPr>
        <w:pStyle w:val="TOC1"/>
        <w:rPr>
          <w:rFonts w:asciiTheme="minorHAnsi" w:eastAsiaTheme="minorEastAsia" w:hAnsiTheme="minorHAnsi" w:cstheme="minorBidi"/>
          <w:b w:val="0"/>
          <w:smallCaps w:val="0"/>
          <w:spacing w:val="0"/>
          <w:sz w:val="22"/>
          <w:szCs w:val="22"/>
          <w:lang w:eastAsia="en-AU"/>
        </w:rPr>
      </w:pPr>
      <w:r>
        <w:t>1</w:t>
      </w:r>
      <w:r>
        <w:rPr>
          <w:rFonts w:asciiTheme="minorHAnsi" w:eastAsiaTheme="minorEastAsia" w:hAnsiTheme="minorHAnsi" w:cstheme="minorBidi"/>
          <w:b w:val="0"/>
          <w:smallCaps w:val="0"/>
          <w:spacing w:val="0"/>
          <w:sz w:val="22"/>
          <w:szCs w:val="22"/>
          <w:lang w:eastAsia="en-AU"/>
        </w:rPr>
        <w:tab/>
      </w:r>
      <w:r>
        <w:t>Introduction</w:t>
      </w:r>
      <w:r>
        <w:tab/>
      </w:r>
      <w:r>
        <w:fldChar w:fldCharType="begin"/>
      </w:r>
      <w:r>
        <w:instrText xml:space="preserve"> PAGEREF _Toc387308849 \h </w:instrText>
      </w:r>
      <w:r>
        <w:fldChar w:fldCharType="separate"/>
      </w:r>
      <w:r w:rsidR="00AC6986">
        <w:t>1-1</w:t>
      </w:r>
      <w:r>
        <w:fldChar w:fldCharType="end"/>
      </w:r>
    </w:p>
    <w:p w:rsidR="00007AD7" w:rsidRDefault="00007AD7">
      <w:pPr>
        <w:pStyle w:val="TOC2"/>
        <w:tabs>
          <w:tab w:val="left" w:pos="2098"/>
        </w:tabs>
        <w:rPr>
          <w:rFonts w:asciiTheme="minorHAnsi" w:eastAsiaTheme="minorEastAsia" w:hAnsiTheme="minorHAnsi" w:cstheme="minorBidi"/>
          <w:b w:val="0"/>
          <w:spacing w:val="0"/>
          <w:szCs w:val="22"/>
          <w:lang w:eastAsia="en-AU"/>
        </w:rPr>
      </w:pPr>
      <w:r>
        <w:t>1.1</w:t>
      </w:r>
      <w:r>
        <w:rPr>
          <w:rFonts w:asciiTheme="minorHAnsi" w:eastAsiaTheme="minorEastAsia" w:hAnsiTheme="minorHAnsi" w:cstheme="minorBidi"/>
          <w:b w:val="0"/>
          <w:spacing w:val="0"/>
          <w:szCs w:val="22"/>
          <w:lang w:eastAsia="en-AU"/>
        </w:rPr>
        <w:tab/>
      </w:r>
      <w:r>
        <w:t>Background</w:t>
      </w:r>
      <w:r>
        <w:tab/>
      </w:r>
      <w:r>
        <w:fldChar w:fldCharType="begin"/>
      </w:r>
      <w:r>
        <w:instrText xml:space="preserve"> PAGEREF _Toc387308850 \h </w:instrText>
      </w:r>
      <w:r>
        <w:fldChar w:fldCharType="separate"/>
      </w:r>
      <w:r w:rsidR="00AC6986">
        <w:t>1-1</w:t>
      </w:r>
      <w:r>
        <w:fldChar w:fldCharType="end"/>
      </w:r>
    </w:p>
    <w:p w:rsidR="00007AD7" w:rsidRDefault="00007AD7">
      <w:pPr>
        <w:pStyle w:val="TOC2"/>
        <w:tabs>
          <w:tab w:val="left" w:pos="2098"/>
        </w:tabs>
        <w:rPr>
          <w:rFonts w:asciiTheme="minorHAnsi" w:eastAsiaTheme="minorEastAsia" w:hAnsiTheme="minorHAnsi" w:cstheme="minorBidi"/>
          <w:b w:val="0"/>
          <w:spacing w:val="0"/>
          <w:szCs w:val="22"/>
          <w:lang w:eastAsia="en-AU"/>
        </w:rPr>
      </w:pPr>
      <w:r>
        <w:t>1.2</w:t>
      </w:r>
      <w:r>
        <w:rPr>
          <w:rFonts w:asciiTheme="minorHAnsi" w:eastAsiaTheme="minorEastAsia" w:hAnsiTheme="minorHAnsi" w:cstheme="minorBidi"/>
          <w:b w:val="0"/>
          <w:spacing w:val="0"/>
          <w:szCs w:val="22"/>
          <w:lang w:eastAsia="en-AU"/>
        </w:rPr>
        <w:tab/>
      </w:r>
      <w:r>
        <w:t>Catchment Description</w:t>
      </w:r>
      <w:r>
        <w:tab/>
      </w:r>
      <w:r>
        <w:fldChar w:fldCharType="begin"/>
      </w:r>
      <w:r>
        <w:instrText xml:space="preserve"> PAGEREF _Toc387308851 \h </w:instrText>
      </w:r>
      <w:r>
        <w:fldChar w:fldCharType="separate"/>
      </w:r>
      <w:r w:rsidR="00AC6986">
        <w:t>1-1</w:t>
      </w:r>
      <w:r>
        <w:fldChar w:fldCharType="end"/>
      </w:r>
    </w:p>
    <w:p w:rsidR="00007AD7" w:rsidRDefault="00007AD7">
      <w:pPr>
        <w:pStyle w:val="TOC2"/>
        <w:tabs>
          <w:tab w:val="left" w:pos="2098"/>
        </w:tabs>
        <w:rPr>
          <w:rFonts w:asciiTheme="minorHAnsi" w:eastAsiaTheme="minorEastAsia" w:hAnsiTheme="minorHAnsi" w:cstheme="minorBidi"/>
          <w:b w:val="0"/>
          <w:spacing w:val="0"/>
          <w:szCs w:val="22"/>
          <w:lang w:eastAsia="en-AU"/>
        </w:rPr>
      </w:pPr>
      <w:r>
        <w:t>1.3</w:t>
      </w:r>
      <w:r>
        <w:rPr>
          <w:rFonts w:asciiTheme="minorHAnsi" w:eastAsiaTheme="minorEastAsia" w:hAnsiTheme="minorHAnsi" w:cstheme="minorBidi"/>
          <w:b w:val="0"/>
          <w:spacing w:val="0"/>
          <w:szCs w:val="22"/>
          <w:lang w:eastAsia="en-AU"/>
        </w:rPr>
        <w:tab/>
      </w:r>
      <w:r>
        <w:t>History of Flooding</w:t>
      </w:r>
      <w:r>
        <w:tab/>
      </w:r>
      <w:r>
        <w:fldChar w:fldCharType="begin"/>
      </w:r>
      <w:r>
        <w:instrText xml:space="preserve"> PAGEREF _Toc387308852 \h </w:instrText>
      </w:r>
      <w:r>
        <w:fldChar w:fldCharType="separate"/>
      </w:r>
      <w:r w:rsidR="00AC6986">
        <w:t>1-1</w:t>
      </w:r>
      <w:r>
        <w:fldChar w:fldCharType="end"/>
      </w:r>
    </w:p>
    <w:p w:rsidR="00007AD7" w:rsidRDefault="00007AD7">
      <w:pPr>
        <w:pStyle w:val="TOC2"/>
        <w:tabs>
          <w:tab w:val="left" w:pos="2098"/>
        </w:tabs>
        <w:rPr>
          <w:rFonts w:asciiTheme="minorHAnsi" w:eastAsiaTheme="minorEastAsia" w:hAnsiTheme="minorHAnsi" w:cstheme="minorBidi"/>
          <w:b w:val="0"/>
          <w:spacing w:val="0"/>
          <w:szCs w:val="22"/>
          <w:lang w:eastAsia="en-AU"/>
        </w:rPr>
      </w:pPr>
      <w:r>
        <w:t>1.4</w:t>
      </w:r>
      <w:r>
        <w:rPr>
          <w:rFonts w:asciiTheme="minorHAnsi" w:eastAsiaTheme="minorEastAsia" w:hAnsiTheme="minorHAnsi" w:cstheme="minorBidi"/>
          <w:b w:val="0"/>
          <w:spacing w:val="0"/>
          <w:szCs w:val="22"/>
          <w:lang w:eastAsia="en-AU"/>
        </w:rPr>
        <w:tab/>
      </w:r>
      <w:r>
        <w:t>Study Area</w:t>
      </w:r>
      <w:r>
        <w:tab/>
      </w:r>
      <w:r>
        <w:fldChar w:fldCharType="begin"/>
      </w:r>
      <w:r>
        <w:instrText xml:space="preserve"> PAGEREF _Toc387308853 \h </w:instrText>
      </w:r>
      <w:r>
        <w:fldChar w:fldCharType="separate"/>
      </w:r>
      <w:r w:rsidR="00AC6986">
        <w:t>1-1</w:t>
      </w:r>
      <w:r>
        <w:fldChar w:fldCharType="end"/>
      </w:r>
    </w:p>
    <w:p w:rsidR="00007AD7" w:rsidRDefault="00007AD7">
      <w:pPr>
        <w:pStyle w:val="TOC2"/>
        <w:tabs>
          <w:tab w:val="left" w:pos="2098"/>
        </w:tabs>
        <w:rPr>
          <w:rFonts w:asciiTheme="minorHAnsi" w:eastAsiaTheme="minorEastAsia" w:hAnsiTheme="minorHAnsi" w:cstheme="minorBidi"/>
          <w:b w:val="0"/>
          <w:spacing w:val="0"/>
          <w:szCs w:val="22"/>
          <w:lang w:eastAsia="en-AU"/>
        </w:rPr>
      </w:pPr>
      <w:r>
        <w:t>1.5</w:t>
      </w:r>
      <w:r>
        <w:rPr>
          <w:rFonts w:asciiTheme="minorHAnsi" w:eastAsiaTheme="minorEastAsia" w:hAnsiTheme="minorHAnsi" w:cstheme="minorBidi"/>
          <w:b w:val="0"/>
          <w:spacing w:val="0"/>
          <w:szCs w:val="22"/>
          <w:lang w:eastAsia="en-AU"/>
        </w:rPr>
        <w:tab/>
      </w:r>
      <w:r>
        <w:t>Key Objectives</w:t>
      </w:r>
      <w:r>
        <w:tab/>
      </w:r>
      <w:r>
        <w:fldChar w:fldCharType="begin"/>
      </w:r>
      <w:r>
        <w:instrText xml:space="preserve"> PAGEREF _Toc387308854 \h </w:instrText>
      </w:r>
      <w:r>
        <w:fldChar w:fldCharType="separate"/>
      </w:r>
      <w:r w:rsidR="00AC6986">
        <w:t>1-2</w:t>
      </w:r>
      <w:r>
        <w:fldChar w:fldCharType="end"/>
      </w:r>
    </w:p>
    <w:p w:rsidR="00007AD7" w:rsidRDefault="00007AD7">
      <w:pPr>
        <w:pStyle w:val="TOC1"/>
        <w:rPr>
          <w:rFonts w:asciiTheme="minorHAnsi" w:eastAsiaTheme="minorEastAsia" w:hAnsiTheme="minorHAnsi" w:cstheme="minorBidi"/>
          <w:b w:val="0"/>
          <w:smallCaps w:val="0"/>
          <w:spacing w:val="0"/>
          <w:sz w:val="22"/>
          <w:szCs w:val="22"/>
          <w:lang w:eastAsia="en-AU"/>
        </w:rPr>
      </w:pPr>
      <w:r>
        <w:t>2</w:t>
      </w:r>
      <w:r>
        <w:rPr>
          <w:rFonts w:asciiTheme="minorHAnsi" w:eastAsiaTheme="minorEastAsia" w:hAnsiTheme="minorHAnsi" w:cstheme="minorBidi"/>
          <w:b w:val="0"/>
          <w:smallCaps w:val="0"/>
          <w:spacing w:val="0"/>
          <w:sz w:val="22"/>
          <w:szCs w:val="22"/>
          <w:lang w:eastAsia="en-AU"/>
        </w:rPr>
        <w:tab/>
      </w:r>
      <w:r>
        <w:t>Study Approach</w:t>
      </w:r>
      <w:r>
        <w:tab/>
      </w:r>
      <w:r>
        <w:fldChar w:fldCharType="begin"/>
      </w:r>
      <w:r>
        <w:instrText xml:space="preserve"> PAGEREF _Toc387308855 \h </w:instrText>
      </w:r>
      <w:r>
        <w:fldChar w:fldCharType="separate"/>
      </w:r>
      <w:r w:rsidR="00AC6986">
        <w:t>2-1</w:t>
      </w:r>
      <w:r>
        <w:fldChar w:fldCharType="end"/>
      </w:r>
    </w:p>
    <w:p w:rsidR="00007AD7" w:rsidRDefault="00007AD7">
      <w:pPr>
        <w:pStyle w:val="TOC2"/>
        <w:tabs>
          <w:tab w:val="left" w:pos="2098"/>
        </w:tabs>
        <w:rPr>
          <w:rFonts w:asciiTheme="minorHAnsi" w:eastAsiaTheme="minorEastAsia" w:hAnsiTheme="minorHAnsi" w:cstheme="minorBidi"/>
          <w:b w:val="0"/>
          <w:spacing w:val="0"/>
          <w:szCs w:val="22"/>
          <w:lang w:eastAsia="en-AU"/>
        </w:rPr>
      </w:pPr>
      <w:r>
        <w:t>2.1</w:t>
      </w:r>
      <w:r>
        <w:rPr>
          <w:rFonts w:asciiTheme="minorHAnsi" w:eastAsiaTheme="minorEastAsia" w:hAnsiTheme="minorHAnsi" w:cstheme="minorBidi"/>
          <w:b w:val="0"/>
          <w:spacing w:val="0"/>
          <w:szCs w:val="22"/>
          <w:lang w:eastAsia="en-AU"/>
        </w:rPr>
        <w:tab/>
      </w:r>
      <w:r>
        <w:t>Data Collation</w:t>
      </w:r>
      <w:r>
        <w:tab/>
      </w:r>
      <w:r>
        <w:fldChar w:fldCharType="begin"/>
      </w:r>
      <w:r>
        <w:instrText xml:space="preserve"> PAGEREF _Toc387308856 \h </w:instrText>
      </w:r>
      <w:r>
        <w:fldChar w:fldCharType="separate"/>
      </w:r>
      <w:r w:rsidR="00AC6986">
        <w:t>2-1</w:t>
      </w:r>
      <w:r>
        <w:fldChar w:fldCharType="end"/>
      </w:r>
    </w:p>
    <w:p w:rsidR="00007AD7" w:rsidRDefault="00007AD7">
      <w:pPr>
        <w:pStyle w:val="TOC3"/>
        <w:tabs>
          <w:tab w:val="left" w:pos="2400"/>
        </w:tabs>
        <w:rPr>
          <w:rFonts w:asciiTheme="minorHAnsi" w:eastAsiaTheme="minorEastAsia" w:hAnsiTheme="minorHAnsi" w:cstheme="minorBidi"/>
          <w:spacing w:val="0"/>
          <w:szCs w:val="22"/>
          <w:lang w:eastAsia="en-AU"/>
        </w:rPr>
      </w:pPr>
      <w:r>
        <w:t>2.1.1</w:t>
      </w:r>
      <w:r>
        <w:rPr>
          <w:rFonts w:asciiTheme="minorHAnsi" w:eastAsiaTheme="minorEastAsia" w:hAnsiTheme="minorHAnsi" w:cstheme="minorBidi"/>
          <w:spacing w:val="0"/>
          <w:szCs w:val="22"/>
          <w:lang w:eastAsia="en-AU"/>
        </w:rPr>
        <w:tab/>
      </w:r>
      <w:r>
        <w:t>Study Inception and Site Visit</w:t>
      </w:r>
      <w:r>
        <w:tab/>
      </w:r>
      <w:r>
        <w:fldChar w:fldCharType="begin"/>
      </w:r>
      <w:r>
        <w:instrText xml:space="preserve"> PAGEREF _Toc387308857 \h </w:instrText>
      </w:r>
      <w:r>
        <w:fldChar w:fldCharType="separate"/>
      </w:r>
      <w:r w:rsidR="00AC6986">
        <w:t>2-1</w:t>
      </w:r>
      <w:r>
        <w:fldChar w:fldCharType="end"/>
      </w:r>
    </w:p>
    <w:p w:rsidR="00007AD7" w:rsidRDefault="00007AD7">
      <w:pPr>
        <w:pStyle w:val="TOC3"/>
        <w:tabs>
          <w:tab w:val="left" w:pos="2400"/>
        </w:tabs>
        <w:rPr>
          <w:rFonts w:asciiTheme="minorHAnsi" w:eastAsiaTheme="minorEastAsia" w:hAnsiTheme="minorHAnsi" w:cstheme="minorBidi"/>
          <w:spacing w:val="0"/>
          <w:szCs w:val="22"/>
          <w:lang w:eastAsia="en-AU"/>
        </w:rPr>
      </w:pPr>
      <w:r>
        <w:t>2.1.2</w:t>
      </w:r>
      <w:r>
        <w:rPr>
          <w:rFonts w:asciiTheme="minorHAnsi" w:eastAsiaTheme="minorEastAsia" w:hAnsiTheme="minorHAnsi" w:cstheme="minorBidi"/>
          <w:spacing w:val="0"/>
          <w:szCs w:val="22"/>
          <w:lang w:eastAsia="en-AU"/>
        </w:rPr>
        <w:tab/>
      </w:r>
      <w:r>
        <w:t>Drainage, Topographic and GIS Data Sets</w:t>
      </w:r>
      <w:r>
        <w:tab/>
      </w:r>
      <w:r>
        <w:fldChar w:fldCharType="begin"/>
      </w:r>
      <w:r>
        <w:instrText xml:space="preserve"> PAGEREF _Toc387308858 \h </w:instrText>
      </w:r>
      <w:r>
        <w:fldChar w:fldCharType="separate"/>
      </w:r>
      <w:r w:rsidR="00AC6986">
        <w:t>2-1</w:t>
      </w:r>
      <w:r>
        <w:fldChar w:fldCharType="end"/>
      </w:r>
    </w:p>
    <w:p w:rsidR="00007AD7" w:rsidRDefault="00007AD7">
      <w:pPr>
        <w:pStyle w:val="TOC2"/>
        <w:tabs>
          <w:tab w:val="left" w:pos="2098"/>
        </w:tabs>
        <w:rPr>
          <w:rFonts w:asciiTheme="minorHAnsi" w:eastAsiaTheme="minorEastAsia" w:hAnsiTheme="minorHAnsi" w:cstheme="minorBidi"/>
          <w:b w:val="0"/>
          <w:spacing w:val="0"/>
          <w:szCs w:val="22"/>
          <w:lang w:eastAsia="en-AU"/>
        </w:rPr>
      </w:pPr>
      <w:r>
        <w:t>2.2</w:t>
      </w:r>
      <w:r>
        <w:rPr>
          <w:rFonts w:asciiTheme="minorHAnsi" w:eastAsiaTheme="minorEastAsia" w:hAnsiTheme="minorHAnsi" w:cstheme="minorBidi"/>
          <w:b w:val="0"/>
          <w:spacing w:val="0"/>
          <w:szCs w:val="22"/>
          <w:lang w:eastAsia="en-AU"/>
        </w:rPr>
        <w:tab/>
      </w:r>
      <w:r>
        <w:t>Flood Model Development</w:t>
      </w:r>
      <w:r>
        <w:tab/>
      </w:r>
      <w:r>
        <w:fldChar w:fldCharType="begin"/>
      </w:r>
      <w:r>
        <w:instrText xml:space="preserve"> PAGEREF _Toc387308859 \h </w:instrText>
      </w:r>
      <w:r>
        <w:fldChar w:fldCharType="separate"/>
      </w:r>
      <w:r w:rsidR="00AC6986">
        <w:t>2-1</w:t>
      </w:r>
      <w:r>
        <w:fldChar w:fldCharType="end"/>
      </w:r>
    </w:p>
    <w:p w:rsidR="00007AD7" w:rsidRDefault="00007AD7">
      <w:pPr>
        <w:pStyle w:val="TOC2"/>
        <w:tabs>
          <w:tab w:val="left" w:pos="2098"/>
        </w:tabs>
        <w:rPr>
          <w:rFonts w:asciiTheme="minorHAnsi" w:eastAsiaTheme="minorEastAsia" w:hAnsiTheme="minorHAnsi" w:cstheme="minorBidi"/>
          <w:b w:val="0"/>
          <w:spacing w:val="0"/>
          <w:szCs w:val="22"/>
          <w:lang w:eastAsia="en-AU"/>
        </w:rPr>
      </w:pPr>
      <w:r>
        <w:t>2.3</w:t>
      </w:r>
      <w:r>
        <w:rPr>
          <w:rFonts w:asciiTheme="minorHAnsi" w:eastAsiaTheme="minorEastAsia" w:hAnsiTheme="minorHAnsi" w:cstheme="minorBidi"/>
          <w:b w:val="0"/>
          <w:spacing w:val="0"/>
          <w:szCs w:val="22"/>
          <w:lang w:eastAsia="en-AU"/>
        </w:rPr>
        <w:tab/>
      </w:r>
      <w:r>
        <w:t>Flood Mapping</w:t>
      </w:r>
      <w:r>
        <w:tab/>
      </w:r>
      <w:r>
        <w:fldChar w:fldCharType="begin"/>
      </w:r>
      <w:r>
        <w:instrText xml:space="preserve"> PAGEREF _Toc387308860 \h </w:instrText>
      </w:r>
      <w:r>
        <w:fldChar w:fldCharType="separate"/>
      </w:r>
      <w:r w:rsidR="00AC6986">
        <w:t>2-2</w:t>
      </w:r>
      <w:r>
        <w:fldChar w:fldCharType="end"/>
      </w:r>
    </w:p>
    <w:p w:rsidR="00007AD7" w:rsidRDefault="00007AD7">
      <w:pPr>
        <w:pStyle w:val="TOC2"/>
        <w:tabs>
          <w:tab w:val="left" w:pos="2098"/>
        </w:tabs>
        <w:rPr>
          <w:rFonts w:asciiTheme="minorHAnsi" w:eastAsiaTheme="minorEastAsia" w:hAnsiTheme="minorHAnsi" w:cstheme="minorBidi"/>
          <w:b w:val="0"/>
          <w:spacing w:val="0"/>
          <w:szCs w:val="22"/>
          <w:lang w:eastAsia="en-AU"/>
        </w:rPr>
      </w:pPr>
      <w:r>
        <w:t>2.4</w:t>
      </w:r>
      <w:r>
        <w:rPr>
          <w:rFonts w:asciiTheme="minorHAnsi" w:eastAsiaTheme="minorEastAsia" w:hAnsiTheme="minorHAnsi" w:cstheme="minorBidi"/>
          <w:b w:val="0"/>
          <w:spacing w:val="0"/>
          <w:szCs w:val="22"/>
          <w:lang w:eastAsia="en-AU"/>
        </w:rPr>
        <w:tab/>
      </w:r>
      <w:r>
        <w:t>Flood Damages Assessment</w:t>
      </w:r>
      <w:r>
        <w:tab/>
      </w:r>
      <w:r>
        <w:fldChar w:fldCharType="begin"/>
      </w:r>
      <w:r>
        <w:instrText xml:space="preserve"> PAGEREF _Toc387308861 \h </w:instrText>
      </w:r>
      <w:r>
        <w:fldChar w:fldCharType="separate"/>
      </w:r>
      <w:r w:rsidR="00AC6986">
        <w:t>2-2</w:t>
      </w:r>
      <w:r>
        <w:fldChar w:fldCharType="end"/>
      </w:r>
    </w:p>
    <w:p w:rsidR="00007AD7" w:rsidRDefault="00007AD7">
      <w:pPr>
        <w:pStyle w:val="TOC2"/>
        <w:tabs>
          <w:tab w:val="left" w:pos="2098"/>
        </w:tabs>
        <w:rPr>
          <w:rFonts w:asciiTheme="minorHAnsi" w:eastAsiaTheme="minorEastAsia" w:hAnsiTheme="minorHAnsi" w:cstheme="minorBidi"/>
          <w:b w:val="0"/>
          <w:spacing w:val="0"/>
          <w:szCs w:val="22"/>
          <w:lang w:eastAsia="en-AU"/>
        </w:rPr>
      </w:pPr>
      <w:r>
        <w:t>2.5</w:t>
      </w:r>
      <w:r>
        <w:rPr>
          <w:rFonts w:asciiTheme="minorHAnsi" w:eastAsiaTheme="minorEastAsia" w:hAnsiTheme="minorHAnsi" w:cstheme="minorBidi"/>
          <w:b w:val="0"/>
          <w:spacing w:val="0"/>
          <w:szCs w:val="22"/>
          <w:lang w:eastAsia="en-AU"/>
        </w:rPr>
        <w:tab/>
      </w:r>
      <w:r>
        <w:t>Mitigation Options Assessment</w:t>
      </w:r>
      <w:r>
        <w:tab/>
      </w:r>
      <w:r>
        <w:fldChar w:fldCharType="begin"/>
      </w:r>
      <w:r>
        <w:instrText xml:space="preserve"> PAGEREF _Toc387308862 \h </w:instrText>
      </w:r>
      <w:r>
        <w:fldChar w:fldCharType="separate"/>
      </w:r>
      <w:r w:rsidR="00AC6986">
        <w:t>2-2</w:t>
      </w:r>
      <w:r>
        <w:fldChar w:fldCharType="end"/>
      </w:r>
    </w:p>
    <w:p w:rsidR="00007AD7" w:rsidRDefault="00007AD7">
      <w:pPr>
        <w:pStyle w:val="TOC2"/>
        <w:tabs>
          <w:tab w:val="left" w:pos="2098"/>
        </w:tabs>
        <w:rPr>
          <w:rFonts w:asciiTheme="minorHAnsi" w:eastAsiaTheme="minorEastAsia" w:hAnsiTheme="minorHAnsi" w:cstheme="minorBidi"/>
          <w:b w:val="0"/>
          <w:spacing w:val="0"/>
          <w:szCs w:val="22"/>
          <w:lang w:eastAsia="en-AU"/>
        </w:rPr>
      </w:pPr>
      <w:r>
        <w:t>2.6</w:t>
      </w:r>
      <w:r>
        <w:rPr>
          <w:rFonts w:asciiTheme="minorHAnsi" w:eastAsiaTheme="minorEastAsia" w:hAnsiTheme="minorHAnsi" w:cstheme="minorBidi"/>
          <w:b w:val="0"/>
          <w:spacing w:val="0"/>
          <w:szCs w:val="22"/>
          <w:lang w:eastAsia="en-AU"/>
        </w:rPr>
        <w:tab/>
      </w:r>
      <w:r>
        <w:t>Reporting</w:t>
      </w:r>
      <w:r>
        <w:tab/>
      </w:r>
      <w:r>
        <w:fldChar w:fldCharType="begin"/>
      </w:r>
      <w:r>
        <w:instrText xml:space="preserve"> PAGEREF _Toc387308863 \h </w:instrText>
      </w:r>
      <w:r>
        <w:fldChar w:fldCharType="separate"/>
      </w:r>
      <w:r w:rsidR="00AC6986">
        <w:t>2-2</w:t>
      </w:r>
      <w:r>
        <w:fldChar w:fldCharType="end"/>
      </w:r>
    </w:p>
    <w:p w:rsidR="00007AD7" w:rsidRDefault="00007AD7">
      <w:pPr>
        <w:pStyle w:val="TOC1"/>
        <w:rPr>
          <w:rFonts w:asciiTheme="minorHAnsi" w:eastAsiaTheme="minorEastAsia" w:hAnsiTheme="minorHAnsi" w:cstheme="minorBidi"/>
          <w:b w:val="0"/>
          <w:smallCaps w:val="0"/>
          <w:spacing w:val="0"/>
          <w:sz w:val="22"/>
          <w:szCs w:val="22"/>
          <w:lang w:eastAsia="en-AU"/>
        </w:rPr>
      </w:pPr>
      <w:r>
        <w:t>3</w:t>
      </w:r>
      <w:r>
        <w:rPr>
          <w:rFonts w:asciiTheme="minorHAnsi" w:eastAsiaTheme="minorEastAsia" w:hAnsiTheme="minorHAnsi" w:cstheme="minorBidi"/>
          <w:b w:val="0"/>
          <w:smallCaps w:val="0"/>
          <w:spacing w:val="0"/>
          <w:sz w:val="22"/>
          <w:szCs w:val="22"/>
          <w:lang w:eastAsia="en-AU"/>
        </w:rPr>
        <w:tab/>
      </w:r>
      <w:r>
        <w:t>Data Collation</w:t>
      </w:r>
      <w:r>
        <w:tab/>
      </w:r>
      <w:r>
        <w:fldChar w:fldCharType="begin"/>
      </w:r>
      <w:r>
        <w:instrText xml:space="preserve"> PAGEREF _Toc387308864 \h </w:instrText>
      </w:r>
      <w:r>
        <w:fldChar w:fldCharType="separate"/>
      </w:r>
      <w:r w:rsidR="00AC6986">
        <w:t>3-1</w:t>
      </w:r>
      <w:r>
        <w:fldChar w:fldCharType="end"/>
      </w:r>
    </w:p>
    <w:p w:rsidR="00007AD7" w:rsidRDefault="00007AD7">
      <w:pPr>
        <w:pStyle w:val="TOC2"/>
        <w:tabs>
          <w:tab w:val="left" w:pos="2098"/>
        </w:tabs>
        <w:rPr>
          <w:rFonts w:asciiTheme="minorHAnsi" w:eastAsiaTheme="minorEastAsia" w:hAnsiTheme="minorHAnsi" w:cstheme="minorBidi"/>
          <w:b w:val="0"/>
          <w:spacing w:val="0"/>
          <w:szCs w:val="22"/>
          <w:lang w:eastAsia="en-AU"/>
        </w:rPr>
      </w:pPr>
      <w:r>
        <w:t>3.1</w:t>
      </w:r>
      <w:r>
        <w:rPr>
          <w:rFonts w:asciiTheme="minorHAnsi" w:eastAsiaTheme="minorEastAsia" w:hAnsiTheme="minorHAnsi" w:cstheme="minorBidi"/>
          <w:b w:val="0"/>
          <w:spacing w:val="0"/>
          <w:szCs w:val="22"/>
          <w:lang w:eastAsia="en-AU"/>
        </w:rPr>
        <w:tab/>
      </w:r>
      <w:r>
        <w:t>Site Inspection</w:t>
      </w:r>
      <w:r>
        <w:tab/>
      </w:r>
      <w:r>
        <w:fldChar w:fldCharType="begin"/>
      </w:r>
      <w:r>
        <w:instrText xml:space="preserve"> PAGEREF _Toc387308865 \h </w:instrText>
      </w:r>
      <w:r>
        <w:fldChar w:fldCharType="separate"/>
      </w:r>
      <w:r w:rsidR="00AC6986">
        <w:t>3-1</w:t>
      </w:r>
      <w:r>
        <w:fldChar w:fldCharType="end"/>
      </w:r>
    </w:p>
    <w:p w:rsidR="00007AD7" w:rsidRDefault="00007AD7">
      <w:pPr>
        <w:pStyle w:val="TOC2"/>
        <w:tabs>
          <w:tab w:val="left" w:pos="2098"/>
        </w:tabs>
        <w:rPr>
          <w:rFonts w:asciiTheme="minorHAnsi" w:eastAsiaTheme="minorEastAsia" w:hAnsiTheme="minorHAnsi" w:cstheme="minorBidi"/>
          <w:b w:val="0"/>
          <w:spacing w:val="0"/>
          <w:szCs w:val="22"/>
          <w:lang w:eastAsia="en-AU"/>
        </w:rPr>
      </w:pPr>
      <w:r>
        <w:t>3.2</w:t>
      </w:r>
      <w:r>
        <w:rPr>
          <w:rFonts w:asciiTheme="minorHAnsi" w:eastAsiaTheme="minorEastAsia" w:hAnsiTheme="minorHAnsi" w:cstheme="minorBidi"/>
          <w:b w:val="0"/>
          <w:spacing w:val="0"/>
          <w:szCs w:val="22"/>
          <w:lang w:eastAsia="en-AU"/>
        </w:rPr>
        <w:tab/>
      </w:r>
      <w:r>
        <w:t>GIS Data</w:t>
      </w:r>
      <w:r>
        <w:tab/>
      </w:r>
      <w:r>
        <w:fldChar w:fldCharType="begin"/>
      </w:r>
      <w:r>
        <w:instrText xml:space="preserve"> PAGEREF _Toc387308866 \h </w:instrText>
      </w:r>
      <w:r>
        <w:fldChar w:fldCharType="separate"/>
      </w:r>
      <w:r w:rsidR="00AC6986">
        <w:t>3-1</w:t>
      </w:r>
      <w:r>
        <w:fldChar w:fldCharType="end"/>
      </w:r>
    </w:p>
    <w:p w:rsidR="00007AD7" w:rsidRDefault="00007AD7">
      <w:pPr>
        <w:pStyle w:val="TOC2"/>
        <w:tabs>
          <w:tab w:val="left" w:pos="2098"/>
        </w:tabs>
        <w:rPr>
          <w:rFonts w:asciiTheme="minorHAnsi" w:eastAsiaTheme="minorEastAsia" w:hAnsiTheme="minorHAnsi" w:cstheme="minorBidi"/>
          <w:b w:val="0"/>
          <w:spacing w:val="0"/>
          <w:szCs w:val="22"/>
          <w:lang w:eastAsia="en-AU"/>
        </w:rPr>
      </w:pPr>
      <w:r>
        <w:t>3.3</w:t>
      </w:r>
      <w:r>
        <w:rPr>
          <w:rFonts w:asciiTheme="minorHAnsi" w:eastAsiaTheme="minorEastAsia" w:hAnsiTheme="minorHAnsi" w:cstheme="minorBidi"/>
          <w:b w:val="0"/>
          <w:spacing w:val="0"/>
          <w:szCs w:val="22"/>
          <w:lang w:eastAsia="en-AU"/>
        </w:rPr>
        <w:tab/>
      </w:r>
      <w:r>
        <w:t>Drainage Data</w:t>
      </w:r>
      <w:r>
        <w:tab/>
      </w:r>
      <w:r>
        <w:fldChar w:fldCharType="begin"/>
      </w:r>
      <w:r>
        <w:instrText xml:space="preserve"> PAGEREF _Toc387308867 \h </w:instrText>
      </w:r>
      <w:r>
        <w:fldChar w:fldCharType="separate"/>
      </w:r>
      <w:r w:rsidR="00AC6986">
        <w:t>3-1</w:t>
      </w:r>
      <w:r>
        <w:fldChar w:fldCharType="end"/>
      </w:r>
    </w:p>
    <w:p w:rsidR="00007AD7" w:rsidRDefault="00007AD7">
      <w:pPr>
        <w:pStyle w:val="TOC2"/>
        <w:tabs>
          <w:tab w:val="left" w:pos="2098"/>
        </w:tabs>
        <w:rPr>
          <w:rFonts w:asciiTheme="minorHAnsi" w:eastAsiaTheme="minorEastAsia" w:hAnsiTheme="minorHAnsi" w:cstheme="minorBidi"/>
          <w:b w:val="0"/>
          <w:spacing w:val="0"/>
          <w:szCs w:val="22"/>
          <w:lang w:eastAsia="en-AU"/>
        </w:rPr>
      </w:pPr>
      <w:r>
        <w:t>3.4</w:t>
      </w:r>
      <w:r>
        <w:rPr>
          <w:rFonts w:asciiTheme="minorHAnsi" w:eastAsiaTheme="minorEastAsia" w:hAnsiTheme="minorHAnsi" w:cstheme="minorBidi"/>
          <w:b w:val="0"/>
          <w:spacing w:val="0"/>
          <w:szCs w:val="22"/>
          <w:lang w:eastAsia="en-AU"/>
        </w:rPr>
        <w:tab/>
      </w:r>
      <w:r>
        <w:t>Topographic Data</w:t>
      </w:r>
      <w:r>
        <w:tab/>
      </w:r>
      <w:r>
        <w:fldChar w:fldCharType="begin"/>
      </w:r>
      <w:r>
        <w:instrText xml:space="preserve"> PAGEREF _Toc387308868 \h </w:instrText>
      </w:r>
      <w:r>
        <w:fldChar w:fldCharType="separate"/>
      </w:r>
      <w:r w:rsidR="00AC6986">
        <w:t>3-1</w:t>
      </w:r>
      <w:r>
        <w:fldChar w:fldCharType="end"/>
      </w:r>
    </w:p>
    <w:p w:rsidR="00007AD7" w:rsidRDefault="00007AD7">
      <w:pPr>
        <w:pStyle w:val="TOC2"/>
        <w:tabs>
          <w:tab w:val="left" w:pos="2098"/>
        </w:tabs>
        <w:rPr>
          <w:rFonts w:asciiTheme="minorHAnsi" w:eastAsiaTheme="minorEastAsia" w:hAnsiTheme="minorHAnsi" w:cstheme="minorBidi"/>
          <w:b w:val="0"/>
          <w:spacing w:val="0"/>
          <w:szCs w:val="22"/>
          <w:lang w:eastAsia="en-AU"/>
        </w:rPr>
      </w:pPr>
      <w:r>
        <w:t>3.5</w:t>
      </w:r>
      <w:r>
        <w:rPr>
          <w:rFonts w:asciiTheme="minorHAnsi" w:eastAsiaTheme="minorEastAsia" w:hAnsiTheme="minorHAnsi" w:cstheme="minorBidi"/>
          <w:b w:val="0"/>
          <w:spacing w:val="0"/>
          <w:szCs w:val="22"/>
          <w:lang w:eastAsia="en-AU"/>
        </w:rPr>
        <w:tab/>
      </w:r>
      <w:r>
        <w:t>Survey Data</w:t>
      </w:r>
      <w:r>
        <w:tab/>
      </w:r>
      <w:r>
        <w:fldChar w:fldCharType="begin"/>
      </w:r>
      <w:r>
        <w:instrText xml:space="preserve"> PAGEREF _Toc387308869 \h </w:instrText>
      </w:r>
      <w:r>
        <w:fldChar w:fldCharType="separate"/>
      </w:r>
      <w:r w:rsidR="00AC6986">
        <w:t>3-2</w:t>
      </w:r>
      <w:r>
        <w:fldChar w:fldCharType="end"/>
      </w:r>
    </w:p>
    <w:p w:rsidR="00007AD7" w:rsidRDefault="00007AD7">
      <w:pPr>
        <w:pStyle w:val="TOC1"/>
        <w:rPr>
          <w:rFonts w:asciiTheme="minorHAnsi" w:eastAsiaTheme="minorEastAsia" w:hAnsiTheme="minorHAnsi" w:cstheme="minorBidi"/>
          <w:b w:val="0"/>
          <w:smallCaps w:val="0"/>
          <w:spacing w:val="0"/>
          <w:sz w:val="22"/>
          <w:szCs w:val="22"/>
          <w:lang w:eastAsia="en-AU"/>
        </w:rPr>
      </w:pPr>
      <w:r>
        <w:t>4</w:t>
      </w:r>
      <w:r>
        <w:rPr>
          <w:rFonts w:asciiTheme="minorHAnsi" w:eastAsiaTheme="minorEastAsia" w:hAnsiTheme="minorHAnsi" w:cstheme="minorBidi"/>
          <w:b w:val="0"/>
          <w:smallCaps w:val="0"/>
          <w:spacing w:val="0"/>
          <w:sz w:val="22"/>
          <w:szCs w:val="22"/>
          <w:lang w:eastAsia="en-AU"/>
        </w:rPr>
        <w:tab/>
      </w:r>
      <w:r>
        <w:t>Flood Model Development</w:t>
      </w:r>
      <w:r>
        <w:tab/>
      </w:r>
      <w:r>
        <w:fldChar w:fldCharType="begin"/>
      </w:r>
      <w:r>
        <w:instrText xml:space="preserve"> PAGEREF _Toc387308870 \h </w:instrText>
      </w:r>
      <w:r>
        <w:fldChar w:fldCharType="separate"/>
      </w:r>
      <w:r w:rsidR="00AC6986">
        <w:t>4-1</w:t>
      </w:r>
      <w:r>
        <w:fldChar w:fldCharType="end"/>
      </w:r>
    </w:p>
    <w:p w:rsidR="00007AD7" w:rsidRDefault="00007AD7">
      <w:pPr>
        <w:pStyle w:val="TOC2"/>
        <w:tabs>
          <w:tab w:val="left" w:pos="2098"/>
        </w:tabs>
        <w:rPr>
          <w:rFonts w:asciiTheme="minorHAnsi" w:eastAsiaTheme="minorEastAsia" w:hAnsiTheme="minorHAnsi" w:cstheme="minorBidi"/>
          <w:b w:val="0"/>
          <w:spacing w:val="0"/>
          <w:szCs w:val="22"/>
          <w:lang w:eastAsia="en-AU"/>
        </w:rPr>
      </w:pPr>
      <w:r>
        <w:t>4.1</w:t>
      </w:r>
      <w:r>
        <w:rPr>
          <w:rFonts w:asciiTheme="minorHAnsi" w:eastAsiaTheme="minorEastAsia" w:hAnsiTheme="minorHAnsi" w:cstheme="minorBidi"/>
          <w:b w:val="0"/>
          <w:spacing w:val="0"/>
          <w:szCs w:val="22"/>
          <w:lang w:eastAsia="en-AU"/>
        </w:rPr>
        <w:tab/>
      </w:r>
      <w:r>
        <w:t>Hydrologic Modelling</w:t>
      </w:r>
      <w:r>
        <w:tab/>
      </w:r>
      <w:r>
        <w:fldChar w:fldCharType="begin"/>
      </w:r>
      <w:r>
        <w:instrText xml:space="preserve"> PAGEREF _Toc387308871 \h </w:instrText>
      </w:r>
      <w:r>
        <w:fldChar w:fldCharType="separate"/>
      </w:r>
      <w:r w:rsidR="00AC6986">
        <w:t>4-1</w:t>
      </w:r>
      <w:r>
        <w:fldChar w:fldCharType="end"/>
      </w:r>
    </w:p>
    <w:p w:rsidR="00007AD7" w:rsidRDefault="00007AD7">
      <w:pPr>
        <w:pStyle w:val="TOC3"/>
        <w:tabs>
          <w:tab w:val="left" w:pos="2400"/>
        </w:tabs>
        <w:rPr>
          <w:rFonts w:asciiTheme="minorHAnsi" w:eastAsiaTheme="minorEastAsia" w:hAnsiTheme="minorHAnsi" w:cstheme="minorBidi"/>
          <w:spacing w:val="0"/>
          <w:szCs w:val="22"/>
          <w:lang w:eastAsia="en-AU"/>
        </w:rPr>
      </w:pPr>
      <w:r>
        <w:t>4.1.1</w:t>
      </w:r>
      <w:r>
        <w:rPr>
          <w:rFonts w:asciiTheme="minorHAnsi" w:eastAsiaTheme="minorEastAsia" w:hAnsiTheme="minorHAnsi" w:cstheme="minorBidi"/>
          <w:spacing w:val="0"/>
          <w:szCs w:val="22"/>
          <w:lang w:eastAsia="en-AU"/>
        </w:rPr>
        <w:tab/>
      </w:r>
      <w:r>
        <w:t>RORB Model</w:t>
      </w:r>
      <w:r>
        <w:tab/>
      </w:r>
      <w:r>
        <w:fldChar w:fldCharType="begin"/>
      </w:r>
      <w:r>
        <w:instrText xml:space="preserve"> PAGEREF _Toc387308872 \h </w:instrText>
      </w:r>
      <w:r>
        <w:fldChar w:fldCharType="separate"/>
      </w:r>
      <w:r w:rsidR="00AC6986">
        <w:t>4-1</w:t>
      </w:r>
      <w:r>
        <w:fldChar w:fldCharType="end"/>
      </w:r>
    </w:p>
    <w:p w:rsidR="00007AD7" w:rsidRDefault="00007AD7">
      <w:pPr>
        <w:pStyle w:val="TOC4"/>
        <w:tabs>
          <w:tab w:val="left" w:pos="2916"/>
        </w:tabs>
        <w:rPr>
          <w:rFonts w:asciiTheme="minorHAnsi" w:eastAsiaTheme="minorEastAsia" w:hAnsiTheme="minorHAnsi" w:cstheme="minorBidi"/>
          <w:i w:val="0"/>
          <w:spacing w:val="0"/>
          <w:sz w:val="22"/>
          <w:szCs w:val="22"/>
          <w:lang w:eastAsia="en-AU"/>
        </w:rPr>
      </w:pPr>
      <w:r>
        <w:t>4.1.1.1</w:t>
      </w:r>
      <w:r>
        <w:rPr>
          <w:rFonts w:asciiTheme="minorHAnsi" w:eastAsiaTheme="minorEastAsia" w:hAnsiTheme="minorHAnsi" w:cstheme="minorBidi"/>
          <w:i w:val="0"/>
          <w:spacing w:val="0"/>
          <w:sz w:val="22"/>
          <w:szCs w:val="22"/>
          <w:lang w:eastAsia="en-AU"/>
        </w:rPr>
        <w:tab/>
      </w:r>
      <w:r>
        <w:t>Model Description</w:t>
      </w:r>
      <w:r>
        <w:tab/>
      </w:r>
      <w:r>
        <w:fldChar w:fldCharType="begin"/>
      </w:r>
      <w:r>
        <w:instrText xml:space="preserve"> PAGEREF _Toc387308873 \h </w:instrText>
      </w:r>
      <w:r>
        <w:fldChar w:fldCharType="separate"/>
      </w:r>
      <w:r w:rsidR="00AC6986">
        <w:t>4-1</w:t>
      </w:r>
      <w:r>
        <w:fldChar w:fldCharType="end"/>
      </w:r>
    </w:p>
    <w:p w:rsidR="00007AD7" w:rsidRDefault="00007AD7">
      <w:pPr>
        <w:pStyle w:val="TOC4"/>
        <w:tabs>
          <w:tab w:val="left" w:pos="2916"/>
        </w:tabs>
        <w:rPr>
          <w:rFonts w:asciiTheme="minorHAnsi" w:eastAsiaTheme="minorEastAsia" w:hAnsiTheme="minorHAnsi" w:cstheme="minorBidi"/>
          <w:i w:val="0"/>
          <w:spacing w:val="0"/>
          <w:sz w:val="22"/>
          <w:szCs w:val="22"/>
          <w:lang w:eastAsia="en-AU"/>
        </w:rPr>
      </w:pPr>
      <w:r>
        <w:t>4.1.1.2</w:t>
      </w:r>
      <w:r>
        <w:rPr>
          <w:rFonts w:asciiTheme="minorHAnsi" w:eastAsiaTheme="minorEastAsia" w:hAnsiTheme="minorHAnsi" w:cstheme="minorBidi"/>
          <w:i w:val="0"/>
          <w:spacing w:val="0"/>
          <w:sz w:val="22"/>
          <w:szCs w:val="22"/>
          <w:lang w:eastAsia="en-AU"/>
        </w:rPr>
        <w:tab/>
      </w:r>
      <w:r>
        <w:t>Sub-Catchment Definition</w:t>
      </w:r>
      <w:r>
        <w:tab/>
      </w:r>
      <w:r>
        <w:fldChar w:fldCharType="begin"/>
      </w:r>
      <w:r>
        <w:instrText xml:space="preserve"> PAGEREF _Toc387308874 \h </w:instrText>
      </w:r>
      <w:r>
        <w:fldChar w:fldCharType="separate"/>
      </w:r>
      <w:r w:rsidR="00AC6986">
        <w:t>4-1</w:t>
      </w:r>
      <w:r>
        <w:fldChar w:fldCharType="end"/>
      </w:r>
    </w:p>
    <w:p w:rsidR="00007AD7" w:rsidRDefault="00007AD7">
      <w:pPr>
        <w:pStyle w:val="TOC4"/>
        <w:tabs>
          <w:tab w:val="left" w:pos="2916"/>
        </w:tabs>
        <w:rPr>
          <w:rFonts w:asciiTheme="minorHAnsi" w:eastAsiaTheme="minorEastAsia" w:hAnsiTheme="minorHAnsi" w:cstheme="minorBidi"/>
          <w:i w:val="0"/>
          <w:spacing w:val="0"/>
          <w:sz w:val="22"/>
          <w:szCs w:val="22"/>
          <w:lang w:eastAsia="en-AU"/>
        </w:rPr>
      </w:pPr>
      <w:r>
        <w:lastRenderedPageBreak/>
        <w:t>4.1.1.3</w:t>
      </w:r>
      <w:r>
        <w:rPr>
          <w:rFonts w:asciiTheme="minorHAnsi" w:eastAsiaTheme="minorEastAsia" w:hAnsiTheme="minorHAnsi" w:cstheme="minorBidi"/>
          <w:i w:val="0"/>
          <w:spacing w:val="0"/>
          <w:sz w:val="22"/>
          <w:szCs w:val="22"/>
          <w:lang w:eastAsia="en-AU"/>
        </w:rPr>
        <w:tab/>
      </w:r>
      <w:r>
        <w:t>Global Parameters</w:t>
      </w:r>
      <w:r>
        <w:tab/>
      </w:r>
      <w:r>
        <w:fldChar w:fldCharType="begin"/>
      </w:r>
      <w:r>
        <w:instrText xml:space="preserve"> PAGEREF _Toc387308875 \h </w:instrText>
      </w:r>
      <w:r>
        <w:fldChar w:fldCharType="separate"/>
      </w:r>
      <w:r w:rsidR="00AC6986">
        <w:t>4-3</w:t>
      </w:r>
      <w:r>
        <w:fldChar w:fldCharType="end"/>
      </w:r>
    </w:p>
    <w:p w:rsidR="00007AD7" w:rsidRDefault="00007AD7">
      <w:pPr>
        <w:pStyle w:val="TOC4"/>
        <w:tabs>
          <w:tab w:val="left" w:pos="2916"/>
        </w:tabs>
        <w:rPr>
          <w:rFonts w:asciiTheme="minorHAnsi" w:eastAsiaTheme="minorEastAsia" w:hAnsiTheme="minorHAnsi" w:cstheme="minorBidi"/>
          <w:i w:val="0"/>
          <w:spacing w:val="0"/>
          <w:sz w:val="22"/>
          <w:szCs w:val="22"/>
          <w:lang w:eastAsia="en-AU"/>
        </w:rPr>
      </w:pPr>
      <w:r>
        <w:t>4.1.1.4</w:t>
      </w:r>
      <w:r>
        <w:rPr>
          <w:rFonts w:asciiTheme="minorHAnsi" w:eastAsiaTheme="minorEastAsia" w:hAnsiTheme="minorHAnsi" w:cstheme="minorBidi"/>
          <w:i w:val="0"/>
          <w:spacing w:val="0"/>
          <w:sz w:val="22"/>
          <w:szCs w:val="22"/>
          <w:lang w:eastAsia="en-AU"/>
        </w:rPr>
        <w:tab/>
      </w:r>
      <w:r>
        <w:t>IFD Parameters</w:t>
      </w:r>
      <w:r>
        <w:tab/>
      </w:r>
      <w:r>
        <w:fldChar w:fldCharType="begin"/>
      </w:r>
      <w:r>
        <w:instrText xml:space="preserve"> PAGEREF _Toc387308876 \h </w:instrText>
      </w:r>
      <w:r>
        <w:fldChar w:fldCharType="separate"/>
      </w:r>
      <w:r w:rsidR="00AC6986">
        <w:t>4-3</w:t>
      </w:r>
      <w:r>
        <w:fldChar w:fldCharType="end"/>
      </w:r>
    </w:p>
    <w:p w:rsidR="00007AD7" w:rsidRDefault="00007AD7">
      <w:pPr>
        <w:pStyle w:val="TOC4"/>
        <w:tabs>
          <w:tab w:val="left" w:pos="2916"/>
        </w:tabs>
        <w:rPr>
          <w:rFonts w:asciiTheme="minorHAnsi" w:eastAsiaTheme="minorEastAsia" w:hAnsiTheme="minorHAnsi" w:cstheme="minorBidi"/>
          <w:i w:val="0"/>
          <w:spacing w:val="0"/>
          <w:sz w:val="22"/>
          <w:szCs w:val="22"/>
          <w:lang w:eastAsia="en-AU"/>
        </w:rPr>
      </w:pPr>
      <w:r>
        <w:t>4.1.1.5</w:t>
      </w:r>
      <w:r>
        <w:rPr>
          <w:rFonts w:asciiTheme="minorHAnsi" w:eastAsiaTheme="minorEastAsia" w:hAnsiTheme="minorHAnsi" w:cstheme="minorBidi"/>
          <w:i w:val="0"/>
          <w:spacing w:val="0"/>
          <w:sz w:val="22"/>
          <w:szCs w:val="22"/>
          <w:lang w:eastAsia="en-AU"/>
        </w:rPr>
        <w:tab/>
      </w:r>
      <w:r>
        <w:t>Loss Parameters</w:t>
      </w:r>
      <w:r>
        <w:tab/>
      </w:r>
      <w:r>
        <w:fldChar w:fldCharType="begin"/>
      </w:r>
      <w:r>
        <w:instrText xml:space="preserve"> PAGEREF _Toc387308877 \h </w:instrText>
      </w:r>
      <w:r>
        <w:fldChar w:fldCharType="separate"/>
      </w:r>
      <w:r w:rsidR="00AC6986">
        <w:t>4-4</w:t>
      </w:r>
      <w:r>
        <w:fldChar w:fldCharType="end"/>
      </w:r>
    </w:p>
    <w:p w:rsidR="00007AD7" w:rsidRDefault="00007AD7">
      <w:pPr>
        <w:pStyle w:val="TOC4"/>
        <w:tabs>
          <w:tab w:val="left" w:pos="2916"/>
        </w:tabs>
        <w:rPr>
          <w:rFonts w:asciiTheme="minorHAnsi" w:eastAsiaTheme="minorEastAsia" w:hAnsiTheme="minorHAnsi" w:cstheme="minorBidi"/>
          <w:i w:val="0"/>
          <w:spacing w:val="0"/>
          <w:sz w:val="22"/>
          <w:szCs w:val="22"/>
          <w:lang w:eastAsia="en-AU"/>
        </w:rPr>
      </w:pPr>
      <w:r>
        <w:t>4.1.1.6</w:t>
      </w:r>
      <w:r>
        <w:rPr>
          <w:rFonts w:asciiTheme="minorHAnsi" w:eastAsiaTheme="minorEastAsia" w:hAnsiTheme="minorHAnsi" w:cstheme="minorBidi"/>
          <w:i w:val="0"/>
          <w:spacing w:val="0"/>
          <w:sz w:val="22"/>
          <w:szCs w:val="22"/>
          <w:lang w:eastAsia="en-AU"/>
        </w:rPr>
        <w:tab/>
      </w:r>
      <w:r>
        <w:t>Fraction Impervious</w:t>
      </w:r>
      <w:r>
        <w:tab/>
      </w:r>
      <w:r>
        <w:fldChar w:fldCharType="begin"/>
      </w:r>
      <w:r>
        <w:instrText xml:space="preserve"> PAGEREF _Toc387308878 \h </w:instrText>
      </w:r>
      <w:r>
        <w:fldChar w:fldCharType="separate"/>
      </w:r>
      <w:r w:rsidR="00AC6986">
        <w:t>4-4</w:t>
      </w:r>
      <w:r>
        <w:fldChar w:fldCharType="end"/>
      </w:r>
    </w:p>
    <w:p w:rsidR="00007AD7" w:rsidRDefault="00007AD7">
      <w:pPr>
        <w:pStyle w:val="TOC4"/>
        <w:tabs>
          <w:tab w:val="left" w:pos="2916"/>
        </w:tabs>
        <w:rPr>
          <w:rFonts w:asciiTheme="minorHAnsi" w:eastAsiaTheme="minorEastAsia" w:hAnsiTheme="minorHAnsi" w:cstheme="minorBidi"/>
          <w:i w:val="0"/>
          <w:spacing w:val="0"/>
          <w:sz w:val="22"/>
          <w:szCs w:val="22"/>
          <w:lang w:eastAsia="en-AU"/>
        </w:rPr>
      </w:pPr>
      <w:r>
        <w:t>4.1.1.7</w:t>
      </w:r>
      <w:r>
        <w:rPr>
          <w:rFonts w:asciiTheme="minorHAnsi" w:eastAsiaTheme="minorEastAsia" w:hAnsiTheme="minorHAnsi" w:cstheme="minorBidi"/>
          <w:i w:val="0"/>
          <w:spacing w:val="0"/>
          <w:sz w:val="22"/>
          <w:szCs w:val="22"/>
          <w:lang w:eastAsia="en-AU"/>
        </w:rPr>
        <w:tab/>
      </w:r>
      <w:r>
        <w:t>Retarding Basins</w:t>
      </w:r>
      <w:r>
        <w:tab/>
      </w:r>
      <w:r>
        <w:fldChar w:fldCharType="begin"/>
      </w:r>
      <w:r>
        <w:instrText xml:space="preserve"> PAGEREF _Toc387308879 \h </w:instrText>
      </w:r>
      <w:r>
        <w:fldChar w:fldCharType="separate"/>
      </w:r>
      <w:r w:rsidR="00AC6986">
        <w:t>4-5</w:t>
      </w:r>
      <w:r>
        <w:fldChar w:fldCharType="end"/>
      </w:r>
    </w:p>
    <w:p w:rsidR="00007AD7" w:rsidRDefault="00007AD7">
      <w:pPr>
        <w:pStyle w:val="TOC3"/>
        <w:tabs>
          <w:tab w:val="left" w:pos="2400"/>
        </w:tabs>
        <w:rPr>
          <w:rFonts w:asciiTheme="minorHAnsi" w:eastAsiaTheme="minorEastAsia" w:hAnsiTheme="minorHAnsi" w:cstheme="minorBidi"/>
          <w:spacing w:val="0"/>
          <w:szCs w:val="22"/>
          <w:lang w:eastAsia="en-AU"/>
        </w:rPr>
      </w:pPr>
      <w:r>
        <w:t>4.1.2</w:t>
      </w:r>
      <w:r>
        <w:rPr>
          <w:rFonts w:asciiTheme="minorHAnsi" w:eastAsiaTheme="minorEastAsia" w:hAnsiTheme="minorHAnsi" w:cstheme="minorBidi"/>
          <w:spacing w:val="0"/>
          <w:szCs w:val="22"/>
          <w:lang w:eastAsia="en-AU"/>
        </w:rPr>
        <w:tab/>
      </w:r>
      <w:r>
        <w:t>Hydrological Model Verification</w:t>
      </w:r>
      <w:r>
        <w:tab/>
      </w:r>
      <w:r>
        <w:fldChar w:fldCharType="begin"/>
      </w:r>
      <w:r>
        <w:instrText xml:space="preserve"> PAGEREF _Toc387308880 \h </w:instrText>
      </w:r>
      <w:r>
        <w:fldChar w:fldCharType="separate"/>
      </w:r>
      <w:r w:rsidR="00AC6986">
        <w:t>4-7</w:t>
      </w:r>
      <w:r>
        <w:fldChar w:fldCharType="end"/>
      </w:r>
    </w:p>
    <w:p w:rsidR="00007AD7" w:rsidRDefault="00007AD7">
      <w:pPr>
        <w:pStyle w:val="TOC3"/>
        <w:tabs>
          <w:tab w:val="left" w:pos="2400"/>
        </w:tabs>
        <w:rPr>
          <w:rFonts w:asciiTheme="minorHAnsi" w:eastAsiaTheme="minorEastAsia" w:hAnsiTheme="minorHAnsi" w:cstheme="minorBidi"/>
          <w:spacing w:val="0"/>
          <w:szCs w:val="22"/>
          <w:lang w:eastAsia="en-AU"/>
        </w:rPr>
      </w:pPr>
      <w:r>
        <w:t>4.1.3</w:t>
      </w:r>
      <w:r>
        <w:rPr>
          <w:rFonts w:asciiTheme="minorHAnsi" w:eastAsiaTheme="minorEastAsia" w:hAnsiTheme="minorHAnsi" w:cstheme="minorBidi"/>
          <w:spacing w:val="0"/>
          <w:szCs w:val="22"/>
          <w:lang w:eastAsia="en-AU"/>
        </w:rPr>
        <w:tab/>
      </w:r>
      <w:r>
        <w:t>Design Event Modelling</w:t>
      </w:r>
      <w:r>
        <w:tab/>
      </w:r>
      <w:r>
        <w:fldChar w:fldCharType="begin"/>
      </w:r>
      <w:r>
        <w:instrText xml:space="preserve"> PAGEREF _Toc387308881 \h </w:instrText>
      </w:r>
      <w:r>
        <w:fldChar w:fldCharType="separate"/>
      </w:r>
      <w:r w:rsidR="00AC6986">
        <w:t>4-9</w:t>
      </w:r>
      <w:r>
        <w:fldChar w:fldCharType="end"/>
      </w:r>
    </w:p>
    <w:p w:rsidR="00007AD7" w:rsidRDefault="00007AD7">
      <w:pPr>
        <w:pStyle w:val="TOC4"/>
        <w:tabs>
          <w:tab w:val="left" w:pos="2916"/>
        </w:tabs>
        <w:rPr>
          <w:rFonts w:asciiTheme="minorHAnsi" w:eastAsiaTheme="minorEastAsia" w:hAnsiTheme="minorHAnsi" w:cstheme="minorBidi"/>
          <w:i w:val="0"/>
          <w:spacing w:val="0"/>
          <w:sz w:val="22"/>
          <w:szCs w:val="22"/>
          <w:lang w:eastAsia="en-AU"/>
        </w:rPr>
      </w:pPr>
      <w:r>
        <w:t>4.1.3.1</w:t>
      </w:r>
      <w:r>
        <w:rPr>
          <w:rFonts w:asciiTheme="minorHAnsi" w:eastAsiaTheme="minorEastAsia" w:hAnsiTheme="minorHAnsi" w:cstheme="minorBidi"/>
          <w:i w:val="0"/>
          <w:spacing w:val="0"/>
          <w:sz w:val="22"/>
          <w:szCs w:val="22"/>
          <w:lang w:eastAsia="en-AU"/>
        </w:rPr>
        <w:tab/>
      </w:r>
      <w:r>
        <w:t>Design Event Probabilities</w:t>
      </w:r>
      <w:r>
        <w:tab/>
      </w:r>
      <w:r>
        <w:fldChar w:fldCharType="begin"/>
      </w:r>
      <w:r>
        <w:instrText xml:space="preserve"> PAGEREF _Toc387308882 \h </w:instrText>
      </w:r>
      <w:r>
        <w:fldChar w:fldCharType="separate"/>
      </w:r>
      <w:r w:rsidR="00AC6986">
        <w:t>4-9</w:t>
      </w:r>
      <w:r>
        <w:fldChar w:fldCharType="end"/>
      </w:r>
    </w:p>
    <w:p w:rsidR="00007AD7" w:rsidRDefault="00007AD7">
      <w:pPr>
        <w:pStyle w:val="TOC4"/>
        <w:tabs>
          <w:tab w:val="left" w:pos="2916"/>
        </w:tabs>
        <w:rPr>
          <w:rFonts w:asciiTheme="minorHAnsi" w:eastAsiaTheme="minorEastAsia" w:hAnsiTheme="minorHAnsi" w:cstheme="minorBidi"/>
          <w:i w:val="0"/>
          <w:spacing w:val="0"/>
          <w:sz w:val="22"/>
          <w:szCs w:val="22"/>
          <w:lang w:eastAsia="en-AU"/>
        </w:rPr>
      </w:pPr>
      <w:r>
        <w:t>4.1.3.2</w:t>
      </w:r>
      <w:r>
        <w:rPr>
          <w:rFonts w:asciiTheme="minorHAnsi" w:eastAsiaTheme="minorEastAsia" w:hAnsiTheme="minorHAnsi" w:cstheme="minorBidi"/>
          <w:i w:val="0"/>
          <w:spacing w:val="0"/>
          <w:sz w:val="22"/>
          <w:szCs w:val="22"/>
          <w:lang w:eastAsia="en-AU"/>
        </w:rPr>
        <w:tab/>
      </w:r>
      <w:r>
        <w:t>Design Rainfall</w:t>
      </w:r>
      <w:r>
        <w:tab/>
      </w:r>
      <w:r>
        <w:fldChar w:fldCharType="begin"/>
      </w:r>
      <w:r>
        <w:instrText xml:space="preserve"> PAGEREF _Toc387308883 \h </w:instrText>
      </w:r>
      <w:r>
        <w:fldChar w:fldCharType="separate"/>
      </w:r>
      <w:r w:rsidR="00AC6986">
        <w:t>4-9</w:t>
      </w:r>
      <w:r>
        <w:fldChar w:fldCharType="end"/>
      </w:r>
    </w:p>
    <w:p w:rsidR="00007AD7" w:rsidRDefault="00007AD7">
      <w:pPr>
        <w:pStyle w:val="TOC4"/>
        <w:tabs>
          <w:tab w:val="left" w:pos="2916"/>
        </w:tabs>
        <w:rPr>
          <w:rFonts w:asciiTheme="minorHAnsi" w:eastAsiaTheme="minorEastAsia" w:hAnsiTheme="minorHAnsi" w:cstheme="minorBidi"/>
          <w:i w:val="0"/>
          <w:spacing w:val="0"/>
          <w:sz w:val="22"/>
          <w:szCs w:val="22"/>
          <w:lang w:eastAsia="en-AU"/>
        </w:rPr>
      </w:pPr>
      <w:r>
        <w:t>4.1.3.3</w:t>
      </w:r>
      <w:r>
        <w:rPr>
          <w:rFonts w:asciiTheme="minorHAnsi" w:eastAsiaTheme="minorEastAsia" w:hAnsiTheme="minorHAnsi" w:cstheme="minorBidi"/>
          <w:i w:val="0"/>
          <w:spacing w:val="0"/>
          <w:sz w:val="22"/>
          <w:szCs w:val="22"/>
          <w:lang w:eastAsia="en-AU"/>
        </w:rPr>
        <w:tab/>
      </w:r>
      <w:r>
        <w:t>Critical Duration</w:t>
      </w:r>
      <w:r>
        <w:tab/>
      </w:r>
      <w:r>
        <w:fldChar w:fldCharType="begin"/>
      </w:r>
      <w:r>
        <w:instrText xml:space="preserve"> PAGEREF _Toc387308884 \h </w:instrText>
      </w:r>
      <w:r>
        <w:fldChar w:fldCharType="separate"/>
      </w:r>
      <w:r w:rsidR="00AC6986">
        <w:t>4-9</w:t>
      </w:r>
      <w:r>
        <w:fldChar w:fldCharType="end"/>
      </w:r>
    </w:p>
    <w:p w:rsidR="00007AD7" w:rsidRDefault="00007AD7">
      <w:pPr>
        <w:pStyle w:val="TOC3"/>
        <w:tabs>
          <w:tab w:val="left" w:pos="2400"/>
        </w:tabs>
        <w:rPr>
          <w:rFonts w:asciiTheme="minorHAnsi" w:eastAsiaTheme="minorEastAsia" w:hAnsiTheme="minorHAnsi" w:cstheme="minorBidi"/>
          <w:spacing w:val="0"/>
          <w:szCs w:val="22"/>
          <w:lang w:eastAsia="en-AU"/>
        </w:rPr>
      </w:pPr>
      <w:r>
        <w:t>4.1.4</w:t>
      </w:r>
      <w:r>
        <w:rPr>
          <w:rFonts w:asciiTheme="minorHAnsi" w:eastAsiaTheme="minorEastAsia" w:hAnsiTheme="minorHAnsi" w:cstheme="minorBidi"/>
          <w:spacing w:val="0"/>
          <w:szCs w:val="22"/>
          <w:lang w:eastAsia="en-AU"/>
        </w:rPr>
        <w:tab/>
      </w:r>
      <w:r>
        <w:t>Peak Outflows</w:t>
      </w:r>
      <w:r>
        <w:tab/>
      </w:r>
      <w:r>
        <w:fldChar w:fldCharType="begin"/>
      </w:r>
      <w:r>
        <w:instrText xml:space="preserve"> PAGEREF _Toc387308885 \h </w:instrText>
      </w:r>
      <w:r>
        <w:fldChar w:fldCharType="separate"/>
      </w:r>
      <w:r w:rsidR="00AC6986">
        <w:t>4-9</w:t>
      </w:r>
      <w:r>
        <w:fldChar w:fldCharType="end"/>
      </w:r>
    </w:p>
    <w:p w:rsidR="00007AD7" w:rsidRDefault="00007AD7">
      <w:pPr>
        <w:pStyle w:val="TOC2"/>
        <w:tabs>
          <w:tab w:val="left" w:pos="2098"/>
        </w:tabs>
        <w:rPr>
          <w:rFonts w:asciiTheme="minorHAnsi" w:eastAsiaTheme="minorEastAsia" w:hAnsiTheme="minorHAnsi" w:cstheme="minorBidi"/>
          <w:b w:val="0"/>
          <w:spacing w:val="0"/>
          <w:szCs w:val="22"/>
          <w:lang w:eastAsia="en-AU"/>
        </w:rPr>
      </w:pPr>
      <w:r>
        <w:t>4.2</w:t>
      </w:r>
      <w:r>
        <w:rPr>
          <w:rFonts w:asciiTheme="minorHAnsi" w:eastAsiaTheme="minorEastAsia" w:hAnsiTheme="minorHAnsi" w:cstheme="minorBidi"/>
          <w:b w:val="0"/>
          <w:spacing w:val="0"/>
          <w:szCs w:val="22"/>
          <w:lang w:eastAsia="en-AU"/>
        </w:rPr>
        <w:tab/>
      </w:r>
      <w:r>
        <w:t>Hydraulic Model</w:t>
      </w:r>
      <w:r>
        <w:tab/>
      </w:r>
      <w:r>
        <w:fldChar w:fldCharType="begin"/>
      </w:r>
      <w:r>
        <w:instrText xml:space="preserve"> PAGEREF _Toc387308886 \h </w:instrText>
      </w:r>
      <w:r>
        <w:fldChar w:fldCharType="separate"/>
      </w:r>
      <w:r w:rsidR="00AC6986">
        <w:t>4-14</w:t>
      </w:r>
      <w:r>
        <w:fldChar w:fldCharType="end"/>
      </w:r>
    </w:p>
    <w:p w:rsidR="00007AD7" w:rsidRDefault="00007AD7">
      <w:pPr>
        <w:pStyle w:val="TOC3"/>
        <w:tabs>
          <w:tab w:val="left" w:pos="2400"/>
        </w:tabs>
        <w:rPr>
          <w:rFonts w:asciiTheme="minorHAnsi" w:eastAsiaTheme="minorEastAsia" w:hAnsiTheme="minorHAnsi" w:cstheme="minorBidi"/>
          <w:spacing w:val="0"/>
          <w:szCs w:val="22"/>
          <w:lang w:eastAsia="en-AU"/>
        </w:rPr>
      </w:pPr>
      <w:r>
        <w:t>4.2.1</w:t>
      </w:r>
      <w:r>
        <w:rPr>
          <w:rFonts w:asciiTheme="minorHAnsi" w:eastAsiaTheme="minorEastAsia" w:hAnsiTheme="minorHAnsi" w:cstheme="minorBidi"/>
          <w:spacing w:val="0"/>
          <w:szCs w:val="22"/>
          <w:lang w:eastAsia="en-AU"/>
        </w:rPr>
        <w:tab/>
      </w:r>
      <w:r>
        <w:t>Model Description</w:t>
      </w:r>
      <w:r>
        <w:tab/>
      </w:r>
      <w:r>
        <w:fldChar w:fldCharType="begin"/>
      </w:r>
      <w:r>
        <w:instrText xml:space="preserve"> PAGEREF _Toc387308887 \h </w:instrText>
      </w:r>
      <w:r>
        <w:fldChar w:fldCharType="separate"/>
      </w:r>
      <w:r w:rsidR="00AC6986">
        <w:t>4-14</w:t>
      </w:r>
      <w:r>
        <w:fldChar w:fldCharType="end"/>
      </w:r>
    </w:p>
    <w:p w:rsidR="00007AD7" w:rsidRDefault="00007AD7">
      <w:pPr>
        <w:pStyle w:val="TOC3"/>
        <w:tabs>
          <w:tab w:val="left" w:pos="2400"/>
        </w:tabs>
        <w:rPr>
          <w:rFonts w:asciiTheme="minorHAnsi" w:eastAsiaTheme="minorEastAsia" w:hAnsiTheme="minorHAnsi" w:cstheme="minorBidi"/>
          <w:spacing w:val="0"/>
          <w:szCs w:val="22"/>
          <w:lang w:eastAsia="en-AU"/>
        </w:rPr>
      </w:pPr>
      <w:r>
        <w:t>4.2.2</w:t>
      </w:r>
      <w:r>
        <w:rPr>
          <w:rFonts w:asciiTheme="minorHAnsi" w:eastAsiaTheme="minorEastAsia" w:hAnsiTheme="minorHAnsi" w:cstheme="minorBidi"/>
          <w:spacing w:val="0"/>
          <w:szCs w:val="22"/>
          <w:lang w:eastAsia="en-AU"/>
        </w:rPr>
        <w:tab/>
      </w:r>
      <w:r>
        <w:t>Model Development</w:t>
      </w:r>
      <w:r>
        <w:tab/>
      </w:r>
      <w:r>
        <w:fldChar w:fldCharType="begin"/>
      </w:r>
      <w:r>
        <w:instrText xml:space="preserve"> PAGEREF _Toc387308888 \h </w:instrText>
      </w:r>
      <w:r>
        <w:fldChar w:fldCharType="separate"/>
      </w:r>
      <w:r w:rsidR="00AC6986">
        <w:t>4-16</w:t>
      </w:r>
      <w:r>
        <w:fldChar w:fldCharType="end"/>
      </w:r>
    </w:p>
    <w:p w:rsidR="00007AD7" w:rsidRDefault="00007AD7">
      <w:pPr>
        <w:pStyle w:val="TOC4"/>
        <w:tabs>
          <w:tab w:val="left" w:pos="2916"/>
        </w:tabs>
        <w:rPr>
          <w:rFonts w:asciiTheme="minorHAnsi" w:eastAsiaTheme="minorEastAsia" w:hAnsiTheme="minorHAnsi" w:cstheme="minorBidi"/>
          <w:i w:val="0"/>
          <w:spacing w:val="0"/>
          <w:sz w:val="22"/>
          <w:szCs w:val="22"/>
          <w:lang w:eastAsia="en-AU"/>
        </w:rPr>
      </w:pPr>
      <w:r>
        <w:t>4.2.2.1</w:t>
      </w:r>
      <w:r>
        <w:rPr>
          <w:rFonts w:asciiTheme="minorHAnsi" w:eastAsiaTheme="minorEastAsia" w:hAnsiTheme="minorHAnsi" w:cstheme="minorBidi"/>
          <w:i w:val="0"/>
          <w:spacing w:val="0"/>
          <w:sz w:val="22"/>
          <w:szCs w:val="22"/>
          <w:lang w:eastAsia="en-AU"/>
        </w:rPr>
        <w:tab/>
      </w:r>
      <w:r>
        <w:t>Pipe Network Setup</w:t>
      </w:r>
      <w:r>
        <w:tab/>
      </w:r>
      <w:r>
        <w:fldChar w:fldCharType="begin"/>
      </w:r>
      <w:r>
        <w:instrText xml:space="preserve"> PAGEREF _Toc387308889 \h </w:instrText>
      </w:r>
      <w:r>
        <w:fldChar w:fldCharType="separate"/>
      </w:r>
      <w:r w:rsidR="00AC6986">
        <w:t>4-16</w:t>
      </w:r>
      <w:r>
        <w:fldChar w:fldCharType="end"/>
      </w:r>
    </w:p>
    <w:p w:rsidR="00007AD7" w:rsidRDefault="00007AD7">
      <w:pPr>
        <w:pStyle w:val="TOC4"/>
        <w:tabs>
          <w:tab w:val="left" w:pos="2916"/>
        </w:tabs>
        <w:rPr>
          <w:rFonts w:asciiTheme="minorHAnsi" w:eastAsiaTheme="minorEastAsia" w:hAnsiTheme="minorHAnsi" w:cstheme="minorBidi"/>
          <w:i w:val="0"/>
          <w:spacing w:val="0"/>
          <w:sz w:val="22"/>
          <w:szCs w:val="22"/>
          <w:lang w:eastAsia="en-AU"/>
        </w:rPr>
      </w:pPr>
      <w:r>
        <w:t>4.2.2.2</w:t>
      </w:r>
      <w:r>
        <w:rPr>
          <w:rFonts w:asciiTheme="minorHAnsi" w:eastAsiaTheme="minorEastAsia" w:hAnsiTheme="minorHAnsi" w:cstheme="minorBidi"/>
          <w:i w:val="0"/>
          <w:spacing w:val="0"/>
          <w:sz w:val="22"/>
          <w:szCs w:val="22"/>
          <w:lang w:eastAsia="en-AU"/>
        </w:rPr>
        <w:tab/>
      </w:r>
      <w:r>
        <w:t>Pits</w:t>
      </w:r>
      <w:r>
        <w:tab/>
      </w:r>
      <w:r>
        <w:fldChar w:fldCharType="begin"/>
      </w:r>
      <w:r>
        <w:instrText xml:space="preserve"> PAGEREF _Toc387308890 \h </w:instrText>
      </w:r>
      <w:r>
        <w:fldChar w:fldCharType="separate"/>
      </w:r>
      <w:r w:rsidR="00AC6986">
        <w:t>4-17</w:t>
      </w:r>
      <w:r>
        <w:fldChar w:fldCharType="end"/>
      </w:r>
    </w:p>
    <w:p w:rsidR="00007AD7" w:rsidRDefault="00007AD7">
      <w:pPr>
        <w:pStyle w:val="TOC4"/>
        <w:tabs>
          <w:tab w:val="left" w:pos="2916"/>
        </w:tabs>
        <w:rPr>
          <w:rFonts w:asciiTheme="minorHAnsi" w:eastAsiaTheme="minorEastAsia" w:hAnsiTheme="minorHAnsi" w:cstheme="minorBidi"/>
          <w:i w:val="0"/>
          <w:spacing w:val="0"/>
          <w:sz w:val="22"/>
          <w:szCs w:val="22"/>
          <w:lang w:eastAsia="en-AU"/>
        </w:rPr>
      </w:pPr>
      <w:r>
        <w:t>4.2.2.3</w:t>
      </w:r>
      <w:r>
        <w:rPr>
          <w:rFonts w:asciiTheme="minorHAnsi" w:eastAsiaTheme="minorEastAsia" w:hAnsiTheme="minorHAnsi" w:cstheme="minorBidi"/>
          <w:i w:val="0"/>
          <w:spacing w:val="0"/>
          <w:sz w:val="22"/>
          <w:szCs w:val="22"/>
          <w:lang w:eastAsia="en-AU"/>
        </w:rPr>
        <w:tab/>
      </w:r>
      <w:r>
        <w:t>Multiple Domain Linking</w:t>
      </w:r>
      <w:r>
        <w:tab/>
      </w:r>
      <w:r>
        <w:fldChar w:fldCharType="begin"/>
      </w:r>
      <w:r>
        <w:instrText xml:space="preserve"> PAGEREF _Toc387308891 \h </w:instrText>
      </w:r>
      <w:r>
        <w:fldChar w:fldCharType="separate"/>
      </w:r>
      <w:r w:rsidR="00AC6986">
        <w:t>4-17</w:t>
      </w:r>
      <w:r>
        <w:fldChar w:fldCharType="end"/>
      </w:r>
    </w:p>
    <w:p w:rsidR="00007AD7" w:rsidRDefault="00007AD7">
      <w:pPr>
        <w:pStyle w:val="TOC3"/>
        <w:tabs>
          <w:tab w:val="left" w:pos="2400"/>
        </w:tabs>
        <w:rPr>
          <w:rFonts w:asciiTheme="minorHAnsi" w:eastAsiaTheme="minorEastAsia" w:hAnsiTheme="minorHAnsi" w:cstheme="minorBidi"/>
          <w:spacing w:val="0"/>
          <w:szCs w:val="22"/>
          <w:lang w:eastAsia="en-AU"/>
        </w:rPr>
      </w:pPr>
      <w:r>
        <w:t>4.2.3</w:t>
      </w:r>
      <w:r>
        <w:rPr>
          <w:rFonts w:asciiTheme="minorHAnsi" w:eastAsiaTheme="minorEastAsia" w:hAnsiTheme="minorHAnsi" w:cstheme="minorBidi"/>
          <w:spacing w:val="0"/>
          <w:szCs w:val="22"/>
          <w:lang w:eastAsia="en-AU"/>
        </w:rPr>
        <w:tab/>
      </w:r>
      <w:r>
        <w:t>Boundary Conditions</w:t>
      </w:r>
      <w:r>
        <w:tab/>
      </w:r>
      <w:r>
        <w:fldChar w:fldCharType="begin"/>
      </w:r>
      <w:r>
        <w:instrText xml:space="preserve"> PAGEREF _Toc387308892 \h </w:instrText>
      </w:r>
      <w:r>
        <w:fldChar w:fldCharType="separate"/>
      </w:r>
      <w:r w:rsidR="00AC6986">
        <w:t>4-18</w:t>
      </w:r>
      <w:r>
        <w:fldChar w:fldCharType="end"/>
      </w:r>
    </w:p>
    <w:p w:rsidR="00007AD7" w:rsidRDefault="00007AD7">
      <w:pPr>
        <w:pStyle w:val="TOC3"/>
        <w:tabs>
          <w:tab w:val="left" w:pos="2400"/>
        </w:tabs>
        <w:rPr>
          <w:rFonts w:asciiTheme="minorHAnsi" w:eastAsiaTheme="minorEastAsia" w:hAnsiTheme="minorHAnsi" w:cstheme="minorBidi"/>
          <w:spacing w:val="0"/>
          <w:szCs w:val="22"/>
          <w:lang w:eastAsia="en-AU"/>
        </w:rPr>
      </w:pPr>
      <w:r>
        <w:t>4.2.4</w:t>
      </w:r>
      <w:r>
        <w:rPr>
          <w:rFonts w:asciiTheme="minorHAnsi" w:eastAsiaTheme="minorEastAsia" w:hAnsiTheme="minorHAnsi" w:cstheme="minorBidi"/>
          <w:spacing w:val="0"/>
          <w:szCs w:val="22"/>
          <w:lang w:eastAsia="en-AU"/>
        </w:rPr>
        <w:tab/>
      </w:r>
      <w:r>
        <w:t>Design Event Modelling</w:t>
      </w:r>
      <w:r>
        <w:tab/>
      </w:r>
      <w:r>
        <w:fldChar w:fldCharType="begin"/>
      </w:r>
      <w:r>
        <w:instrText xml:space="preserve"> PAGEREF _Toc387308893 \h </w:instrText>
      </w:r>
      <w:r>
        <w:fldChar w:fldCharType="separate"/>
      </w:r>
      <w:r w:rsidR="00AC6986">
        <w:t>4-18</w:t>
      </w:r>
      <w:r>
        <w:fldChar w:fldCharType="end"/>
      </w:r>
    </w:p>
    <w:p w:rsidR="00007AD7" w:rsidRDefault="00007AD7">
      <w:pPr>
        <w:pStyle w:val="TOC1"/>
        <w:rPr>
          <w:rFonts w:asciiTheme="minorHAnsi" w:eastAsiaTheme="minorEastAsia" w:hAnsiTheme="minorHAnsi" w:cstheme="minorBidi"/>
          <w:b w:val="0"/>
          <w:smallCaps w:val="0"/>
          <w:spacing w:val="0"/>
          <w:sz w:val="22"/>
          <w:szCs w:val="22"/>
          <w:lang w:eastAsia="en-AU"/>
        </w:rPr>
      </w:pPr>
      <w:r>
        <w:t>5</w:t>
      </w:r>
      <w:r>
        <w:rPr>
          <w:rFonts w:asciiTheme="minorHAnsi" w:eastAsiaTheme="minorEastAsia" w:hAnsiTheme="minorHAnsi" w:cstheme="minorBidi"/>
          <w:b w:val="0"/>
          <w:smallCaps w:val="0"/>
          <w:spacing w:val="0"/>
          <w:sz w:val="22"/>
          <w:szCs w:val="22"/>
          <w:lang w:eastAsia="en-AU"/>
        </w:rPr>
        <w:tab/>
      </w:r>
      <w:r>
        <w:t>Flood Mapping</w:t>
      </w:r>
      <w:r>
        <w:tab/>
      </w:r>
      <w:r>
        <w:fldChar w:fldCharType="begin"/>
      </w:r>
      <w:r>
        <w:instrText xml:space="preserve"> PAGEREF _Toc387308894 \h </w:instrText>
      </w:r>
      <w:r>
        <w:fldChar w:fldCharType="separate"/>
      </w:r>
      <w:r w:rsidR="00AC6986">
        <w:t>5-1</w:t>
      </w:r>
      <w:r>
        <w:fldChar w:fldCharType="end"/>
      </w:r>
    </w:p>
    <w:p w:rsidR="00007AD7" w:rsidRDefault="00007AD7">
      <w:pPr>
        <w:pStyle w:val="TOC1"/>
        <w:rPr>
          <w:rFonts w:asciiTheme="minorHAnsi" w:eastAsiaTheme="minorEastAsia" w:hAnsiTheme="minorHAnsi" w:cstheme="minorBidi"/>
          <w:b w:val="0"/>
          <w:smallCaps w:val="0"/>
          <w:spacing w:val="0"/>
          <w:sz w:val="22"/>
          <w:szCs w:val="22"/>
          <w:lang w:eastAsia="en-AU"/>
        </w:rPr>
      </w:pPr>
      <w:r>
        <w:t>6</w:t>
      </w:r>
      <w:r>
        <w:rPr>
          <w:rFonts w:asciiTheme="minorHAnsi" w:eastAsiaTheme="minorEastAsia" w:hAnsiTheme="minorHAnsi" w:cstheme="minorBidi"/>
          <w:b w:val="0"/>
          <w:smallCaps w:val="0"/>
          <w:spacing w:val="0"/>
          <w:sz w:val="22"/>
          <w:szCs w:val="22"/>
          <w:lang w:eastAsia="en-AU"/>
        </w:rPr>
        <w:tab/>
      </w:r>
      <w:r>
        <w:t>Flood Damages Assessment</w:t>
      </w:r>
      <w:r>
        <w:tab/>
      </w:r>
      <w:r>
        <w:fldChar w:fldCharType="begin"/>
      </w:r>
      <w:r>
        <w:instrText xml:space="preserve"> PAGEREF _Toc387308895 \h </w:instrText>
      </w:r>
      <w:r>
        <w:fldChar w:fldCharType="separate"/>
      </w:r>
      <w:r w:rsidR="00AC6986">
        <w:t>6-1</w:t>
      </w:r>
      <w:r>
        <w:fldChar w:fldCharType="end"/>
      </w:r>
    </w:p>
    <w:p w:rsidR="00007AD7" w:rsidRDefault="00007AD7">
      <w:pPr>
        <w:pStyle w:val="TOC2"/>
        <w:tabs>
          <w:tab w:val="left" w:pos="2098"/>
        </w:tabs>
        <w:rPr>
          <w:rFonts w:asciiTheme="minorHAnsi" w:eastAsiaTheme="minorEastAsia" w:hAnsiTheme="minorHAnsi" w:cstheme="minorBidi"/>
          <w:b w:val="0"/>
          <w:spacing w:val="0"/>
          <w:szCs w:val="22"/>
          <w:lang w:eastAsia="en-AU"/>
        </w:rPr>
      </w:pPr>
      <w:r>
        <w:t>6.1</w:t>
      </w:r>
      <w:r>
        <w:rPr>
          <w:rFonts w:asciiTheme="minorHAnsi" w:eastAsiaTheme="minorEastAsia" w:hAnsiTheme="minorHAnsi" w:cstheme="minorBidi"/>
          <w:b w:val="0"/>
          <w:spacing w:val="0"/>
          <w:szCs w:val="22"/>
          <w:lang w:eastAsia="en-AU"/>
        </w:rPr>
        <w:tab/>
      </w:r>
      <w:r>
        <w:t>Methodology</w:t>
      </w:r>
      <w:r>
        <w:tab/>
      </w:r>
      <w:r>
        <w:fldChar w:fldCharType="begin"/>
      </w:r>
      <w:r>
        <w:instrText xml:space="preserve"> PAGEREF _Toc387308896 \h </w:instrText>
      </w:r>
      <w:r>
        <w:fldChar w:fldCharType="separate"/>
      </w:r>
      <w:r w:rsidR="00AC6986">
        <w:t>6-1</w:t>
      </w:r>
      <w:r>
        <w:fldChar w:fldCharType="end"/>
      </w:r>
    </w:p>
    <w:p w:rsidR="00007AD7" w:rsidRDefault="00007AD7">
      <w:pPr>
        <w:pStyle w:val="TOC3"/>
        <w:tabs>
          <w:tab w:val="left" w:pos="2400"/>
        </w:tabs>
        <w:rPr>
          <w:rFonts w:asciiTheme="minorHAnsi" w:eastAsiaTheme="minorEastAsia" w:hAnsiTheme="minorHAnsi" w:cstheme="minorBidi"/>
          <w:spacing w:val="0"/>
          <w:szCs w:val="22"/>
          <w:lang w:eastAsia="en-AU"/>
        </w:rPr>
      </w:pPr>
      <w:r>
        <w:t>6.1.1</w:t>
      </w:r>
      <w:r>
        <w:rPr>
          <w:rFonts w:asciiTheme="minorHAnsi" w:eastAsiaTheme="minorEastAsia" w:hAnsiTheme="minorHAnsi" w:cstheme="minorBidi"/>
          <w:spacing w:val="0"/>
          <w:szCs w:val="22"/>
          <w:lang w:eastAsia="en-AU"/>
        </w:rPr>
        <w:tab/>
      </w:r>
      <w:r>
        <w:t>Key Assumptions</w:t>
      </w:r>
      <w:r>
        <w:tab/>
      </w:r>
      <w:r>
        <w:fldChar w:fldCharType="begin"/>
      </w:r>
      <w:r>
        <w:instrText xml:space="preserve"> PAGEREF _Toc387308897 \h </w:instrText>
      </w:r>
      <w:r>
        <w:fldChar w:fldCharType="separate"/>
      </w:r>
      <w:r w:rsidR="00AC6986">
        <w:t>6-1</w:t>
      </w:r>
      <w:r>
        <w:fldChar w:fldCharType="end"/>
      </w:r>
    </w:p>
    <w:p w:rsidR="00007AD7" w:rsidRDefault="00007AD7">
      <w:pPr>
        <w:pStyle w:val="TOC3"/>
        <w:tabs>
          <w:tab w:val="left" w:pos="2400"/>
        </w:tabs>
        <w:rPr>
          <w:rFonts w:asciiTheme="minorHAnsi" w:eastAsiaTheme="minorEastAsia" w:hAnsiTheme="minorHAnsi" w:cstheme="minorBidi"/>
          <w:spacing w:val="0"/>
          <w:szCs w:val="22"/>
          <w:lang w:eastAsia="en-AU"/>
        </w:rPr>
      </w:pPr>
      <w:r>
        <w:t>6.1.2</w:t>
      </w:r>
      <w:r>
        <w:rPr>
          <w:rFonts w:asciiTheme="minorHAnsi" w:eastAsiaTheme="minorEastAsia" w:hAnsiTheme="minorHAnsi" w:cstheme="minorBidi"/>
          <w:spacing w:val="0"/>
          <w:szCs w:val="22"/>
          <w:lang w:eastAsia="en-AU"/>
        </w:rPr>
        <w:tab/>
      </w:r>
      <w:r>
        <w:t>Stage-Damage Curves</w:t>
      </w:r>
      <w:r>
        <w:tab/>
      </w:r>
      <w:r>
        <w:fldChar w:fldCharType="begin"/>
      </w:r>
      <w:r>
        <w:instrText xml:space="preserve"> PAGEREF _Toc387308898 \h </w:instrText>
      </w:r>
      <w:r>
        <w:fldChar w:fldCharType="separate"/>
      </w:r>
      <w:r w:rsidR="00AC6986">
        <w:t>6-2</w:t>
      </w:r>
      <w:r>
        <w:fldChar w:fldCharType="end"/>
      </w:r>
    </w:p>
    <w:p w:rsidR="00007AD7" w:rsidRDefault="00007AD7">
      <w:pPr>
        <w:pStyle w:val="TOC3"/>
        <w:tabs>
          <w:tab w:val="left" w:pos="2400"/>
        </w:tabs>
        <w:rPr>
          <w:rFonts w:asciiTheme="minorHAnsi" w:eastAsiaTheme="minorEastAsia" w:hAnsiTheme="minorHAnsi" w:cstheme="minorBidi"/>
          <w:spacing w:val="0"/>
          <w:szCs w:val="22"/>
          <w:lang w:eastAsia="en-AU"/>
        </w:rPr>
      </w:pPr>
      <w:r>
        <w:t>6.1.3</w:t>
      </w:r>
      <w:r>
        <w:rPr>
          <w:rFonts w:asciiTheme="minorHAnsi" w:eastAsiaTheme="minorEastAsia" w:hAnsiTheme="minorHAnsi" w:cstheme="minorBidi"/>
          <w:spacing w:val="0"/>
          <w:szCs w:val="22"/>
          <w:lang w:eastAsia="en-AU"/>
        </w:rPr>
        <w:tab/>
      </w:r>
      <w:r>
        <w:t>Damage Calculations</w:t>
      </w:r>
      <w:r>
        <w:tab/>
      </w:r>
      <w:r>
        <w:fldChar w:fldCharType="begin"/>
      </w:r>
      <w:r>
        <w:instrText xml:space="preserve"> PAGEREF _Toc387308899 \h </w:instrText>
      </w:r>
      <w:r>
        <w:fldChar w:fldCharType="separate"/>
      </w:r>
      <w:r w:rsidR="00AC6986">
        <w:t>6-2</w:t>
      </w:r>
      <w:r>
        <w:fldChar w:fldCharType="end"/>
      </w:r>
    </w:p>
    <w:p w:rsidR="00007AD7" w:rsidRDefault="00007AD7">
      <w:pPr>
        <w:pStyle w:val="TOC2"/>
        <w:tabs>
          <w:tab w:val="left" w:pos="2098"/>
        </w:tabs>
        <w:rPr>
          <w:rFonts w:asciiTheme="minorHAnsi" w:eastAsiaTheme="minorEastAsia" w:hAnsiTheme="minorHAnsi" w:cstheme="minorBidi"/>
          <w:b w:val="0"/>
          <w:spacing w:val="0"/>
          <w:szCs w:val="22"/>
          <w:lang w:eastAsia="en-AU"/>
        </w:rPr>
      </w:pPr>
      <w:r>
        <w:t>6.2</w:t>
      </w:r>
      <w:r>
        <w:rPr>
          <w:rFonts w:asciiTheme="minorHAnsi" w:eastAsiaTheme="minorEastAsia" w:hAnsiTheme="minorHAnsi" w:cstheme="minorBidi"/>
          <w:b w:val="0"/>
          <w:spacing w:val="0"/>
          <w:szCs w:val="22"/>
          <w:lang w:eastAsia="en-AU"/>
        </w:rPr>
        <w:tab/>
      </w:r>
      <w:r>
        <w:t>Existing Conditions Flood Damages</w:t>
      </w:r>
      <w:r>
        <w:tab/>
      </w:r>
      <w:r>
        <w:fldChar w:fldCharType="begin"/>
      </w:r>
      <w:r>
        <w:instrText xml:space="preserve"> PAGEREF _Toc387308900 \h </w:instrText>
      </w:r>
      <w:r>
        <w:fldChar w:fldCharType="separate"/>
      </w:r>
      <w:r w:rsidR="00AC6986">
        <w:t>6-3</w:t>
      </w:r>
      <w:r>
        <w:fldChar w:fldCharType="end"/>
      </w:r>
    </w:p>
    <w:p w:rsidR="00007AD7" w:rsidRDefault="00007AD7">
      <w:pPr>
        <w:pStyle w:val="TOC1"/>
        <w:rPr>
          <w:rFonts w:asciiTheme="minorHAnsi" w:eastAsiaTheme="minorEastAsia" w:hAnsiTheme="minorHAnsi" w:cstheme="minorBidi"/>
          <w:b w:val="0"/>
          <w:smallCaps w:val="0"/>
          <w:spacing w:val="0"/>
          <w:sz w:val="22"/>
          <w:szCs w:val="22"/>
          <w:lang w:eastAsia="en-AU"/>
        </w:rPr>
      </w:pPr>
      <w:r>
        <w:t>7</w:t>
      </w:r>
      <w:r>
        <w:rPr>
          <w:rFonts w:asciiTheme="minorHAnsi" w:eastAsiaTheme="minorEastAsia" w:hAnsiTheme="minorHAnsi" w:cstheme="minorBidi"/>
          <w:b w:val="0"/>
          <w:smallCaps w:val="0"/>
          <w:spacing w:val="0"/>
          <w:sz w:val="22"/>
          <w:szCs w:val="22"/>
          <w:lang w:eastAsia="en-AU"/>
        </w:rPr>
        <w:tab/>
      </w:r>
      <w:r>
        <w:t>Mitigation Schemes Assessment</w:t>
      </w:r>
      <w:r>
        <w:tab/>
      </w:r>
      <w:r>
        <w:fldChar w:fldCharType="begin"/>
      </w:r>
      <w:r>
        <w:instrText xml:space="preserve"> PAGEREF _Toc387308901 \h </w:instrText>
      </w:r>
      <w:r>
        <w:fldChar w:fldCharType="separate"/>
      </w:r>
      <w:r w:rsidR="00AC6986">
        <w:t>7-1</w:t>
      </w:r>
      <w:r>
        <w:fldChar w:fldCharType="end"/>
      </w:r>
    </w:p>
    <w:p w:rsidR="00007AD7" w:rsidRDefault="00007AD7">
      <w:pPr>
        <w:pStyle w:val="TOC2"/>
        <w:tabs>
          <w:tab w:val="left" w:pos="2098"/>
        </w:tabs>
        <w:rPr>
          <w:rFonts w:asciiTheme="minorHAnsi" w:eastAsiaTheme="minorEastAsia" w:hAnsiTheme="minorHAnsi" w:cstheme="minorBidi"/>
          <w:b w:val="0"/>
          <w:spacing w:val="0"/>
          <w:szCs w:val="22"/>
          <w:lang w:eastAsia="en-AU"/>
        </w:rPr>
      </w:pPr>
      <w:r>
        <w:t>7.1</w:t>
      </w:r>
      <w:r>
        <w:rPr>
          <w:rFonts w:asciiTheme="minorHAnsi" w:eastAsiaTheme="minorEastAsia" w:hAnsiTheme="minorHAnsi" w:cstheme="minorBidi"/>
          <w:b w:val="0"/>
          <w:spacing w:val="0"/>
          <w:szCs w:val="22"/>
          <w:lang w:eastAsia="en-AU"/>
        </w:rPr>
        <w:tab/>
      </w:r>
      <w:r>
        <w:t>Focus Areas</w:t>
      </w:r>
      <w:r>
        <w:tab/>
      </w:r>
      <w:r>
        <w:fldChar w:fldCharType="begin"/>
      </w:r>
      <w:r>
        <w:instrText xml:space="preserve"> PAGEREF _Toc387308902 \h </w:instrText>
      </w:r>
      <w:r>
        <w:fldChar w:fldCharType="separate"/>
      </w:r>
      <w:r w:rsidR="00AC6986">
        <w:t>7-1</w:t>
      </w:r>
      <w:r>
        <w:fldChar w:fldCharType="end"/>
      </w:r>
    </w:p>
    <w:p w:rsidR="00007AD7" w:rsidRDefault="00007AD7">
      <w:pPr>
        <w:pStyle w:val="TOC2"/>
        <w:tabs>
          <w:tab w:val="left" w:pos="2098"/>
        </w:tabs>
        <w:rPr>
          <w:rFonts w:asciiTheme="minorHAnsi" w:eastAsiaTheme="minorEastAsia" w:hAnsiTheme="minorHAnsi" w:cstheme="minorBidi"/>
          <w:b w:val="0"/>
          <w:spacing w:val="0"/>
          <w:szCs w:val="22"/>
          <w:lang w:eastAsia="en-AU"/>
        </w:rPr>
      </w:pPr>
      <w:r>
        <w:t>7.2</w:t>
      </w:r>
      <w:r>
        <w:rPr>
          <w:rFonts w:asciiTheme="minorHAnsi" w:eastAsiaTheme="minorEastAsia" w:hAnsiTheme="minorHAnsi" w:cstheme="minorBidi"/>
          <w:b w:val="0"/>
          <w:spacing w:val="0"/>
          <w:szCs w:val="22"/>
          <w:lang w:eastAsia="en-AU"/>
        </w:rPr>
        <w:tab/>
      </w:r>
      <w:r>
        <w:t>Mitigation Option Screening</w:t>
      </w:r>
      <w:r>
        <w:tab/>
      </w:r>
      <w:r>
        <w:fldChar w:fldCharType="begin"/>
      </w:r>
      <w:r>
        <w:instrText xml:space="preserve"> PAGEREF _Toc387308903 \h </w:instrText>
      </w:r>
      <w:r>
        <w:fldChar w:fldCharType="separate"/>
      </w:r>
      <w:r w:rsidR="00AC6986">
        <w:t>7-1</w:t>
      </w:r>
      <w:r>
        <w:fldChar w:fldCharType="end"/>
      </w:r>
    </w:p>
    <w:p w:rsidR="00007AD7" w:rsidRDefault="00007AD7">
      <w:pPr>
        <w:pStyle w:val="TOC2"/>
        <w:tabs>
          <w:tab w:val="left" w:pos="2098"/>
        </w:tabs>
        <w:rPr>
          <w:rFonts w:asciiTheme="minorHAnsi" w:eastAsiaTheme="minorEastAsia" w:hAnsiTheme="minorHAnsi" w:cstheme="minorBidi"/>
          <w:b w:val="0"/>
          <w:spacing w:val="0"/>
          <w:szCs w:val="22"/>
          <w:lang w:eastAsia="en-AU"/>
        </w:rPr>
      </w:pPr>
      <w:r>
        <w:t>7.3</w:t>
      </w:r>
      <w:r>
        <w:rPr>
          <w:rFonts w:asciiTheme="minorHAnsi" w:eastAsiaTheme="minorEastAsia" w:hAnsiTheme="minorHAnsi" w:cstheme="minorBidi"/>
          <w:b w:val="0"/>
          <w:spacing w:val="0"/>
          <w:szCs w:val="22"/>
          <w:lang w:eastAsia="en-AU"/>
        </w:rPr>
        <w:tab/>
      </w:r>
      <w:r>
        <w:t>Detailed Assessment</w:t>
      </w:r>
      <w:r>
        <w:tab/>
      </w:r>
      <w:r>
        <w:fldChar w:fldCharType="begin"/>
      </w:r>
      <w:r>
        <w:instrText xml:space="preserve"> PAGEREF _Toc387308904 \h </w:instrText>
      </w:r>
      <w:r>
        <w:fldChar w:fldCharType="separate"/>
      </w:r>
      <w:r w:rsidR="00AC6986">
        <w:t>7-2</w:t>
      </w:r>
      <w:r>
        <w:fldChar w:fldCharType="end"/>
      </w:r>
    </w:p>
    <w:p w:rsidR="00007AD7" w:rsidRDefault="00007AD7">
      <w:pPr>
        <w:pStyle w:val="TOC3"/>
        <w:tabs>
          <w:tab w:val="left" w:pos="2400"/>
        </w:tabs>
        <w:rPr>
          <w:rFonts w:asciiTheme="minorHAnsi" w:eastAsiaTheme="minorEastAsia" w:hAnsiTheme="minorHAnsi" w:cstheme="minorBidi"/>
          <w:spacing w:val="0"/>
          <w:szCs w:val="22"/>
          <w:lang w:eastAsia="en-AU"/>
        </w:rPr>
      </w:pPr>
      <w:r>
        <w:t>7.3.1</w:t>
      </w:r>
      <w:r>
        <w:rPr>
          <w:rFonts w:asciiTheme="minorHAnsi" w:eastAsiaTheme="minorEastAsia" w:hAnsiTheme="minorHAnsi" w:cstheme="minorBidi"/>
          <w:spacing w:val="0"/>
          <w:szCs w:val="22"/>
          <w:lang w:eastAsia="en-AU"/>
        </w:rPr>
        <w:tab/>
      </w:r>
      <w:r>
        <w:t>Non-Structural Options</w:t>
      </w:r>
      <w:r>
        <w:tab/>
      </w:r>
      <w:r>
        <w:fldChar w:fldCharType="begin"/>
      </w:r>
      <w:r>
        <w:instrText xml:space="preserve"> PAGEREF _Toc387308905 \h </w:instrText>
      </w:r>
      <w:r>
        <w:fldChar w:fldCharType="separate"/>
      </w:r>
      <w:r w:rsidR="00AC6986">
        <w:t>7-2</w:t>
      </w:r>
      <w:r>
        <w:fldChar w:fldCharType="end"/>
      </w:r>
    </w:p>
    <w:p w:rsidR="00007AD7" w:rsidRDefault="00007AD7">
      <w:pPr>
        <w:pStyle w:val="TOC3"/>
        <w:tabs>
          <w:tab w:val="left" w:pos="2400"/>
        </w:tabs>
        <w:rPr>
          <w:rFonts w:asciiTheme="minorHAnsi" w:eastAsiaTheme="minorEastAsia" w:hAnsiTheme="minorHAnsi" w:cstheme="minorBidi"/>
          <w:spacing w:val="0"/>
          <w:szCs w:val="22"/>
          <w:lang w:eastAsia="en-AU"/>
        </w:rPr>
      </w:pPr>
      <w:r>
        <w:t>7.3.2</w:t>
      </w:r>
      <w:r>
        <w:rPr>
          <w:rFonts w:asciiTheme="minorHAnsi" w:eastAsiaTheme="minorEastAsia" w:hAnsiTheme="minorHAnsi" w:cstheme="minorBidi"/>
          <w:spacing w:val="0"/>
          <w:szCs w:val="22"/>
          <w:lang w:eastAsia="en-AU"/>
        </w:rPr>
        <w:tab/>
      </w:r>
      <w:r>
        <w:t>Structural Options</w:t>
      </w:r>
      <w:r>
        <w:tab/>
      </w:r>
      <w:r>
        <w:fldChar w:fldCharType="begin"/>
      </w:r>
      <w:r>
        <w:instrText xml:space="preserve"> PAGEREF _Toc387308906 \h </w:instrText>
      </w:r>
      <w:r>
        <w:fldChar w:fldCharType="separate"/>
      </w:r>
      <w:r w:rsidR="00AC6986">
        <w:t>7-3</w:t>
      </w:r>
      <w:r>
        <w:fldChar w:fldCharType="end"/>
      </w:r>
    </w:p>
    <w:p w:rsidR="00007AD7" w:rsidRDefault="00007AD7">
      <w:pPr>
        <w:pStyle w:val="TOC4"/>
        <w:tabs>
          <w:tab w:val="left" w:pos="2916"/>
        </w:tabs>
        <w:rPr>
          <w:rFonts w:asciiTheme="minorHAnsi" w:eastAsiaTheme="minorEastAsia" w:hAnsiTheme="minorHAnsi" w:cstheme="minorBidi"/>
          <w:i w:val="0"/>
          <w:spacing w:val="0"/>
          <w:sz w:val="22"/>
          <w:szCs w:val="22"/>
          <w:lang w:eastAsia="en-AU"/>
        </w:rPr>
      </w:pPr>
      <w:r>
        <w:t>7.3.2.1</w:t>
      </w:r>
      <w:r>
        <w:rPr>
          <w:rFonts w:asciiTheme="minorHAnsi" w:eastAsiaTheme="minorEastAsia" w:hAnsiTheme="minorHAnsi" w:cstheme="minorBidi"/>
          <w:i w:val="0"/>
          <w:spacing w:val="0"/>
          <w:sz w:val="22"/>
          <w:szCs w:val="22"/>
          <w:lang w:eastAsia="en-AU"/>
        </w:rPr>
        <w:tab/>
      </w:r>
      <w:r>
        <w:t>Retarding Basin Works</w:t>
      </w:r>
      <w:r>
        <w:tab/>
      </w:r>
      <w:r>
        <w:fldChar w:fldCharType="begin"/>
      </w:r>
      <w:r>
        <w:instrText xml:space="preserve"> PAGEREF _Toc387308907 \h </w:instrText>
      </w:r>
      <w:r>
        <w:fldChar w:fldCharType="separate"/>
      </w:r>
      <w:r w:rsidR="00AC6986">
        <w:t>7-3</w:t>
      </w:r>
      <w:r>
        <w:fldChar w:fldCharType="end"/>
      </w:r>
    </w:p>
    <w:p w:rsidR="00007AD7" w:rsidRDefault="00007AD7">
      <w:pPr>
        <w:pStyle w:val="TOC4"/>
        <w:tabs>
          <w:tab w:val="left" w:pos="2916"/>
        </w:tabs>
        <w:rPr>
          <w:rFonts w:asciiTheme="minorHAnsi" w:eastAsiaTheme="minorEastAsia" w:hAnsiTheme="minorHAnsi" w:cstheme="minorBidi"/>
          <w:i w:val="0"/>
          <w:spacing w:val="0"/>
          <w:sz w:val="22"/>
          <w:szCs w:val="22"/>
          <w:lang w:eastAsia="en-AU"/>
        </w:rPr>
      </w:pPr>
      <w:r>
        <w:t>7.3.2.2</w:t>
      </w:r>
      <w:r>
        <w:rPr>
          <w:rFonts w:asciiTheme="minorHAnsi" w:eastAsiaTheme="minorEastAsia" w:hAnsiTheme="minorHAnsi" w:cstheme="minorBidi"/>
          <w:i w:val="0"/>
          <w:spacing w:val="0"/>
          <w:sz w:val="22"/>
          <w:szCs w:val="22"/>
          <w:lang w:eastAsia="en-AU"/>
        </w:rPr>
        <w:tab/>
      </w:r>
      <w:r>
        <w:t>Pipe Works</w:t>
      </w:r>
      <w:r>
        <w:tab/>
      </w:r>
      <w:r>
        <w:fldChar w:fldCharType="begin"/>
      </w:r>
      <w:r>
        <w:instrText xml:space="preserve"> PAGEREF _Toc387308908 \h </w:instrText>
      </w:r>
      <w:r>
        <w:fldChar w:fldCharType="separate"/>
      </w:r>
      <w:r w:rsidR="00AC6986">
        <w:t>7-4</w:t>
      </w:r>
      <w:r>
        <w:fldChar w:fldCharType="end"/>
      </w:r>
    </w:p>
    <w:p w:rsidR="00007AD7" w:rsidRDefault="00007AD7">
      <w:pPr>
        <w:pStyle w:val="TOC4"/>
        <w:tabs>
          <w:tab w:val="left" w:pos="2916"/>
        </w:tabs>
        <w:rPr>
          <w:rFonts w:asciiTheme="minorHAnsi" w:eastAsiaTheme="minorEastAsia" w:hAnsiTheme="minorHAnsi" w:cstheme="minorBidi"/>
          <w:i w:val="0"/>
          <w:spacing w:val="0"/>
          <w:sz w:val="22"/>
          <w:szCs w:val="22"/>
          <w:lang w:eastAsia="en-AU"/>
        </w:rPr>
      </w:pPr>
      <w:r>
        <w:t>7.3.2.3</w:t>
      </w:r>
      <w:r>
        <w:rPr>
          <w:rFonts w:asciiTheme="minorHAnsi" w:eastAsiaTheme="minorEastAsia" w:hAnsiTheme="minorHAnsi" w:cstheme="minorBidi"/>
          <w:i w:val="0"/>
          <w:spacing w:val="0"/>
          <w:sz w:val="22"/>
          <w:szCs w:val="22"/>
          <w:lang w:eastAsia="en-AU"/>
        </w:rPr>
        <w:tab/>
      </w:r>
      <w:r>
        <w:t>Pit Works</w:t>
      </w:r>
      <w:r>
        <w:tab/>
      </w:r>
      <w:r>
        <w:fldChar w:fldCharType="begin"/>
      </w:r>
      <w:r>
        <w:instrText xml:space="preserve"> PAGEREF _Toc387308909 \h </w:instrText>
      </w:r>
      <w:r>
        <w:fldChar w:fldCharType="separate"/>
      </w:r>
      <w:r w:rsidR="00AC6986">
        <w:t>7-5</w:t>
      </w:r>
      <w:r>
        <w:fldChar w:fldCharType="end"/>
      </w:r>
    </w:p>
    <w:p w:rsidR="00007AD7" w:rsidRDefault="00007AD7">
      <w:pPr>
        <w:pStyle w:val="TOC4"/>
        <w:tabs>
          <w:tab w:val="left" w:pos="2916"/>
        </w:tabs>
        <w:rPr>
          <w:rFonts w:asciiTheme="minorHAnsi" w:eastAsiaTheme="minorEastAsia" w:hAnsiTheme="minorHAnsi" w:cstheme="minorBidi"/>
          <w:i w:val="0"/>
          <w:spacing w:val="0"/>
          <w:sz w:val="22"/>
          <w:szCs w:val="22"/>
          <w:lang w:eastAsia="en-AU"/>
        </w:rPr>
      </w:pPr>
      <w:r>
        <w:t>7.3.2.4</w:t>
      </w:r>
      <w:r>
        <w:rPr>
          <w:rFonts w:asciiTheme="minorHAnsi" w:eastAsiaTheme="minorEastAsia" w:hAnsiTheme="minorHAnsi" w:cstheme="minorBidi"/>
          <w:i w:val="0"/>
          <w:spacing w:val="0"/>
          <w:sz w:val="22"/>
          <w:szCs w:val="22"/>
          <w:lang w:eastAsia="en-AU"/>
        </w:rPr>
        <w:tab/>
      </w:r>
      <w:r>
        <w:t>Further Works</w:t>
      </w:r>
      <w:r>
        <w:tab/>
      </w:r>
      <w:r>
        <w:fldChar w:fldCharType="begin"/>
      </w:r>
      <w:r>
        <w:instrText xml:space="preserve"> PAGEREF _Toc387308910 \h </w:instrText>
      </w:r>
      <w:r>
        <w:fldChar w:fldCharType="separate"/>
      </w:r>
      <w:r w:rsidR="00AC6986">
        <w:t>7-5</w:t>
      </w:r>
      <w:r>
        <w:fldChar w:fldCharType="end"/>
      </w:r>
    </w:p>
    <w:p w:rsidR="00007AD7" w:rsidRDefault="00007AD7">
      <w:pPr>
        <w:pStyle w:val="TOC3"/>
        <w:tabs>
          <w:tab w:val="left" w:pos="2400"/>
        </w:tabs>
        <w:rPr>
          <w:rFonts w:asciiTheme="minorHAnsi" w:eastAsiaTheme="minorEastAsia" w:hAnsiTheme="minorHAnsi" w:cstheme="minorBidi"/>
          <w:spacing w:val="0"/>
          <w:szCs w:val="22"/>
          <w:lang w:eastAsia="en-AU"/>
        </w:rPr>
      </w:pPr>
      <w:r>
        <w:lastRenderedPageBreak/>
        <w:t>7.3.3</w:t>
      </w:r>
      <w:r>
        <w:rPr>
          <w:rFonts w:asciiTheme="minorHAnsi" w:eastAsiaTheme="minorEastAsia" w:hAnsiTheme="minorHAnsi" w:cstheme="minorBidi"/>
          <w:spacing w:val="0"/>
          <w:szCs w:val="22"/>
          <w:lang w:eastAsia="en-AU"/>
        </w:rPr>
        <w:tab/>
      </w:r>
      <w:r>
        <w:t>Hydraulic Assessment</w:t>
      </w:r>
      <w:r>
        <w:tab/>
      </w:r>
      <w:r>
        <w:fldChar w:fldCharType="begin"/>
      </w:r>
      <w:r>
        <w:instrText xml:space="preserve"> PAGEREF _Toc387308911 \h </w:instrText>
      </w:r>
      <w:r>
        <w:fldChar w:fldCharType="separate"/>
      </w:r>
      <w:r w:rsidR="00AC6986">
        <w:t>7-10</w:t>
      </w:r>
      <w:r>
        <w:fldChar w:fldCharType="end"/>
      </w:r>
    </w:p>
    <w:p w:rsidR="00007AD7" w:rsidRDefault="00007AD7">
      <w:pPr>
        <w:pStyle w:val="TOC4"/>
        <w:tabs>
          <w:tab w:val="left" w:pos="2916"/>
        </w:tabs>
        <w:rPr>
          <w:rFonts w:asciiTheme="minorHAnsi" w:eastAsiaTheme="minorEastAsia" w:hAnsiTheme="minorHAnsi" w:cstheme="minorBidi"/>
          <w:i w:val="0"/>
          <w:spacing w:val="0"/>
          <w:sz w:val="22"/>
          <w:szCs w:val="22"/>
          <w:lang w:eastAsia="en-AU"/>
        </w:rPr>
      </w:pPr>
      <w:r>
        <w:t>7.3.3.1</w:t>
      </w:r>
      <w:r>
        <w:rPr>
          <w:rFonts w:asciiTheme="minorHAnsi" w:eastAsiaTheme="minorEastAsia" w:hAnsiTheme="minorHAnsi" w:cstheme="minorBidi"/>
          <w:i w:val="0"/>
          <w:spacing w:val="0"/>
          <w:sz w:val="22"/>
          <w:szCs w:val="22"/>
          <w:lang w:eastAsia="en-AU"/>
        </w:rPr>
        <w:tab/>
      </w:r>
      <w:r>
        <w:t>Scheme One</w:t>
      </w:r>
      <w:r>
        <w:tab/>
      </w:r>
      <w:r>
        <w:fldChar w:fldCharType="begin"/>
      </w:r>
      <w:r>
        <w:instrText xml:space="preserve"> PAGEREF _Toc387308912 \h </w:instrText>
      </w:r>
      <w:r>
        <w:fldChar w:fldCharType="separate"/>
      </w:r>
      <w:r w:rsidR="00AC6986">
        <w:t>7-10</w:t>
      </w:r>
      <w:r>
        <w:fldChar w:fldCharType="end"/>
      </w:r>
    </w:p>
    <w:p w:rsidR="00007AD7" w:rsidRDefault="00007AD7">
      <w:pPr>
        <w:pStyle w:val="TOC4"/>
        <w:tabs>
          <w:tab w:val="left" w:pos="2916"/>
        </w:tabs>
        <w:rPr>
          <w:rFonts w:asciiTheme="minorHAnsi" w:eastAsiaTheme="minorEastAsia" w:hAnsiTheme="minorHAnsi" w:cstheme="minorBidi"/>
          <w:i w:val="0"/>
          <w:spacing w:val="0"/>
          <w:sz w:val="22"/>
          <w:szCs w:val="22"/>
          <w:lang w:eastAsia="en-AU"/>
        </w:rPr>
      </w:pPr>
      <w:r>
        <w:t>7.3.3.2</w:t>
      </w:r>
      <w:r>
        <w:rPr>
          <w:rFonts w:asciiTheme="minorHAnsi" w:eastAsiaTheme="minorEastAsia" w:hAnsiTheme="minorHAnsi" w:cstheme="minorBidi"/>
          <w:i w:val="0"/>
          <w:spacing w:val="0"/>
          <w:sz w:val="22"/>
          <w:szCs w:val="22"/>
          <w:lang w:eastAsia="en-AU"/>
        </w:rPr>
        <w:tab/>
      </w:r>
      <w:r>
        <w:t>Scheme Two</w:t>
      </w:r>
      <w:r>
        <w:tab/>
      </w:r>
      <w:r>
        <w:fldChar w:fldCharType="begin"/>
      </w:r>
      <w:r>
        <w:instrText xml:space="preserve"> PAGEREF _Toc387308913 \h </w:instrText>
      </w:r>
      <w:r>
        <w:fldChar w:fldCharType="separate"/>
      </w:r>
      <w:r w:rsidR="00AC6986">
        <w:t>7-11</w:t>
      </w:r>
      <w:r>
        <w:fldChar w:fldCharType="end"/>
      </w:r>
    </w:p>
    <w:p w:rsidR="00007AD7" w:rsidRDefault="00007AD7">
      <w:pPr>
        <w:pStyle w:val="TOC4"/>
        <w:tabs>
          <w:tab w:val="left" w:pos="2916"/>
        </w:tabs>
        <w:rPr>
          <w:rFonts w:asciiTheme="minorHAnsi" w:eastAsiaTheme="minorEastAsia" w:hAnsiTheme="minorHAnsi" w:cstheme="minorBidi"/>
          <w:i w:val="0"/>
          <w:spacing w:val="0"/>
          <w:sz w:val="22"/>
          <w:szCs w:val="22"/>
          <w:lang w:eastAsia="en-AU"/>
        </w:rPr>
      </w:pPr>
      <w:r>
        <w:t>7.3.3.3</w:t>
      </w:r>
      <w:r>
        <w:rPr>
          <w:rFonts w:asciiTheme="minorHAnsi" w:eastAsiaTheme="minorEastAsia" w:hAnsiTheme="minorHAnsi" w:cstheme="minorBidi"/>
          <w:i w:val="0"/>
          <w:spacing w:val="0"/>
          <w:sz w:val="22"/>
          <w:szCs w:val="22"/>
          <w:lang w:eastAsia="en-AU"/>
        </w:rPr>
        <w:tab/>
      </w:r>
      <w:r>
        <w:t>Scheme Three</w:t>
      </w:r>
      <w:r>
        <w:tab/>
      </w:r>
      <w:r>
        <w:fldChar w:fldCharType="begin"/>
      </w:r>
      <w:r>
        <w:instrText xml:space="preserve"> PAGEREF _Toc387308914 \h </w:instrText>
      </w:r>
      <w:r>
        <w:fldChar w:fldCharType="separate"/>
      </w:r>
      <w:r w:rsidR="00AC6986">
        <w:t>7-11</w:t>
      </w:r>
      <w:r>
        <w:fldChar w:fldCharType="end"/>
      </w:r>
    </w:p>
    <w:p w:rsidR="00007AD7" w:rsidRDefault="00007AD7">
      <w:pPr>
        <w:pStyle w:val="TOC1"/>
        <w:rPr>
          <w:rFonts w:asciiTheme="minorHAnsi" w:eastAsiaTheme="minorEastAsia" w:hAnsiTheme="minorHAnsi" w:cstheme="minorBidi"/>
          <w:b w:val="0"/>
          <w:smallCaps w:val="0"/>
          <w:spacing w:val="0"/>
          <w:sz w:val="22"/>
          <w:szCs w:val="22"/>
          <w:lang w:eastAsia="en-AU"/>
        </w:rPr>
      </w:pPr>
      <w:r>
        <w:t>8</w:t>
      </w:r>
      <w:r>
        <w:rPr>
          <w:rFonts w:asciiTheme="minorHAnsi" w:eastAsiaTheme="minorEastAsia" w:hAnsiTheme="minorHAnsi" w:cstheme="minorBidi"/>
          <w:b w:val="0"/>
          <w:smallCaps w:val="0"/>
          <w:spacing w:val="0"/>
          <w:sz w:val="22"/>
          <w:szCs w:val="22"/>
          <w:lang w:eastAsia="en-AU"/>
        </w:rPr>
        <w:tab/>
      </w:r>
      <w:r>
        <w:t>Mitigation Option Assessment</w:t>
      </w:r>
      <w:r>
        <w:tab/>
      </w:r>
      <w:r>
        <w:fldChar w:fldCharType="begin"/>
      </w:r>
      <w:r>
        <w:instrText xml:space="preserve"> PAGEREF _Toc387308915 \h </w:instrText>
      </w:r>
      <w:r>
        <w:fldChar w:fldCharType="separate"/>
      </w:r>
      <w:r w:rsidR="00AC6986">
        <w:t>8-1</w:t>
      </w:r>
      <w:r>
        <w:fldChar w:fldCharType="end"/>
      </w:r>
    </w:p>
    <w:p w:rsidR="00007AD7" w:rsidRDefault="00007AD7">
      <w:pPr>
        <w:pStyle w:val="TOC2"/>
        <w:tabs>
          <w:tab w:val="left" w:pos="2098"/>
        </w:tabs>
        <w:rPr>
          <w:rFonts w:asciiTheme="minorHAnsi" w:eastAsiaTheme="minorEastAsia" w:hAnsiTheme="minorHAnsi" w:cstheme="minorBidi"/>
          <w:b w:val="0"/>
          <w:spacing w:val="0"/>
          <w:szCs w:val="22"/>
          <w:lang w:eastAsia="en-AU"/>
        </w:rPr>
      </w:pPr>
      <w:r>
        <w:t>8.1</w:t>
      </w:r>
      <w:r>
        <w:rPr>
          <w:rFonts w:asciiTheme="minorHAnsi" w:eastAsiaTheme="minorEastAsia" w:hAnsiTheme="minorHAnsi" w:cstheme="minorBidi"/>
          <w:b w:val="0"/>
          <w:spacing w:val="0"/>
          <w:szCs w:val="22"/>
          <w:lang w:eastAsia="en-AU"/>
        </w:rPr>
        <w:tab/>
      </w:r>
      <w:r>
        <w:t>Economic Assessment</w:t>
      </w:r>
      <w:r>
        <w:tab/>
      </w:r>
      <w:r>
        <w:fldChar w:fldCharType="begin"/>
      </w:r>
      <w:r>
        <w:instrText xml:space="preserve"> PAGEREF _Toc387308916 \h </w:instrText>
      </w:r>
      <w:r>
        <w:fldChar w:fldCharType="separate"/>
      </w:r>
      <w:r w:rsidR="00AC6986">
        <w:t>8-1</w:t>
      </w:r>
      <w:r>
        <w:fldChar w:fldCharType="end"/>
      </w:r>
    </w:p>
    <w:p w:rsidR="00007AD7" w:rsidRDefault="00007AD7">
      <w:pPr>
        <w:pStyle w:val="TOC3"/>
        <w:tabs>
          <w:tab w:val="left" w:pos="2400"/>
        </w:tabs>
        <w:rPr>
          <w:rFonts w:asciiTheme="minorHAnsi" w:eastAsiaTheme="minorEastAsia" w:hAnsiTheme="minorHAnsi" w:cstheme="minorBidi"/>
          <w:spacing w:val="0"/>
          <w:szCs w:val="22"/>
          <w:lang w:eastAsia="en-AU"/>
        </w:rPr>
      </w:pPr>
      <w:r>
        <w:t>8.1.1</w:t>
      </w:r>
      <w:r>
        <w:rPr>
          <w:rFonts w:asciiTheme="minorHAnsi" w:eastAsiaTheme="minorEastAsia" w:hAnsiTheme="minorHAnsi" w:cstheme="minorBidi"/>
          <w:spacing w:val="0"/>
          <w:szCs w:val="22"/>
          <w:lang w:eastAsia="en-AU"/>
        </w:rPr>
        <w:tab/>
      </w:r>
      <w:r>
        <w:t>Basis of Assessment</w:t>
      </w:r>
      <w:r>
        <w:tab/>
      </w:r>
      <w:r>
        <w:fldChar w:fldCharType="begin"/>
      </w:r>
      <w:r>
        <w:instrText xml:space="preserve"> PAGEREF _Toc387308917 \h </w:instrText>
      </w:r>
      <w:r>
        <w:fldChar w:fldCharType="separate"/>
      </w:r>
      <w:r w:rsidR="00AC6986">
        <w:t>8-1</w:t>
      </w:r>
      <w:r>
        <w:fldChar w:fldCharType="end"/>
      </w:r>
    </w:p>
    <w:p w:rsidR="00007AD7" w:rsidRDefault="00007AD7">
      <w:pPr>
        <w:pStyle w:val="TOC3"/>
        <w:tabs>
          <w:tab w:val="left" w:pos="2400"/>
        </w:tabs>
        <w:rPr>
          <w:rFonts w:asciiTheme="minorHAnsi" w:eastAsiaTheme="minorEastAsia" w:hAnsiTheme="minorHAnsi" w:cstheme="minorBidi"/>
          <w:spacing w:val="0"/>
          <w:szCs w:val="22"/>
          <w:lang w:eastAsia="en-AU"/>
        </w:rPr>
      </w:pPr>
      <w:r>
        <w:t>8.1.2</w:t>
      </w:r>
      <w:r>
        <w:rPr>
          <w:rFonts w:asciiTheme="minorHAnsi" w:eastAsiaTheme="minorEastAsia" w:hAnsiTheme="minorHAnsi" w:cstheme="minorBidi"/>
          <w:spacing w:val="0"/>
          <w:szCs w:val="22"/>
          <w:lang w:eastAsia="en-AU"/>
        </w:rPr>
        <w:tab/>
      </w:r>
      <w:r>
        <w:t>Scheme One</w:t>
      </w:r>
      <w:r>
        <w:tab/>
      </w:r>
      <w:r>
        <w:fldChar w:fldCharType="begin"/>
      </w:r>
      <w:r>
        <w:instrText xml:space="preserve"> PAGEREF _Toc387308918 \h </w:instrText>
      </w:r>
      <w:r>
        <w:fldChar w:fldCharType="separate"/>
      </w:r>
      <w:r w:rsidR="00AC6986">
        <w:t>8-3</w:t>
      </w:r>
      <w:r>
        <w:fldChar w:fldCharType="end"/>
      </w:r>
    </w:p>
    <w:p w:rsidR="00007AD7" w:rsidRDefault="00007AD7">
      <w:pPr>
        <w:pStyle w:val="TOC3"/>
        <w:tabs>
          <w:tab w:val="left" w:pos="2400"/>
        </w:tabs>
        <w:rPr>
          <w:rFonts w:asciiTheme="minorHAnsi" w:eastAsiaTheme="minorEastAsia" w:hAnsiTheme="minorHAnsi" w:cstheme="minorBidi"/>
          <w:spacing w:val="0"/>
          <w:szCs w:val="22"/>
          <w:lang w:eastAsia="en-AU"/>
        </w:rPr>
      </w:pPr>
      <w:r>
        <w:t>8.1.3</w:t>
      </w:r>
      <w:r>
        <w:rPr>
          <w:rFonts w:asciiTheme="minorHAnsi" w:eastAsiaTheme="minorEastAsia" w:hAnsiTheme="minorHAnsi" w:cstheme="minorBidi"/>
          <w:spacing w:val="0"/>
          <w:szCs w:val="22"/>
          <w:lang w:eastAsia="en-AU"/>
        </w:rPr>
        <w:tab/>
      </w:r>
      <w:r>
        <w:t>Scheme Two</w:t>
      </w:r>
      <w:r>
        <w:tab/>
      </w:r>
      <w:r>
        <w:fldChar w:fldCharType="begin"/>
      </w:r>
      <w:r>
        <w:instrText xml:space="preserve"> PAGEREF _Toc387308919 \h </w:instrText>
      </w:r>
      <w:r>
        <w:fldChar w:fldCharType="separate"/>
      </w:r>
      <w:r w:rsidR="00AC6986">
        <w:t>8-5</w:t>
      </w:r>
      <w:r>
        <w:fldChar w:fldCharType="end"/>
      </w:r>
    </w:p>
    <w:p w:rsidR="00007AD7" w:rsidRDefault="00007AD7">
      <w:pPr>
        <w:pStyle w:val="TOC3"/>
        <w:tabs>
          <w:tab w:val="left" w:pos="2400"/>
        </w:tabs>
        <w:rPr>
          <w:rFonts w:asciiTheme="minorHAnsi" w:eastAsiaTheme="minorEastAsia" w:hAnsiTheme="minorHAnsi" w:cstheme="minorBidi"/>
          <w:spacing w:val="0"/>
          <w:szCs w:val="22"/>
          <w:lang w:eastAsia="en-AU"/>
        </w:rPr>
      </w:pPr>
      <w:r>
        <w:t>8.1.4</w:t>
      </w:r>
      <w:r>
        <w:rPr>
          <w:rFonts w:asciiTheme="minorHAnsi" w:eastAsiaTheme="minorEastAsia" w:hAnsiTheme="minorHAnsi" w:cstheme="minorBidi"/>
          <w:spacing w:val="0"/>
          <w:szCs w:val="22"/>
          <w:lang w:eastAsia="en-AU"/>
        </w:rPr>
        <w:tab/>
      </w:r>
      <w:r>
        <w:t>Scheme Three</w:t>
      </w:r>
      <w:r>
        <w:tab/>
      </w:r>
      <w:r>
        <w:fldChar w:fldCharType="begin"/>
      </w:r>
      <w:r>
        <w:instrText xml:space="preserve"> PAGEREF _Toc387308920 \h </w:instrText>
      </w:r>
      <w:r>
        <w:fldChar w:fldCharType="separate"/>
      </w:r>
      <w:r w:rsidR="00AC6986">
        <w:t>8-7</w:t>
      </w:r>
      <w:r>
        <w:fldChar w:fldCharType="end"/>
      </w:r>
    </w:p>
    <w:p w:rsidR="00007AD7" w:rsidRDefault="00007AD7">
      <w:pPr>
        <w:pStyle w:val="TOC2"/>
        <w:tabs>
          <w:tab w:val="left" w:pos="2098"/>
        </w:tabs>
        <w:rPr>
          <w:rFonts w:asciiTheme="minorHAnsi" w:eastAsiaTheme="minorEastAsia" w:hAnsiTheme="minorHAnsi" w:cstheme="minorBidi"/>
          <w:b w:val="0"/>
          <w:spacing w:val="0"/>
          <w:szCs w:val="22"/>
          <w:lang w:eastAsia="en-AU"/>
        </w:rPr>
      </w:pPr>
      <w:r>
        <w:t>8.2</w:t>
      </w:r>
      <w:r>
        <w:rPr>
          <w:rFonts w:asciiTheme="minorHAnsi" w:eastAsiaTheme="minorEastAsia" w:hAnsiTheme="minorHAnsi" w:cstheme="minorBidi"/>
          <w:b w:val="0"/>
          <w:spacing w:val="0"/>
          <w:szCs w:val="22"/>
          <w:lang w:eastAsia="en-AU"/>
        </w:rPr>
        <w:tab/>
      </w:r>
      <w:r>
        <w:t>Environmental Assessment</w:t>
      </w:r>
      <w:r>
        <w:tab/>
      </w:r>
      <w:r>
        <w:fldChar w:fldCharType="begin"/>
      </w:r>
      <w:r>
        <w:instrText xml:space="preserve"> PAGEREF _Toc387308921 \h </w:instrText>
      </w:r>
      <w:r>
        <w:fldChar w:fldCharType="separate"/>
      </w:r>
      <w:r w:rsidR="00AC6986">
        <w:t>8-10</w:t>
      </w:r>
      <w:r>
        <w:fldChar w:fldCharType="end"/>
      </w:r>
    </w:p>
    <w:p w:rsidR="00007AD7" w:rsidRDefault="00007AD7">
      <w:pPr>
        <w:pStyle w:val="TOC2"/>
        <w:tabs>
          <w:tab w:val="left" w:pos="2098"/>
        </w:tabs>
        <w:rPr>
          <w:rFonts w:asciiTheme="minorHAnsi" w:eastAsiaTheme="minorEastAsia" w:hAnsiTheme="minorHAnsi" w:cstheme="minorBidi"/>
          <w:b w:val="0"/>
          <w:spacing w:val="0"/>
          <w:szCs w:val="22"/>
          <w:lang w:eastAsia="en-AU"/>
        </w:rPr>
      </w:pPr>
      <w:r>
        <w:t>8.3</w:t>
      </w:r>
      <w:r>
        <w:rPr>
          <w:rFonts w:asciiTheme="minorHAnsi" w:eastAsiaTheme="minorEastAsia" w:hAnsiTheme="minorHAnsi" w:cstheme="minorBidi"/>
          <w:b w:val="0"/>
          <w:spacing w:val="0"/>
          <w:szCs w:val="22"/>
          <w:lang w:eastAsia="en-AU"/>
        </w:rPr>
        <w:tab/>
      </w:r>
      <w:r>
        <w:t>Social Assessment</w:t>
      </w:r>
      <w:r>
        <w:tab/>
      </w:r>
      <w:r>
        <w:fldChar w:fldCharType="begin"/>
      </w:r>
      <w:r>
        <w:instrText xml:space="preserve"> PAGEREF _Toc387308922 \h </w:instrText>
      </w:r>
      <w:r>
        <w:fldChar w:fldCharType="separate"/>
      </w:r>
      <w:r w:rsidR="00AC6986">
        <w:t>8-11</w:t>
      </w:r>
      <w:r>
        <w:fldChar w:fldCharType="end"/>
      </w:r>
    </w:p>
    <w:p w:rsidR="00007AD7" w:rsidRDefault="00007AD7">
      <w:pPr>
        <w:pStyle w:val="TOC2"/>
        <w:tabs>
          <w:tab w:val="left" w:pos="2098"/>
        </w:tabs>
        <w:rPr>
          <w:rFonts w:asciiTheme="minorHAnsi" w:eastAsiaTheme="minorEastAsia" w:hAnsiTheme="minorHAnsi" w:cstheme="minorBidi"/>
          <w:b w:val="0"/>
          <w:spacing w:val="0"/>
          <w:szCs w:val="22"/>
          <w:lang w:eastAsia="en-AU"/>
        </w:rPr>
      </w:pPr>
      <w:r>
        <w:t>8.4</w:t>
      </w:r>
      <w:r>
        <w:rPr>
          <w:rFonts w:asciiTheme="minorHAnsi" w:eastAsiaTheme="minorEastAsia" w:hAnsiTheme="minorHAnsi" w:cstheme="minorBidi"/>
          <w:b w:val="0"/>
          <w:spacing w:val="0"/>
          <w:szCs w:val="22"/>
          <w:lang w:eastAsia="en-AU"/>
        </w:rPr>
        <w:tab/>
      </w:r>
      <w:r>
        <w:t>Feasibility and Performance Indicators</w:t>
      </w:r>
      <w:r>
        <w:tab/>
      </w:r>
      <w:r>
        <w:fldChar w:fldCharType="begin"/>
      </w:r>
      <w:r>
        <w:instrText xml:space="preserve"> PAGEREF _Toc387308923 \h </w:instrText>
      </w:r>
      <w:r>
        <w:fldChar w:fldCharType="separate"/>
      </w:r>
      <w:r w:rsidR="00AC6986">
        <w:t>8-12</w:t>
      </w:r>
      <w:r>
        <w:fldChar w:fldCharType="end"/>
      </w:r>
    </w:p>
    <w:p w:rsidR="00007AD7" w:rsidRDefault="00007AD7">
      <w:pPr>
        <w:pStyle w:val="TOC1"/>
        <w:rPr>
          <w:rFonts w:asciiTheme="minorHAnsi" w:eastAsiaTheme="minorEastAsia" w:hAnsiTheme="minorHAnsi" w:cstheme="minorBidi"/>
          <w:b w:val="0"/>
          <w:smallCaps w:val="0"/>
          <w:spacing w:val="0"/>
          <w:sz w:val="22"/>
          <w:szCs w:val="22"/>
          <w:lang w:eastAsia="en-AU"/>
        </w:rPr>
      </w:pPr>
      <w:r>
        <w:t>9</w:t>
      </w:r>
      <w:r>
        <w:rPr>
          <w:rFonts w:asciiTheme="minorHAnsi" w:eastAsiaTheme="minorEastAsia" w:hAnsiTheme="minorHAnsi" w:cstheme="minorBidi"/>
          <w:b w:val="0"/>
          <w:smallCaps w:val="0"/>
          <w:spacing w:val="0"/>
          <w:sz w:val="22"/>
          <w:szCs w:val="22"/>
          <w:lang w:eastAsia="en-AU"/>
        </w:rPr>
        <w:tab/>
      </w:r>
      <w:r>
        <w:t>Preferred Mitigation Scheme</w:t>
      </w:r>
      <w:r>
        <w:tab/>
      </w:r>
      <w:r>
        <w:fldChar w:fldCharType="begin"/>
      </w:r>
      <w:r>
        <w:instrText xml:space="preserve"> PAGEREF _Toc387308924 \h </w:instrText>
      </w:r>
      <w:r>
        <w:fldChar w:fldCharType="separate"/>
      </w:r>
      <w:r w:rsidR="00AC6986">
        <w:t>9-1</w:t>
      </w:r>
      <w:r>
        <w:fldChar w:fldCharType="end"/>
      </w:r>
    </w:p>
    <w:p w:rsidR="00007AD7" w:rsidRDefault="00007AD7">
      <w:pPr>
        <w:pStyle w:val="TOC2"/>
        <w:tabs>
          <w:tab w:val="left" w:pos="2098"/>
        </w:tabs>
        <w:rPr>
          <w:rFonts w:asciiTheme="minorHAnsi" w:eastAsiaTheme="minorEastAsia" w:hAnsiTheme="minorHAnsi" w:cstheme="minorBidi"/>
          <w:b w:val="0"/>
          <w:spacing w:val="0"/>
          <w:szCs w:val="22"/>
          <w:lang w:eastAsia="en-AU"/>
        </w:rPr>
      </w:pPr>
      <w:r>
        <w:t>9.1</w:t>
      </w:r>
      <w:r>
        <w:rPr>
          <w:rFonts w:asciiTheme="minorHAnsi" w:eastAsiaTheme="minorEastAsia" w:hAnsiTheme="minorHAnsi" w:cstheme="minorBidi"/>
          <w:b w:val="0"/>
          <w:spacing w:val="0"/>
          <w:szCs w:val="22"/>
          <w:lang w:eastAsia="en-AU"/>
        </w:rPr>
        <w:tab/>
      </w:r>
      <w:r>
        <w:t>Description of Preferred Scheme</w:t>
      </w:r>
      <w:r>
        <w:tab/>
      </w:r>
      <w:r>
        <w:fldChar w:fldCharType="begin"/>
      </w:r>
      <w:r>
        <w:instrText xml:space="preserve"> PAGEREF _Toc387308925 \h </w:instrText>
      </w:r>
      <w:r>
        <w:fldChar w:fldCharType="separate"/>
      </w:r>
      <w:r w:rsidR="00AC6986">
        <w:t>9-1</w:t>
      </w:r>
      <w:r>
        <w:fldChar w:fldCharType="end"/>
      </w:r>
    </w:p>
    <w:p w:rsidR="00007AD7" w:rsidRDefault="00007AD7">
      <w:pPr>
        <w:pStyle w:val="TOC1"/>
        <w:rPr>
          <w:rFonts w:asciiTheme="minorHAnsi" w:eastAsiaTheme="minorEastAsia" w:hAnsiTheme="minorHAnsi" w:cstheme="minorBidi"/>
          <w:b w:val="0"/>
          <w:smallCaps w:val="0"/>
          <w:spacing w:val="0"/>
          <w:sz w:val="22"/>
          <w:szCs w:val="22"/>
          <w:lang w:eastAsia="en-AU"/>
        </w:rPr>
      </w:pPr>
      <w:r>
        <w:t>10</w:t>
      </w:r>
      <w:r>
        <w:rPr>
          <w:rFonts w:asciiTheme="minorHAnsi" w:eastAsiaTheme="minorEastAsia" w:hAnsiTheme="minorHAnsi" w:cstheme="minorBidi"/>
          <w:b w:val="0"/>
          <w:smallCaps w:val="0"/>
          <w:spacing w:val="0"/>
          <w:sz w:val="22"/>
          <w:szCs w:val="22"/>
          <w:lang w:eastAsia="en-AU"/>
        </w:rPr>
        <w:tab/>
      </w:r>
      <w:r>
        <w:t>Public Consultation Process</w:t>
      </w:r>
      <w:r>
        <w:tab/>
      </w:r>
      <w:r>
        <w:fldChar w:fldCharType="begin"/>
      </w:r>
      <w:r>
        <w:instrText xml:space="preserve"> PAGEREF _Toc387308926 \h </w:instrText>
      </w:r>
      <w:r>
        <w:fldChar w:fldCharType="separate"/>
      </w:r>
      <w:r w:rsidR="00AC6986">
        <w:t>10-1</w:t>
      </w:r>
      <w:r>
        <w:fldChar w:fldCharType="end"/>
      </w:r>
    </w:p>
    <w:p w:rsidR="00007AD7" w:rsidRDefault="00007AD7">
      <w:pPr>
        <w:pStyle w:val="TOC1"/>
        <w:rPr>
          <w:rFonts w:asciiTheme="minorHAnsi" w:eastAsiaTheme="minorEastAsia" w:hAnsiTheme="minorHAnsi" w:cstheme="minorBidi"/>
          <w:b w:val="0"/>
          <w:smallCaps w:val="0"/>
          <w:spacing w:val="0"/>
          <w:sz w:val="22"/>
          <w:szCs w:val="22"/>
          <w:lang w:eastAsia="en-AU"/>
        </w:rPr>
      </w:pPr>
      <w:r>
        <w:t>11</w:t>
      </w:r>
      <w:r>
        <w:rPr>
          <w:rFonts w:asciiTheme="minorHAnsi" w:eastAsiaTheme="minorEastAsia" w:hAnsiTheme="minorHAnsi" w:cstheme="minorBidi"/>
          <w:b w:val="0"/>
          <w:smallCaps w:val="0"/>
          <w:spacing w:val="0"/>
          <w:sz w:val="22"/>
          <w:szCs w:val="22"/>
          <w:lang w:eastAsia="en-AU"/>
        </w:rPr>
        <w:tab/>
      </w:r>
      <w:r>
        <w:t>References</w:t>
      </w:r>
      <w:r>
        <w:tab/>
      </w:r>
      <w:r>
        <w:fldChar w:fldCharType="begin"/>
      </w:r>
      <w:r>
        <w:instrText xml:space="preserve"> PAGEREF _Toc387308927 \h </w:instrText>
      </w:r>
      <w:r>
        <w:fldChar w:fldCharType="separate"/>
      </w:r>
      <w:r w:rsidR="00AC6986">
        <w:t>11-1</w:t>
      </w:r>
      <w:r>
        <w:fldChar w:fldCharType="end"/>
      </w:r>
    </w:p>
    <w:p w:rsidR="00007AD7" w:rsidRDefault="00F21A4E" w:rsidP="00A361F9">
      <w:pPr>
        <w:pStyle w:val="TOC2"/>
      </w:pPr>
      <w:r w:rsidRPr="00D33B70">
        <w:fldChar w:fldCharType="end"/>
      </w:r>
      <w:r w:rsidR="00A361F9" w:rsidRPr="00D33B70">
        <w:rPr>
          <w:rFonts w:ascii="CG Times" w:hAnsi="CG Times"/>
        </w:rPr>
        <w:fldChar w:fldCharType="begin"/>
      </w:r>
      <w:r w:rsidR="00A361F9" w:rsidRPr="00D33B70">
        <w:rPr>
          <w:rFonts w:ascii="CG Times" w:hAnsi="CG Times"/>
        </w:rPr>
        <w:instrText xml:space="preserve"> TOC \t "Heading 9,2" </w:instrText>
      </w:r>
      <w:r w:rsidR="00A361F9" w:rsidRPr="00D33B70">
        <w:rPr>
          <w:rFonts w:ascii="CG Times" w:hAnsi="CG Times"/>
        </w:rPr>
        <w:fldChar w:fldCharType="separate"/>
      </w:r>
    </w:p>
    <w:p w:rsidR="00007AD7" w:rsidRDefault="00007AD7">
      <w:pPr>
        <w:pStyle w:val="TOC2"/>
        <w:tabs>
          <w:tab w:val="left" w:pos="2920"/>
        </w:tabs>
        <w:rPr>
          <w:rFonts w:asciiTheme="minorHAnsi" w:eastAsiaTheme="minorEastAsia" w:hAnsiTheme="minorHAnsi" w:cstheme="minorBidi"/>
          <w:b w:val="0"/>
          <w:spacing w:val="0"/>
          <w:szCs w:val="22"/>
          <w:lang w:eastAsia="en-AU"/>
        </w:rPr>
      </w:pPr>
      <w:r>
        <w:t>APPENDIX A:</w:t>
      </w:r>
      <w:r>
        <w:rPr>
          <w:rFonts w:asciiTheme="minorHAnsi" w:eastAsiaTheme="minorEastAsia" w:hAnsiTheme="minorHAnsi" w:cstheme="minorBidi"/>
          <w:b w:val="0"/>
          <w:spacing w:val="0"/>
          <w:szCs w:val="22"/>
          <w:lang w:eastAsia="en-AU"/>
        </w:rPr>
        <w:tab/>
      </w:r>
      <w:r>
        <w:t>Construction Rates</w:t>
      </w:r>
      <w:r>
        <w:tab/>
      </w:r>
      <w:r>
        <w:fldChar w:fldCharType="begin"/>
      </w:r>
      <w:r>
        <w:instrText xml:space="preserve"> PAGEREF _Toc387308928 \h </w:instrText>
      </w:r>
      <w:r>
        <w:fldChar w:fldCharType="separate"/>
      </w:r>
      <w:r w:rsidR="00AC6986">
        <w:t>A-1</w:t>
      </w:r>
      <w:r>
        <w:fldChar w:fldCharType="end"/>
      </w:r>
    </w:p>
    <w:p w:rsidR="00007AD7" w:rsidRDefault="00007AD7">
      <w:pPr>
        <w:pStyle w:val="TOC2"/>
        <w:tabs>
          <w:tab w:val="left" w:pos="2920"/>
        </w:tabs>
        <w:rPr>
          <w:rFonts w:asciiTheme="minorHAnsi" w:eastAsiaTheme="minorEastAsia" w:hAnsiTheme="minorHAnsi" w:cstheme="minorBidi"/>
          <w:b w:val="0"/>
          <w:spacing w:val="0"/>
          <w:szCs w:val="22"/>
          <w:lang w:eastAsia="en-AU"/>
        </w:rPr>
      </w:pPr>
      <w:r>
        <w:t>APPENDIX B:</w:t>
      </w:r>
      <w:r>
        <w:rPr>
          <w:rFonts w:asciiTheme="minorHAnsi" w:eastAsiaTheme="minorEastAsia" w:hAnsiTheme="minorHAnsi" w:cstheme="minorBidi"/>
          <w:b w:val="0"/>
          <w:spacing w:val="0"/>
          <w:szCs w:val="22"/>
          <w:lang w:eastAsia="en-AU"/>
        </w:rPr>
        <w:tab/>
      </w:r>
      <w:r>
        <w:t>Longitudinal Profile Plots</w:t>
      </w:r>
      <w:r>
        <w:tab/>
      </w:r>
      <w:r>
        <w:fldChar w:fldCharType="begin"/>
      </w:r>
      <w:r>
        <w:instrText xml:space="preserve"> PAGEREF _Toc387308929 \h </w:instrText>
      </w:r>
      <w:r>
        <w:fldChar w:fldCharType="separate"/>
      </w:r>
      <w:r w:rsidR="00AC6986">
        <w:t>B-1</w:t>
      </w:r>
      <w:r>
        <w:fldChar w:fldCharType="end"/>
      </w:r>
    </w:p>
    <w:p w:rsidR="00007AD7" w:rsidRDefault="00007AD7">
      <w:pPr>
        <w:pStyle w:val="TOC2"/>
        <w:tabs>
          <w:tab w:val="left" w:pos="2920"/>
        </w:tabs>
        <w:rPr>
          <w:rFonts w:asciiTheme="minorHAnsi" w:eastAsiaTheme="minorEastAsia" w:hAnsiTheme="minorHAnsi" w:cstheme="minorBidi"/>
          <w:b w:val="0"/>
          <w:spacing w:val="0"/>
          <w:szCs w:val="22"/>
          <w:lang w:eastAsia="en-AU"/>
        </w:rPr>
      </w:pPr>
      <w:r>
        <w:t>APPENDIX C:</w:t>
      </w:r>
      <w:r>
        <w:rPr>
          <w:rFonts w:asciiTheme="minorHAnsi" w:eastAsiaTheme="minorEastAsia" w:hAnsiTheme="minorHAnsi" w:cstheme="minorBidi"/>
          <w:b w:val="0"/>
          <w:spacing w:val="0"/>
          <w:szCs w:val="22"/>
          <w:lang w:eastAsia="en-AU"/>
        </w:rPr>
        <w:tab/>
      </w:r>
      <w:r>
        <w:t>Public Submissions and Responses</w:t>
      </w:r>
      <w:r>
        <w:tab/>
      </w:r>
      <w:r>
        <w:fldChar w:fldCharType="begin"/>
      </w:r>
      <w:r>
        <w:instrText xml:space="preserve"> PAGEREF _Toc387308930 \h </w:instrText>
      </w:r>
      <w:r>
        <w:fldChar w:fldCharType="separate"/>
      </w:r>
      <w:r w:rsidR="00AC6986">
        <w:t>C-1</w:t>
      </w:r>
      <w:r>
        <w:fldChar w:fldCharType="end"/>
      </w:r>
    </w:p>
    <w:p w:rsidR="00A83F38" w:rsidRPr="00D33B70" w:rsidRDefault="00A361F9" w:rsidP="00A361F9">
      <w:pPr>
        <w:pStyle w:val="TOC1"/>
      </w:pPr>
      <w:r w:rsidRPr="00D33B70">
        <w:rPr>
          <w:rFonts w:ascii="CG Times" w:hAnsi="CG Times"/>
        </w:rPr>
        <w:fldChar w:fldCharType="end"/>
      </w:r>
    </w:p>
    <w:p w:rsidR="00A83F38" w:rsidRPr="00D33B70" w:rsidRDefault="00A83F38" w:rsidP="00046074">
      <w:pPr>
        <w:pStyle w:val="Heading0"/>
      </w:pPr>
      <w:bookmarkStart w:id="29" w:name="_Toc332440820"/>
      <w:bookmarkStart w:id="30" w:name="_Toc332441399"/>
      <w:bookmarkStart w:id="31" w:name="_Toc332596273"/>
      <w:bookmarkStart w:id="32" w:name="_Toc341160166"/>
      <w:bookmarkStart w:id="33" w:name="_Toc387306261"/>
      <w:r w:rsidRPr="00D33B70">
        <w:t>List of Figures</w:t>
      </w:r>
      <w:bookmarkEnd w:id="29"/>
      <w:bookmarkEnd w:id="30"/>
      <w:bookmarkEnd w:id="31"/>
      <w:bookmarkEnd w:id="32"/>
      <w:bookmarkEnd w:id="33"/>
    </w:p>
    <w:p w:rsidR="00007AD7" w:rsidRDefault="00F21A4E">
      <w:pPr>
        <w:pStyle w:val="TableofFigures"/>
        <w:rPr>
          <w:rFonts w:asciiTheme="minorHAnsi" w:eastAsiaTheme="minorEastAsia" w:hAnsiTheme="minorHAnsi" w:cstheme="minorBidi"/>
          <w:b w:val="0"/>
          <w:noProof/>
          <w:spacing w:val="0"/>
          <w:sz w:val="22"/>
          <w:szCs w:val="22"/>
          <w:lang w:eastAsia="en-AU"/>
        </w:rPr>
      </w:pPr>
      <w:r w:rsidRPr="00D33B70">
        <w:fldChar w:fldCharType="begin"/>
      </w:r>
      <w:r w:rsidR="00A83F38" w:rsidRPr="00D33B70">
        <w:instrText xml:space="preserve"> TOC \c "Figure"  \w </w:instrText>
      </w:r>
      <w:r w:rsidRPr="00D33B70">
        <w:fldChar w:fldCharType="separate"/>
      </w:r>
      <w:r w:rsidR="00007AD7">
        <w:rPr>
          <w:noProof/>
        </w:rPr>
        <w:t>Figure 1</w:t>
      </w:r>
      <w:r w:rsidR="00007AD7">
        <w:rPr>
          <w:noProof/>
        </w:rPr>
        <w:noBreakHyphen/>
        <w:t>1</w:t>
      </w:r>
      <w:r w:rsidR="00007AD7">
        <w:rPr>
          <w:noProof/>
        </w:rPr>
        <w:tab/>
        <w:t>Locality Map</w:t>
      </w:r>
      <w:r w:rsidR="00007AD7">
        <w:rPr>
          <w:noProof/>
        </w:rPr>
        <w:tab/>
      </w:r>
      <w:r w:rsidR="00007AD7">
        <w:rPr>
          <w:noProof/>
        </w:rPr>
        <w:fldChar w:fldCharType="begin"/>
      </w:r>
      <w:r w:rsidR="00007AD7">
        <w:rPr>
          <w:noProof/>
        </w:rPr>
        <w:instrText xml:space="preserve"> PAGEREF _Toc387308931 \h </w:instrText>
      </w:r>
      <w:r w:rsidR="00007AD7">
        <w:rPr>
          <w:noProof/>
        </w:rPr>
      </w:r>
      <w:r w:rsidR="00007AD7">
        <w:rPr>
          <w:noProof/>
        </w:rPr>
        <w:fldChar w:fldCharType="separate"/>
      </w:r>
      <w:r w:rsidR="00AC6986">
        <w:rPr>
          <w:noProof/>
        </w:rPr>
        <w:t>1-3</w:t>
      </w:r>
      <w:r w:rsidR="00007AD7">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1</w:t>
      </w:r>
      <w:r>
        <w:rPr>
          <w:noProof/>
        </w:rPr>
        <w:noBreakHyphen/>
        <w:t>2</w:t>
      </w:r>
      <w:r>
        <w:rPr>
          <w:noProof/>
        </w:rPr>
        <w:tab/>
        <w:t>Study Area and Flood Mapping Limit</w:t>
      </w:r>
      <w:r>
        <w:rPr>
          <w:noProof/>
        </w:rPr>
        <w:tab/>
      </w:r>
      <w:r>
        <w:rPr>
          <w:noProof/>
        </w:rPr>
        <w:fldChar w:fldCharType="begin"/>
      </w:r>
      <w:r>
        <w:rPr>
          <w:noProof/>
        </w:rPr>
        <w:instrText xml:space="preserve"> PAGEREF _Toc387308932 \h </w:instrText>
      </w:r>
      <w:r>
        <w:rPr>
          <w:noProof/>
        </w:rPr>
      </w:r>
      <w:r>
        <w:rPr>
          <w:noProof/>
        </w:rPr>
        <w:fldChar w:fldCharType="separate"/>
      </w:r>
      <w:r w:rsidR="00AC6986">
        <w:rPr>
          <w:noProof/>
        </w:rPr>
        <w:t>1-4</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3</w:t>
      </w:r>
      <w:r>
        <w:rPr>
          <w:noProof/>
        </w:rPr>
        <w:noBreakHyphen/>
        <w:t>1</w:t>
      </w:r>
      <w:r>
        <w:rPr>
          <w:noProof/>
        </w:rPr>
        <w:tab/>
        <w:t>Highton Photogrammetry DEM</w:t>
      </w:r>
      <w:r>
        <w:rPr>
          <w:noProof/>
        </w:rPr>
        <w:tab/>
      </w:r>
      <w:r>
        <w:rPr>
          <w:noProof/>
        </w:rPr>
        <w:fldChar w:fldCharType="begin"/>
      </w:r>
      <w:r>
        <w:rPr>
          <w:noProof/>
        </w:rPr>
        <w:instrText xml:space="preserve"> PAGEREF _Toc387308933 \h </w:instrText>
      </w:r>
      <w:r>
        <w:rPr>
          <w:noProof/>
        </w:rPr>
      </w:r>
      <w:r>
        <w:rPr>
          <w:noProof/>
        </w:rPr>
        <w:fldChar w:fldCharType="separate"/>
      </w:r>
      <w:r w:rsidR="00AC6986">
        <w:rPr>
          <w:noProof/>
        </w:rPr>
        <w:t>3-4</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3</w:t>
      </w:r>
      <w:r>
        <w:rPr>
          <w:noProof/>
        </w:rPr>
        <w:noBreakHyphen/>
        <w:t>2</w:t>
      </w:r>
      <w:r>
        <w:rPr>
          <w:noProof/>
        </w:rPr>
        <w:tab/>
        <w:t>Highton LiDAR DEM</w:t>
      </w:r>
      <w:r>
        <w:rPr>
          <w:noProof/>
        </w:rPr>
        <w:tab/>
      </w:r>
      <w:r>
        <w:rPr>
          <w:noProof/>
        </w:rPr>
        <w:fldChar w:fldCharType="begin"/>
      </w:r>
      <w:r>
        <w:rPr>
          <w:noProof/>
        </w:rPr>
        <w:instrText xml:space="preserve"> PAGEREF _Toc387308934 \h </w:instrText>
      </w:r>
      <w:r>
        <w:rPr>
          <w:noProof/>
        </w:rPr>
      </w:r>
      <w:r>
        <w:rPr>
          <w:noProof/>
        </w:rPr>
        <w:fldChar w:fldCharType="separate"/>
      </w:r>
      <w:r w:rsidR="00AC6986">
        <w:rPr>
          <w:noProof/>
        </w:rPr>
        <w:t>3-5</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3</w:t>
      </w:r>
      <w:r>
        <w:rPr>
          <w:noProof/>
        </w:rPr>
        <w:noBreakHyphen/>
        <w:t>3</w:t>
      </w:r>
      <w:r>
        <w:rPr>
          <w:noProof/>
        </w:rPr>
        <w:tab/>
        <w:t>Photogrammetry DEM Check</w:t>
      </w:r>
      <w:r>
        <w:rPr>
          <w:noProof/>
        </w:rPr>
        <w:tab/>
      </w:r>
      <w:r>
        <w:rPr>
          <w:noProof/>
        </w:rPr>
        <w:fldChar w:fldCharType="begin"/>
      </w:r>
      <w:r>
        <w:rPr>
          <w:noProof/>
        </w:rPr>
        <w:instrText xml:space="preserve"> PAGEREF _Toc387308935 \h </w:instrText>
      </w:r>
      <w:r>
        <w:rPr>
          <w:noProof/>
        </w:rPr>
      </w:r>
      <w:r>
        <w:rPr>
          <w:noProof/>
        </w:rPr>
        <w:fldChar w:fldCharType="separate"/>
      </w:r>
      <w:r w:rsidR="00AC6986">
        <w:rPr>
          <w:noProof/>
        </w:rPr>
        <w:t>3-6</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3</w:t>
      </w:r>
      <w:r>
        <w:rPr>
          <w:noProof/>
        </w:rPr>
        <w:noBreakHyphen/>
        <w:t>4</w:t>
      </w:r>
      <w:r>
        <w:rPr>
          <w:noProof/>
        </w:rPr>
        <w:tab/>
        <w:t>LiDAR DEM Check</w:t>
      </w:r>
      <w:r>
        <w:rPr>
          <w:noProof/>
        </w:rPr>
        <w:tab/>
      </w:r>
      <w:r>
        <w:rPr>
          <w:noProof/>
        </w:rPr>
        <w:fldChar w:fldCharType="begin"/>
      </w:r>
      <w:r>
        <w:rPr>
          <w:noProof/>
        </w:rPr>
        <w:instrText xml:space="preserve"> PAGEREF _Toc387308936 \h </w:instrText>
      </w:r>
      <w:r>
        <w:rPr>
          <w:noProof/>
        </w:rPr>
      </w:r>
      <w:r>
        <w:rPr>
          <w:noProof/>
        </w:rPr>
        <w:fldChar w:fldCharType="separate"/>
      </w:r>
      <w:r w:rsidR="00AC6986">
        <w:rPr>
          <w:noProof/>
        </w:rPr>
        <w:t>3-7</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4</w:t>
      </w:r>
      <w:r>
        <w:rPr>
          <w:noProof/>
        </w:rPr>
        <w:noBreakHyphen/>
        <w:t>1</w:t>
      </w:r>
      <w:r>
        <w:rPr>
          <w:noProof/>
        </w:rPr>
        <w:tab/>
        <w:t>RORB Catchment Layout</w:t>
      </w:r>
      <w:r>
        <w:rPr>
          <w:noProof/>
        </w:rPr>
        <w:tab/>
      </w:r>
      <w:r>
        <w:rPr>
          <w:noProof/>
        </w:rPr>
        <w:fldChar w:fldCharType="begin"/>
      </w:r>
      <w:r>
        <w:rPr>
          <w:noProof/>
        </w:rPr>
        <w:instrText xml:space="preserve"> PAGEREF _Toc387308937 \h </w:instrText>
      </w:r>
      <w:r>
        <w:rPr>
          <w:noProof/>
        </w:rPr>
      </w:r>
      <w:r>
        <w:rPr>
          <w:noProof/>
        </w:rPr>
        <w:fldChar w:fldCharType="separate"/>
      </w:r>
      <w:r w:rsidR="00AC6986">
        <w:rPr>
          <w:noProof/>
        </w:rPr>
        <w:t>4-2</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4</w:t>
      </w:r>
      <w:r>
        <w:rPr>
          <w:noProof/>
        </w:rPr>
        <w:noBreakHyphen/>
        <w:t>2</w:t>
      </w:r>
      <w:r>
        <w:rPr>
          <w:noProof/>
        </w:rPr>
        <w:tab/>
        <w:t>Thornhill Road Upper Retarding Basin Inflow</w:t>
      </w:r>
      <w:r>
        <w:rPr>
          <w:noProof/>
        </w:rPr>
        <w:tab/>
      </w:r>
      <w:r>
        <w:rPr>
          <w:noProof/>
        </w:rPr>
        <w:fldChar w:fldCharType="begin"/>
      </w:r>
      <w:r>
        <w:rPr>
          <w:noProof/>
        </w:rPr>
        <w:instrText xml:space="preserve"> PAGEREF _Toc387308938 \h </w:instrText>
      </w:r>
      <w:r>
        <w:rPr>
          <w:noProof/>
        </w:rPr>
      </w:r>
      <w:r>
        <w:rPr>
          <w:noProof/>
        </w:rPr>
        <w:fldChar w:fldCharType="separate"/>
      </w:r>
      <w:r w:rsidR="00AC6986">
        <w:rPr>
          <w:noProof/>
        </w:rPr>
        <w:t>4-10</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4</w:t>
      </w:r>
      <w:r>
        <w:rPr>
          <w:noProof/>
        </w:rPr>
        <w:noBreakHyphen/>
        <w:t>3</w:t>
      </w:r>
      <w:r>
        <w:rPr>
          <w:noProof/>
        </w:rPr>
        <w:tab/>
        <w:t>Vanessa Avenue Retarding Basin Inflow</w:t>
      </w:r>
      <w:r>
        <w:rPr>
          <w:noProof/>
        </w:rPr>
        <w:tab/>
      </w:r>
      <w:r>
        <w:rPr>
          <w:noProof/>
        </w:rPr>
        <w:fldChar w:fldCharType="begin"/>
      </w:r>
      <w:r>
        <w:rPr>
          <w:noProof/>
        </w:rPr>
        <w:instrText xml:space="preserve"> PAGEREF _Toc387308939 \h </w:instrText>
      </w:r>
      <w:r>
        <w:rPr>
          <w:noProof/>
        </w:rPr>
      </w:r>
      <w:r>
        <w:rPr>
          <w:noProof/>
        </w:rPr>
        <w:fldChar w:fldCharType="separate"/>
      </w:r>
      <w:r w:rsidR="00AC6986">
        <w:rPr>
          <w:noProof/>
        </w:rPr>
        <w:t>4-11</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4</w:t>
      </w:r>
      <w:r>
        <w:rPr>
          <w:noProof/>
        </w:rPr>
        <w:noBreakHyphen/>
        <w:t>4</w:t>
      </w:r>
      <w:r>
        <w:rPr>
          <w:noProof/>
        </w:rPr>
        <w:tab/>
        <w:t>Corner of Bellevue Avenue and Maus Street</w:t>
      </w:r>
      <w:r>
        <w:rPr>
          <w:noProof/>
        </w:rPr>
        <w:tab/>
      </w:r>
      <w:r>
        <w:rPr>
          <w:noProof/>
        </w:rPr>
        <w:fldChar w:fldCharType="begin"/>
      </w:r>
      <w:r>
        <w:rPr>
          <w:noProof/>
        </w:rPr>
        <w:instrText xml:space="preserve"> PAGEREF _Toc387308940 \h </w:instrText>
      </w:r>
      <w:r>
        <w:rPr>
          <w:noProof/>
        </w:rPr>
      </w:r>
      <w:r>
        <w:rPr>
          <w:noProof/>
        </w:rPr>
        <w:fldChar w:fldCharType="separate"/>
      </w:r>
      <w:r w:rsidR="00AC6986">
        <w:rPr>
          <w:noProof/>
        </w:rPr>
        <w:t>4-11</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4</w:t>
      </w:r>
      <w:r>
        <w:rPr>
          <w:noProof/>
        </w:rPr>
        <w:noBreakHyphen/>
        <w:t>5</w:t>
      </w:r>
      <w:r>
        <w:rPr>
          <w:noProof/>
        </w:rPr>
        <w:tab/>
        <w:t>Corner of Bellevue Avenue and Roslyn Road</w:t>
      </w:r>
      <w:r>
        <w:rPr>
          <w:noProof/>
        </w:rPr>
        <w:tab/>
      </w:r>
      <w:r>
        <w:rPr>
          <w:noProof/>
        </w:rPr>
        <w:fldChar w:fldCharType="begin"/>
      </w:r>
      <w:r>
        <w:rPr>
          <w:noProof/>
        </w:rPr>
        <w:instrText xml:space="preserve"> PAGEREF _Toc387308941 \h </w:instrText>
      </w:r>
      <w:r>
        <w:rPr>
          <w:noProof/>
        </w:rPr>
      </w:r>
      <w:r>
        <w:rPr>
          <w:noProof/>
        </w:rPr>
        <w:fldChar w:fldCharType="separate"/>
      </w:r>
      <w:r w:rsidR="00AC6986">
        <w:rPr>
          <w:noProof/>
        </w:rPr>
        <w:t>4-12</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lastRenderedPageBreak/>
        <w:t>Figure 4</w:t>
      </w:r>
      <w:r>
        <w:rPr>
          <w:noProof/>
        </w:rPr>
        <w:noBreakHyphen/>
        <w:t>6</w:t>
      </w:r>
      <w:r>
        <w:rPr>
          <w:noProof/>
        </w:rPr>
        <w:tab/>
        <w:t>Corner of Barrabool Road and Mount Pleasant Road</w:t>
      </w:r>
      <w:r>
        <w:rPr>
          <w:noProof/>
        </w:rPr>
        <w:tab/>
      </w:r>
      <w:r>
        <w:rPr>
          <w:noProof/>
        </w:rPr>
        <w:fldChar w:fldCharType="begin"/>
      </w:r>
      <w:r>
        <w:rPr>
          <w:noProof/>
        </w:rPr>
        <w:instrText xml:space="preserve"> PAGEREF _Toc387308942 \h </w:instrText>
      </w:r>
      <w:r>
        <w:rPr>
          <w:noProof/>
        </w:rPr>
      </w:r>
      <w:r>
        <w:rPr>
          <w:noProof/>
        </w:rPr>
        <w:fldChar w:fldCharType="separate"/>
      </w:r>
      <w:r w:rsidR="00AC6986">
        <w:rPr>
          <w:noProof/>
        </w:rPr>
        <w:t>4-12</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4</w:t>
      </w:r>
      <w:r>
        <w:rPr>
          <w:noProof/>
        </w:rPr>
        <w:noBreakHyphen/>
        <w:t>7</w:t>
      </w:r>
      <w:r>
        <w:rPr>
          <w:noProof/>
        </w:rPr>
        <w:tab/>
        <w:t>Catchment Outlet - Barwon River</w:t>
      </w:r>
      <w:r>
        <w:rPr>
          <w:noProof/>
        </w:rPr>
        <w:tab/>
      </w:r>
      <w:r>
        <w:rPr>
          <w:noProof/>
        </w:rPr>
        <w:fldChar w:fldCharType="begin"/>
      </w:r>
      <w:r>
        <w:rPr>
          <w:noProof/>
        </w:rPr>
        <w:instrText xml:space="preserve"> PAGEREF _Toc387308943 \h </w:instrText>
      </w:r>
      <w:r>
        <w:rPr>
          <w:noProof/>
        </w:rPr>
      </w:r>
      <w:r>
        <w:rPr>
          <w:noProof/>
        </w:rPr>
        <w:fldChar w:fldCharType="separate"/>
      </w:r>
      <w:r w:rsidR="00AC6986">
        <w:rPr>
          <w:noProof/>
        </w:rPr>
        <w:t>4-13</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4</w:t>
      </w:r>
      <w:r>
        <w:rPr>
          <w:noProof/>
        </w:rPr>
        <w:noBreakHyphen/>
        <w:t>8</w:t>
      </w:r>
      <w:r>
        <w:rPr>
          <w:noProof/>
        </w:rPr>
        <w:tab/>
        <w:t>TUFLOW Model Setup</w:t>
      </w:r>
      <w:r>
        <w:rPr>
          <w:noProof/>
        </w:rPr>
        <w:tab/>
      </w:r>
      <w:r>
        <w:rPr>
          <w:noProof/>
        </w:rPr>
        <w:fldChar w:fldCharType="begin"/>
      </w:r>
      <w:r>
        <w:rPr>
          <w:noProof/>
        </w:rPr>
        <w:instrText xml:space="preserve"> PAGEREF _Toc387308944 \h </w:instrText>
      </w:r>
      <w:r>
        <w:rPr>
          <w:noProof/>
        </w:rPr>
      </w:r>
      <w:r>
        <w:rPr>
          <w:noProof/>
        </w:rPr>
        <w:fldChar w:fldCharType="separate"/>
      </w:r>
      <w:r w:rsidR="00AC6986">
        <w:rPr>
          <w:noProof/>
        </w:rPr>
        <w:t>4-15</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5</w:t>
      </w:r>
      <w:r>
        <w:rPr>
          <w:noProof/>
        </w:rPr>
        <w:noBreakHyphen/>
        <w:t>1</w:t>
      </w:r>
      <w:r>
        <w:rPr>
          <w:noProof/>
        </w:rPr>
        <w:tab/>
        <w:t>20% AEP Peak Flood Depth</w:t>
      </w:r>
      <w:r>
        <w:rPr>
          <w:noProof/>
        </w:rPr>
        <w:tab/>
      </w:r>
      <w:r>
        <w:rPr>
          <w:noProof/>
        </w:rPr>
        <w:fldChar w:fldCharType="begin"/>
      </w:r>
      <w:r>
        <w:rPr>
          <w:noProof/>
        </w:rPr>
        <w:instrText xml:space="preserve"> PAGEREF _Toc387308945 \h </w:instrText>
      </w:r>
      <w:r>
        <w:rPr>
          <w:noProof/>
        </w:rPr>
      </w:r>
      <w:r>
        <w:rPr>
          <w:noProof/>
        </w:rPr>
        <w:fldChar w:fldCharType="separate"/>
      </w:r>
      <w:r w:rsidR="00AC6986">
        <w:rPr>
          <w:noProof/>
        </w:rPr>
        <w:t>5-3</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5</w:t>
      </w:r>
      <w:r>
        <w:rPr>
          <w:noProof/>
        </w:rPr>
        <w:noBreakHyphen/>
        <w:t>2</w:t>
      </w:r>
      <w:r>
        <w:rPr>
          <w:noProof/>
        </w:rPr>
        <w:tab/>
        <w:t>10% AEP Peak Flood Depth</w:t>
      </w:r>
      <w:r>
        <w:rPr>
          <w:noProof/>
        </w:rPr>
        <w:tab/>
      </w:r>
      <w:r>
        <w:rPr>
          <w:noProof/>
        </w:rPr>
        <w:fldChar w:fldCharType="begin"/>
      </w:r>
      <w:r>
        <w:rPr>
          <w:noProof/>
        </w:rPr>
        <w:instrText xml:space="preserve"> PAGEREF _Toc387308946 \h </w:instrText>
      </w:r>
      <w:r>
        <w:rPr>
          <w:noProof/>
        </w:rPr>
      </w:r>
      <w:r>
        <w:rPr>
          <w:noProof/>
        </w:rPr>
        <w:fldChar w:fldCharType="separate"/>
      </w:r>
      <w:r w:rsidR="00AC6986">
        <w:rPr>
          <w:noProof/>
        </w:rPr>
        <w:t>5-4</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5</w:t>
      </w:r>
      <w:r>
        <w:rPr>
          <w:noProof/>
        </w:rPr>
        <w:noBreakHyphen/>
        <w:t>3</w:t>
      </w:r>
      <w:r>
        <w:rPr>
          <w:noProof/>
        </w:rPr>
        <w:tab/>
        <w:t>5% AEP Peak Flood Depth</w:t>
      </w:r>
      <w:r>
        <w:rPr>
          <w:noProof/>
        </w:rPr>
        <w:tab/>
      </w:r>
      <w:r>
        <w:rPr>
          <w:noProof/>
        </w:rPr>
        <w:fldChar w:fldCharType="begin"/>
      </w:r>
      <w:r>
        <w:rPr>
          <w:noProof/>
        </w:rPr>
        <w:instrText xml:space="preserve"> PAGEREF _Toc387308947 \h </w:instrText>
      </w:r>
      <w:r>
        <w:rPr>
          <w:noProof/>
        </w:rPr>
      </w:r>
      <w:r>
        <w:rPr>
          <w:noProof/>
        </w:rPr>
        <w:fldChar w:fldCharType="separate"/>
      </w:r>
      <w:r w:rsidR="00AC6986">
        <w:rPr>
          <w:noProof/>
        </w:rPr>
        <w:t>5-5</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5</w:t>
      </w:r>
      <w:r>
        <w:rPr>
          <w:noProof/>
        </w:rPr>
        <w:noBreakHyphen/>
        <w:t>4</w:t>
      </w:r>
      <w:r>
        <w:rPr>
          <w:noProof/>
        </w:rPr>
        <w:tab/>
        <w:t>1% AEP Peak Flood Depth</w:t>
      </w:r>
      <w:r>
        <w:rPr>
          <w:noProof/>
        </w:rPr>
        <w:tab/>
      </w:r>
      <w:r>
        <w:rPr>
          <w:noProof/>
        </w:rPr>
        <w:fldChar w:fldCharType="begin"/>
      </w:r>
      <w:r>
        <w:rPr>
          <w:noProof/>
        </w:rPr>
        <w:instrText xml:space="preserve"> PAGEREF _Toc387308948 \h </w:instrText>
      </w:r>
      <w:r>
        <w:rPr>
          <w:noProof/>
        </w:rPr>
      </w:r>
      <w:r>
        <w:rPr>
          <w:noProof/>
        </w:rPr>
        <w:fldChar w:fldCharType="separate"/>
      </w:r>
      <w:r w:rsidR="00AC6986">
        <w:rPr>
          <w:noProof/>
        </w:rPr>
        <w:t>5-6</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5</w:t>
      </w:r>
      <w:r>
        <w:rPr>
          <w:noProof/>
        </w:rPr>
        <w:noBreakHyphen/>
        <w:t>5</w:t>
      </w:r>
      <w:r>
        <w:rPr>
          <w:noProof/>
        </w:rPr>
        <w:tab/>
        <w:t>20% AEP Flood Hazard</w:t>
      </w:r>
      <w:r>
        <w:rPr>
          <w:noProof/>
        </w:rPr>
        <w:tab/>
      </w:r>
      <w:r>
        <w:rPr>
          <w:noProof/>
        </w:rPr>
        <w:fldChar w:fldCharType="begin"/>
      </w:r>
      <w:r>
        <w:rPr>
          <w:noProof/>
        </w:rPr>
        <w:instrText xml:space="preserve"> PAGEREF _Toc387308949 \h </w:instrText>
      </w:r>
      <w:r>
        <w:rPr>
          <w:noProof/>
        </w:rPr>
      </w:r>
      <w:r>
        <w:rPr>
          <w:noProof/>
        </w:rPr>
        <w:fldChar w:fldCharType="separate"/>
      </w:r>
      <w:r w:rsidR="00AC6986">
        <w:rPr>
          <w:noProof/>
        </w:rPr>
        <w:t>5-7</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5</w:t>
      </w:r>
      <w:r>
        <w:rPr>
          <w:noProof/>
        </w:rPr>
        <w:noBreakHyphen/>
        <w:t>6</w:t>
      </w:r>
      <w:r>
        <w:rPr>
          <w:noProof/>
        </w:rPr>
        <w:tab/>
        <w:t>10% AEP Flood Hazard</w:t>
      </w:r>
      <w:r>
        <w:rPr>
          <w:noProof/>
        </w:rPr>
        <w:tab/>
      </w:r>
      <w:r>
        <w:rPr>
          <w:noProof/>
        </w:rPr>
        <w:fldChar w:fldCharType="begin"/>
      </w:r>
      <w:r>
        <w:rPr>
          <w:noProof/>
        </w:rPr>
        <w:instrText xml:space="preserve"> PAGEREF _Toc387308950 \h </w:instrText>
      </w:r>
      <w:r>
        <w:rPr>
          <w:noProof/>
        </w:rPr>
      </w:r>
      <w:r>
        <w:rPr>
          <w:noProof/>
        </w:rPr>
        <w:fldChar w:fldCharType="separate"/>
      </w:r>
      <w:r w:rsidR="00AC6986">
        <w:rPr>
          <w:noProof/>
        </w:rPr>
        <w:t>5-8</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5</w:t>
      </w:r>
      <w:r>
        <w:rPr>
          <w:noProof/>
        </w:rPr>
        <w:noBreakHyphen/>
        <w:t>7</w:t>
      </w:r>
      <w:r>
        <w:rPr>
          <w:noProof/>
        </w:rPr>
        <w:tab/>
        <w:t>5% AEP Flood Hazard</w:t>
      </w:r>
      <w:r>
        <w:rPr>
          <w:noProof/>
        </w:rPr>
        <w:tab/>
      </w:r>
      <w:r>
        <w:rPr>
          <w:noProof/>
        </w:rPr>
        <w:fldChar w:fldCharType="begin"/>
      </w:r>
      <w:r>
        <w:rPr>
          <w:noProof/>
        </w:rPr>
        <w:instrText xml:space="preserve"> PAGEREF _Toc387308951 \h </w:instrText>
      </w:r>
      <w:r>
        <w:rPr>
          <w:noProof/>
        </w:rPr>
      </w:r>
      <w:r>
        <w:rPr>
          <w:noProof/>
        </w:rPr>
        <w:fldChar w:fldCharType="separate"/>
      </w:r>
      <w:r w:rsidR="00AC6986">
        <w:rPr>
          <w:noProof/>
        </w:rPr>
        <w:t>5-9</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5</w:t>
      </w:r>
      <w:r>
        <w:rPr>
          <w:noProof/>
        </w:rPr>
        <w:noBreakHyphen/>
        <w:t>8</w:t>
      </w:r>
      <w:r>
        <w:rPr>
          <w:noProof/>
        </w:rPr>
        <w:tab/>
        <w:t>1% AEP Flood Hazard</w:t>
      </w:r>
      <w:r>
        <w:rPr>
          <w:noProof/>
        </w:rPr>
        <w:tab/>
      </w:r>
      <w:r>
        <w:rPr>
          <w:noProof/>
        </w:rPr>
        <w:fldChar w:fldCharType="begin"/>
      </w:r>
      <w:r>
        <w:rPr>
          <w:noProof/>
        </w:rPr>
        <w:instrText xml:space="preserve"> PAGEREF _Toc387308952 \h </w:instrText>
      </w:r>
      <w:r>
        <w:rPr>
          <w:noProof/>
        </w:rPr>
      </w:r>
      <w:r>
        <w:rPr>
          <w:noProof/>
        </w:rPr>
        <w:fldChar w:fldCharType="separate"/>
      </w:r>
      <w:r w:rsidR="00AC6986">
        <w:rPr>
          <w:noProof/>
        </w:rPr>
        <w:t>5-10</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6</w:t>
      </w:r>
      <w:r>
        <w:rPr>
          <w:noProof/>
        </w:rPr>
        <w:noBreakHyphen/>
        <w:t>1</w:t>
      </w:r>
      <w:r>
        <w:rPr>
          <w:noProof/>
        </w:rPr>
        <w:tab/>
        <w:t>Existing Conditions Damages Probability Curve</w:t>
      </w:r>
      <w:r>
        <w:rPr>
          <w:noProof/>
        </w:rPr>
        <w:tab/>
      </w:r>
      <w:r>
        <w:rPr>
          <w:noProof/>
        </w:rPr>
        <w:fldChar w:fldCharType="begin"/>
      </w:r>
      <w:r>
        <w:rPr>
          <w:noProof/>
        </w:rPr>
        <w:instrText xml:space="preserve"> PAGEREF _Toc387308953 \h </w:instrText>
      </w:r>
      <w:r>
        <w:rPr>
          <w:noProof/>
        </w:rPr>
      </w:r>
      <w:r>
        <w:rPr>
          <w:noProof/>
        </w:rPr>
        <w:fldChar w:fldCharType="separate"/>
      </w:r>
      <w:r w:rsidR="00AC6986">
        <w:rPr>
          <w:noProof/>
        </w:rPr>
        <w:t>6-4</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7</w:t>
      </w:r>
      <w:r>
        <w:rPr>
          <w:noProof/>
        </w:rPr>
        <w:noBreakHyphen/>
        <w:t>1</w:t>
      </w:r>
      <w:r>
        <w:rPr>
          <w:noProof/>
        </w:rPr>
        <w:tab/>
        <w:t>Scheme One Proposed Mitigation Works</w:t>
      </w:r>
      <w:r>
        <w:rPr>
          <w:noProof/>
        </w:rPr>
        <w:tab/>
      </w:r>
      <w:r>
        <w:rPr>
          <w:noProof/>
        </w:rPr>
        <w:fldChar w:fldCharType="begin"/>
      </w:r>
      <w:r>
        <w:rPr>
          <w:noProof/>
        </w:rPr>
        <w:instrText xml:space="preserve"> PAGEREF _Toc387308954 \h </w:instrText>
      </w:r>
      <w:r>
        <w:rPr>
          <w:noProof/>
        </w:rPr>
      </w:r>
      <w:r>
        <w:rPr>
          <w:noProof/>
        </w:rPr>
        <w:fldChar w:fldCharType="separate"/>
      </w:r>
      <w:r w:rsidR="00AC6986">
        <w:rPr>
          <w:noProof/>
        </w:rPr>
        <w:t>7-7</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7</w:t>
      </w:r>
      <w:r>
        <w:rPr>
          <w:noProof/>
        </w:rPr>
        <w:noBreakHyphen/>
        <w:t>2</w:t>
      </w:r>
      <w:r>
        <w:rPr>
          <w:noProof/>
        </w:rPr>
        <w:tab/>
        <w:t>Scheme Two Proposed Mitigation Works</w:t>
      </w:r>
      <w:r>
        <w:rPr>
          <w:noProof/>
        </w:rPr>
        <w:tab/>
      </w:r>
      <w:r>
        <w:rPr>
          <w:noProof/>
        </w:rPr>
        <w:fldChar w:fldCharType="begin"/>
      </w:r>
      <w:r>
        <w:rPr>
          <w:noProof/>
        </w:rPr>
        <w:instrText xml:space="preserve"> PAGEREF _Toc387308955 \h </w:instrText>
      </w:r>
      <w:r>
        <w:rPr>
          <w:noProof/>
        </w:rPr>
      </w:r>
      <w:r>
        <w:rPr>
          <w:noProof/>
        </w:rPr>
        <w:fldChar w:fldCharType="separate"/>
      </w:r>
      <w:r w:rsidR="00AC6986">
        <w:rPr>
          <w:noProof/>
        </w:rPr>
        <w:t>7-8</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7</w:t>
      </w:r>
      <w:r>
        <w:rPr>
          <w:noProof/>
        </w:rPr>
        <w:noBreakHyphen/>
        <w:t>3</w:t>
      </w:r>
      <w:r>
        <w:rPr>
          <w:noProof/>
        </w:rPr>
        <w:tab/>
        <w:t>Scheme Three Proposed Mitigation Works</w:t>
      </w:r>
      <w:r>
        <w:rPr>
          <w:noProof/>
        </w:rPr>
        <w:tab/>
      </w:r>
      <w:r>
        <w:rPr>
          <w:noProof/>
        </w:rPr>
        <w:fldChar w:fldCharType="begin"/>
      </w:r>
      <w:r>
        <w:rPr>
          <w:noProof/>
        </w:rPr>
        <w:instrText xml:space="preserve"> PAGEREF _Toc387308956 \h </w:instrText>
      </w:r>
      <w:r>
        <w:rPr>
          <w:noProof/>
        </w:rPr>
      </w:r>
      <w:r>
        <w:rPr>
          <w:noProof/>
        </w:rPr>
        <w:fldChar w:fldCharType="separate"/>
      </w:r>
      <w:r w:rsidR="00AC6986">
        <w:rPr>
          <w:noProof/>
        </w:rPr>
        <w:t>7-9</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7</w:t>
      </w:r>
      <w:r>
        <w:rPr>
          <w:noProof/>
        </w:rPr>
        <w:noBreakHyphen/>
        <w:t>4</w:t>
      </w:r>
      <w:r>
        <w:rPr>
          <w:noProof/>
        </w:rPr>
        <w:tab/>
        <w:t>Scheme One 20% AEP Peak Flood Impact</w:t>
      </w:r>
      <w:r>
        <w:rPr>
          <w:noProof/>
        </w:rPr>
        <w:tab/>
      </w:r>
      <w:r>
        <w:rPr>
          <w:noProof/>
        </w:rPr>
        <w:fldChar w:fldCharType="begin"/>
      </w:r>
      <w:r>
        <w:rPr>
          <w:noProof/>
        </w:rPr>
        <w:instrText xml:space="preserve"> PAGEREF _Toc387308957 \h </w:instrText>
      </w:r>
      <w:r>
        <w:rPr>
          <w:noProof/>
        </w:rPr>
      </w:r>
      <w:r>
        <w:rPr>
          <w:noProof/>
        </w:rPr>
        <w:fldChar w:fldCharType="separate"/>
      </w:r>
      <w:r w:rsidR="00AC6986">
        <w:rPr>
          <w:noProof/>
        </w:rPr>
        <w:t>7-12</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7</w:t>
      </w:r>
      <w:r>
        <w:rPr>
          <w:noProof/>
        </w:rPr>
        <w:noBreakHyphen/>
        <w:t>5</w:t>
      </w:r>
      <w:r>
        <w:rPr>
          <w:noProof/>
        </w:rPr>
        <w:tab/>
        <w:t>Scheme One 10% AEP Peak Flood Impact</w:t>
      </w:r>
      <w:r>
        <w:rPr>
          <w:noProof/>
        </w:rPr>
        <w:tab/>
      </w:r>
      <w:r>
        <w:rPr>
          <w:noProof/>
        </w:rPr>
        <w:fldChar w:fldCharType="begin"/>
      </w:r>
      <w:r>
        <w:rPr>
          <w:noProof/>
        </w:rPr>
        <w:instrText xml:space="preserve"> PAGEREF _Toc387308958 \h </w:instrText>
      </w:r>
      <w:r>
        <w:rPr>
          <w:noProof/>
        </w:rPr>
      </w:r>
      <w:r>
        <w:rPr>
          <w:noProof/>
        </w:rPr>
        <w:fldChar w:fldCharType="separate"/>
      </w:r>
      <w:r w:rsidR="00AC6986">
        <w:rPr>
          <w:noProof/>
        </w:rPr>
        <w:t>7-13</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7</w:t>
      </w:r>
      <w:r>
        <w:rPr>
          <w:noProof/>
        </w:rPr>
        <w:noBreakHyphen/>
        <w:t>6</w:t>
      </w:r>
      <w:r>
        <w:rPr>
          <w:noProof/>
        </w:rPr>
        <w:tab/>
        <w:t>Scheme One 5% AEP Peak Flood Impact</w:t>
      </w:r>
      <w:r>
        <w:rPr>
          <w:noProof/>
        </w:rPr>
        <w:tab/>
      </w:r>
      <w:r>
        <w:rPr>
          <w:noProof/>
        </w:rPr>
        <w:fldChar w:fldCharType="begin"/>
      </w:r>
      <w:r>
        <w:rPr>
          <w:noProof/>
        </w:rPr>
        <w:instrText xml:space="preserve"> PAGEREF _Toc387308959 \h </w:instrText>
      </w:r>
      <w:r>
        <w:rPr>
          <w:noProof/>
        </w:rPr>
      </w:r>
      <w:r>
        <w:rPr>
          <w:noProof/>
        </w:rPr>
        <w:fldChar w:fldCharType="separate"/>
      </w:r>
      <w:r w:rsidR="00AC6986">
        <w:rPr>
          <w:noProof/>
        </w:rPr>
        <w:t>7-14</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7</w:t>
      </w:r>
      <w:r>
        <w:rPr>
          <w:noProof/>
        </w:rPr>
        <w:noBreakHyphen/>
        <w:t>7</w:t>
      </w:r>
      <w:r>
        <w:rPr>
          <w:noProof/>
        </w:rPr>
        <w:tab/>
        <w:t>Scheme One 1% AEP Peak Flood Impact</w:t>
      </w:r>
      <w:r>
        <w:rPr>
          <w:noProof/>
        </w:rPr>
        <w:tab/>
      </w:r>
      <w:r>
        <w:rPr>
          <w:noProof/>
        </w:rPr>
        <w:fldChar w:fldCharType="begin"/>
      </w:r>
      <w:r>
        <w:rPr>
          <w:noProof/>
        </w:rPr>
        <w:instrText xml:space="preserve"> PAGEREF _Toc387308960 \h </w:instrText>
      </w:r>
      <w:r>
        <w:rPr>
          <w:noProof/>
        </w:rPr>
      </w:r>
      <w:r>
        <w:rPr>
          <w:noProof/>
        </w:rPr>
        <w:fldChar w:fldCharType="separate"/>
      </w:r>
      <w:r w:rsidR="00AC6986">
        <w:rPr>
          <w:noProof/>
        </w:rPr>
        <w:t>7-15</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7</w:t>
      </w:r>
      <w:r>
        <w:rPr>
          <w:noProof/>
        </w:rPr>
        <w:noBreakHyphen/>
        <w:t>8</w:t>
      </w:r>
      <w:r>
        <w:rPr>
          <w:noProof/>
        </w:rPr>
        <w:tab/>
        <w:t>Scheme Two 20% AEP Peak Flood Impact</w:t>
      </w:r>
      <w:r>
        <w:rPr>
          <w:noProof/>
        </w:rPr>
        <w:tab/>
      </w:r>
      <w:r>
        <w:rPr>
          <w:noProof/>
        </w:rPr>
        <w:fldChar w:fldCharType="begin"/>
      </w:r>
      <w:r>
        <w:rPr>
          <w:noProof/>
        </w:rPr>
        <w:instrText xml:space="preserve"> PAGEREF _Toc387308961 \h </w:instrText>
      </w:r>
      <w:r>
        <w:rPr>
          <w:noProof/>
        </w:rPr>
      </w:r>
      <w:r>
        <w:rPr>
          <w:noProof/>
        </w:rPr>
        <w:fldChar w:fldCharType="separate"/>
      </w:r>
      <w:r w:rsidR="00AC6986">
        <w:rPr>
          <w:noProof/>
        </w:rPr>
        <w:t>7-16</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7</w:t>
      </w:r>
      <w:r>
        <w:rPr>
          <w:noProof/>
        </w:rPr>
        <w:noBreakHyphen/>
        <w:t>9</w:t>
      </w:r>
      <w:r>
        <w:rPr>
          <w:noProof/>
        </w:rPr>
        <w:tab/>
        <w:t>Scheme Two 10% AEP Peak Flood Impact</w:t>
      </w:r>
      <w:r>
        <w:rPr>
          <w:noProof/>
        </w:rPr>
        <w:tab/>
      </w:r>
      <w:r>
        <w:rPr>
          <w:noProof/>
        </w:rPr>
        <w:fldChar w:fldCharType="begin"/>
      </w:r>
      <w:r>
        <w:rPr>
          <w:noProof/>
        </w:rPr>
        <w:instrText xml:space="preserve"> PAGEREF _Toc387308962 \h </w:instrText>
      </w:r>
      <w:r>
        <w:rPr>
          <w:noProof/>
        </w:rPr>
      </w:r>
      <w:r>
        <w:rPr>
          <w:noProof/>
        </w:rPr>
        <w:fldChar w:fldCharType="separate"/>
      </w:r>
      <w:r w:rsidR="00AC6986">
        <w:rPr>
          <w:noProof/>
        </w:rPr>
        <w:t>7-17</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7</w:t>
      </w:r>
      <w:r>
        <w:rPr>
          <w:noProof/>
        </w:rPr>
        <w:noBreakHyphen/>
        <w:t>10</w:t>
      </w:r>
      <w:r>
        <w:rPr>
          <w:noProof/>
        </w:rPr>
        <w:tab/>
        <w:t>Scheme Two 5% AEP Peak Flood Impact</w:t>
      </w:r>
      <w:r>
        <w:rPr>
          <w:noProof/>
        </w:rPr>
        <w:tab/>
      </w:r>
      <w:r>
        <w:rPr>
          <w:noProof/>
        </w:rPr>
        <w:fldChar w:fldCharType="begin"/>
      </w:r>
      <w:r>
        <w:rPr>
          <w:noProof/>
        </w:rPr>
        <w:instrText xml:space="preserve"> PAGEREF _Toc387308963 \h </w:instrText>
      </w:r>
      <w:r>
        <w:rPr>
          <w:noProof/>
        </w:rPr>
      </w:r>
      <w:r>
        <w:rPr>
          <w:noProof/>
        </w:rPr>
        <w:fldChar w:fldCharType="separate"/>
      </w:r>
      <w:r w:rsidR="00AC6986">
        <w:rPr>
          <w:noProof/>
        </w:rPr>
        <w:t>7-18</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7</w:t>
      </w:r>
      <w:r>
        <w:rPr>
          <w:noProof/>
        </w:rPr>
        <w:noBreakHyphen/>
        <w:t>11</w:t>
      </w:r>
      <w:r>
        <w:rPr>
          <w:noProof/>
        </w:rPr>
        <w:tab/>
        <w:t>Scheme Two 1% AEP Peak Flood Impact</w:t>
      </w:r>
      <w:r>
        <w:rPr>
          <w:noProof/>
        </w:rPr>
        <w:tab/>
      </w:r>
      <w:r>
        <w:rPr>
          <w:noProof/>
        </w:rPr>
        <w:fldChar w:fldCharType="begin"/>
      </w:r>
      <w:r>
        <w:rPr>
          <w:noProof/>
        </w:rPr>
        <w:instrText xml:space="preserve"> PAGEREF _Toc387308964 \h </w:instrText>
      </w:r>
      <w:r>
        <w:rPr>
          <w:noProof/>
        </w:rPr>
      </w:r>
      <w:r>
        <w:rPr>
          <w:noProof/>
        </w:rPr>
        <w:fldChar w:fldCharType="separate"/>
      </w:r>
      <w:r w:rsidR="00AC6986">
        <w:rPr>
          <w:noProof/>
        </w:rPr>
        <w:t>7-19</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7</w:t>
      </w:r>
      <w:r>
        <w:rPr>
          <w:noProof/>
        </w:rPr>
        <w:noBreakHyphen/>
        <w:t>12</w:t>
      </w:r>
      <w:r>
        <w:rPr>
          <w:noProof/>
        </w:rPr>
        <w:tab/>
        <w:t>Scheme Three 20% AEP Peak Flood Impact</w:t>
      </w:r>
      <w:r>
        <w:rPr>
          <w:noProof/>
        </w:rPr>
        <w:tab/>
      </w:r>
      <w:r>
        <w:rPr>
          <w:noProof/>
        </w:rPr>
        <w:fldChar w:fldCharType="begin"/>
      </w:r>
      <w:r>
        <w:rPr>
          <w:noProof/>
        </w:rPr>
        <w:instrText xml:space="preserve"> PAGEREF _Toc387308965 \h </w:instrText>
      </w:r>
      <w:r>
        <w:rPr>
          <w:noProof/>
        </w:rPr>
      </w:r>
      <w:r>
        <w:rPr>
          <w:noProof/>
        </w:rPr>
        <w:fldChar w:fldCharType="separate"/>
      </w:r>
      <w:r w:rsidR="00AC6986">
        <w:rPr>
          <w:noProof/>
        </w:rPr>
        <w:t>7-20</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7</w:t>
      </w:r>
      <w:r>
        <w:rPr>
          <w:noProof/>
        </w:rPr>
        <w:noBreakHyphen/>
        <w:t>13</w:t>
      </w:r>
      <w:r>
        <w:rPr>
          <w:noProof/>
        </w:rPr>
        <w:tab/>
        <w:t>Scheme Three 10% AEP Peak Flood Impact</w:t>
      </w:r>
      <w:r>
        <w:rPr>
          <w:noProof/>
        </w:rPr>
        <w:tab/>
      </w:r>
      <w:r>
        <w:rPr>
          <w:noProof/>
        </w:rPr>
        <w:fldChar w:fldCharType="begin"/>
      </w:r>
      <w:r>
        <w:rPr>
          <w:noProof/>
        </w:rPr>
        <w:instrText xml:space="preserve"> PAGEREF _Toc387308966 \h </w:instrText>
      </w:r>
      <w:r>
        <w:rPr>
          <w:noProof/>
        </w:rPr>
      </w:r>
      <w:r>
        <w:rPr>
          <w:noProof/>
        </w:rPr>
        <w:fldChar w:fldCharType="separate"/>
      </w:r>
      <w:r w:rsidR="00AC6986">
        <w:rPr>
          <w:noProof/>
        </w:rPr>
        <w:t>7-21</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7</w:t>
      </w:r>
      <w:r>
        <w:rPr>
          <w:noProof/>
        </w:rPr>
        <w:noBreakHyphen/>
        <w:t>14</w:t>
      </w:r>
      <w:r>
        <w:rPr>
          <w:noProof/>
        </w:rPr>
        <w:tab/>
        <w:t>Scheme Three 5% AEP Peak Flood Impact</w:t>
      </w:r>
      <w:r>
        <w:rPr>
          <w:noProof/>
        </w:rPr>
        <w:tab/>
      </w:r>
      <w:r>
        <w:rPr>
          <w:noProof/>
        </w:rPr>
        <w:fldChar w:fldCharType="begin"/>
      </w:r>
      <w:r>
        <w:rPr>
          <w:noProof/>
        </w:rPr>
        <w:instrText xml:space="preserve"> PAGEREF _Toc387308967 \h </w:instrText>
      </w:r>
      <w:r>
        <w:rPr>
          <w:noProof/>
        </w:rPr>
      </w:r>
      <w:r>
        <w:rPr>
          <w:noProof/>
        </w:rPr>
        <w:fldChar w:fldCharType="separate"/>
      </w:r>
      <w:r w:rsidR="00AC6986">
        <w:rPr>
          <w:noProof/>
        </w:rPr>
        <w:t>7-22</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7</w:t>
      </w:r>
      <w:r>
        <w:rPr>
          <w:noProof/>
        </w:rPr>
        <w:noBreakHyphen/>
        <w:t>15</w:t>
      </w:r>
      <w:r>
        <w:rPr>
          <w:noProof/>
        </w:rPr>
        <w:tab/>
        <w:t>Scheme Three 1% AEP Peak Flood Impact</w:t>
      </w:r>
      <w:r>
        <w:rPr>
          <w:noProof/>
        </w:rPr>
        <w:tab/>
      </w:r>
      <w:r>
        <w:rPr>
          <w:noProof/>
        </w:rPr>
        <w:fldChar w:fldCharType="begin"/>
      </w:r>
      <w:r>
        <w:rPr>
          <w:noProof/>
        </w:rPr>
        <w:instrText xml:space="preserve"> PAGEREF _Toc387308968 \h </w:instrText>
      </w:r>
      <w:r>
        <w:rPr>
          <w:noProof/>
        </w:rPr>
      </w:r>
      <w:r>
        <w:rPr>
          <w:noProof/>
        </w:rPr>
        <w:fldChar w:fldCharType="separate"/>
      </w:r>
      <w:r w:rsidR="00AC6986">
        <w:rPr>
          <w:noProof/>
        </w:rPr>
        <w:t>7-23</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sidRPr="00E835DC">
        <w:rPr>
          <w:bCs/>
          <w:noProof/>
        </w:rPr>
        <w:t>Figure 8</w:t>
      </w:r>
      <w:r w:rsidRPr="00E835DC">
        <w:rPr>
          <w:bCs/>
          <w:noProof/>
        </w:rPr>
        <w:noBreakHyphen/>
        <w:t>1</w:t>
      </w:r>
      <w:r w:rsidRPr="00E835DC">
        <w:rPr>
          <w:bCs/>
          <w:noProof/>
        </w:rPr>
        <w:tab/>
        <w:t>Scheme One Probability Damages Curve</w:t>
      </w:r>
      <w:r>
        <w:rPr>
          <w:noProof/>
        </w:rPr>
        <w:tab/>
      </w:r>
      <w:r>
        <w:rPr>
          <w:noProof/>
        </w:rPr>
        <w:fldChar w:fldCharType="begin"/>
      </w:r>
      <w:r>
        <w:rPr>
          <w:noProof/>
        </w:rPr>
        <w:instrText xml:space="preserve"> PAGEREF _Toc387308969 \h </w:instrText>
      </w:r>
      <w:r>
        <w:rPr>
          <w:noProof/>
        </w:rPr>
      </w:r>
      <w:r>
        <w:rPr>
          <w:noProof/>
        </w:rPr>
        <w:fldChar w:fldCharType="separate"/>
      </w:r>
      <w:r w:rsidR="00AC6986">
        <w:rPr>
          <w:noProof/>
        </w:rPr>
        <w:t>8-5</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8</w:t>
      </w:r>
      <w:r>
        <w:rPr>
          <w:noProof/>
        </w:rPr>
        <w:noBreakHyphen/>
        <w:t>2</w:t>
      </w:r>
      <w:r>
        <w:rPr>
          <w:noProof/>
        </w:rPr>
        <w:tab/>
        <w:t>Scheme Two Probability Damages Curve</w:t>
      </w:r>
      <w:r>
        <w:rPr>
          <w:noProof/>
        </w:rPr>
        <w:tab/>
      </w:r>
      <w:r>
        <w:rPr>
          <w:noProof/>
        </w:rPr>
        <w:fldChar w:fldCharType="begin"/>
      </w:r>
      <w:r>
        <w:rPr>
          <w:noProof/>
        </w:rPr>
        <w:instrText xml:space="preserve"> PAGEREF _Toc387308970 \h </w:instrText>
      </w:r>
      <w:r>
        <w:rPr>
          <w:noProof/>
        </w:rPr>
      </w:r>
      <w:r>
        <w:rPr>
          <w:noProof/>
        </w:rPr>
        <w:fldChar w:fldCharType="separate"/>
      </w:r>
      <w:r w:rsidR="00AC6986">
        <w:rPr>
          <w:noProof/>
        </w:rPr>
        <w:t>8-7</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Figure 8</w:t>
      </w:r>
      <w:r>
        <w:rPr>
          <w:noProof/>
        </w:rPr>
        <w:noBreakHyphen/>
        <w:t>3</w:t>
      </w:r>
      <w:r>
        <w:rPr>
          <w:noProof/>
        </w:rPr>
        <w:tab/>
        <w:t>Scheme Two Probability Damages Curve</w:t>
      </w:r>
      <w:r>
        <w:rPr>
          <w:noProof/>
        </w:rPr>
        <w:tab/>
      </w:r>
      <w:r>
        <w:rPr>
          <w:noProof/>
        </w:rPr>
        <w:fldChar w:fldCharType="begin"/>
      </w:r>
      <w:r>
        <w:rPr>
          <w:noProof/>
        </w:rPr>
        <w:instrText xml:space="preserve"> PAGEREF _Toc387308971 \h </w:instrText>
      </w:r>
      <w:r>
        <w:rPr>
          <w:noProof/>
        </w:rPr>
      </w:r>
      <w:r>
        <w:rPr>
          <w:noProof/>
        </w:rPr>
        <w:fldChar w:fldCharType="separate"/>
      </w:r>
      <w:r w:rsidR="00AC6986">
        <w:rPr>
          <w:noProof/>
        </w:rPr>
        <w:t>8-9</w:t>
      </w:r>
      <w:r>
        <w:rPr>
          <w:noProof/>
        </w:rPr>
        <w:fldChar w:fldCharType="end"/>
      </w:r>
    </w:p>
    <w:p w:rsidR="00A83F38" w:rsidRPr="00D33B70" w:rsidRDefault="00F21A4E" w:rsidP="00430B8C">
      <w:r w:rsidRPr="00D33B70">
        <w:fldChar w:fldCharType="end"/>
      </w:r>
    </w:p>
    <w:p w:rsidR="00A83F38" w:rsidRPr="00D33B70" w:rsidRDefault="00A83F38" w:rsidP="00046074">
      <w:pPr>
        <w:pStyle w:val="Heading0"/>
      </w:pPr>
      <w:bookmarkStart w:id="34" w:name="_Toc332596274"/>
      <w:bookmarkStart w:id="35" w:name="_Toc341160167"/>
      <w:bookmarkStart w:id="36" w:name="_Toc387306262"/>
      <w:r w:rsidRPr="00D33B70">
        <w:t>List of Tables</w:t>
      </w:r>
      <w:bookmarkEnd w:id="34"/>
      <w:bookmarkEnd w:id="35"/>
      <w:bookmarkEnd w:id="36"/>
    </w:p>
    <w:p w:rsidR="00007AD7" w:rsidRDefault="00F21A4E">
      <w:pPr>
        <w:pStyle w:val="TableofFigures"/>
        <w:rPr>
          <w:rFonts w:asciiTheme="minorHAnsi" w:eastAsiaTheme="minorEastAsia" w:hAnsiTheme="minorHAnsi" w:cstheme="minorBidi"/>
          <w:b w:val="0"/>
          <w:noProof/>
          <w:spacing w:val="0"/>
          <w:sz w:val="22"/>
          <w:szCs w:val="22"/>
          <w:lang w:eastAsia="en-AU"/>
        </w:rPr>
      </w:pPr>
      <w:r w:rsidRPr="00D33B70">
        <w:fldChar w:fldCharType="begin"/>
      </w:r>
      <w:r w:rsidR="00A83F38" w:rsidRPr="00D33B70">
        <w:instrText xml:space="preserve"> TOC \c "Table"  \w </w:instrText>
      </w:r>
      <w:r w:rsidRPr="00D33B70">
        <w:fldChar w:fldCharType="separate"/>
      </w:r>
      <w:r w:rsidR="00007AD7">
        <w:rPr>
          <w:noProof/>
        </w:rPr>
        <w:t>Table 4</w:t>
      </w:r>
      <w:r w:rsidR="00007AD7">
        <w:rPr>
          <w:noProof/>
        </w:rPr>
        <w:noBreakHyphen/>
        <w:t>1</w:t>
      </w:r>
      <w:r w:rsidR="00007AD7">
        <w:rPr>
          <w:noProof/>
        </w:rPr>
        <w:tab/>
        <w:t>RORB Parameters</w:t>
      </w:r>
      <w:r w:rsidR="00007AD7">
        <w:rPr>
          <w:noProof/>
        </w:rPr>
        <w:tab/>
      </w:r>
      <w:r w:rsidR="00007AD7">
        <w:rPr>
          <w:noProof/>
        </w:rPr>
        <w:fldChar w:fldCharType="begin"/>
      </w:r>
      <w:r w:rsidR="00007AD7">
        <w:rPr>
          <w:noProof/>
        </w:rPr>
        <w:instrText xml:space="preserve"> PAGEREF _Toc387308972 \h </w:instrText>
      </w:r>
      <w:r w:rsidR="00007AD7">
        <w:rPr>
          <w:noProof/>
        </w:rPr>
      </w:r>
      <w:r w:rsidR="00007AD7">
        <w:rPr>
          <w:noProof/>
        </w:rPr>
        <w:fldChar w:fldCharType="separate"/>
      </w:r>
      <w:r w:rsidR="00AC6986">
        <w:rPr>
          <w:noProof/>
        </w:rPr>
        <w:t>4-3</w:t>
      </w:r>
      <w:r w:rsidR="00007AD7">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4</w:t>
      </w:r>
      <w:r>
        <w:rPr>
          <w:noProof/>
        </w:rPr>
        <w:noBreakHyphen/>
        <w:t>2</w:t>
      </w:r>
      <w:r>
        <w:rPr>
          <w:noProof/>
        </w:rPr>
        <w:tab/>
        <w:t>IFD Parameters</w:t>
      </w:r>
      <w:r>
        <w:rPr>
          <w:noProof/>
        </w:rPr>
        <w:tab/>
      </w:r>
      <w:r>
        <w:rPr>
          <w:noProof/>
        </w:rPr>
        <w:fldChar w:fldCharType="begin"/>
      </w:r>
      <w:r>
        <w:rPr>
          <w:noProof/>
        </w:rPr>
        <w:instrText xml:space="preserve"> PAGEREF _Toc387308973 \h </w:instrText>
      </w:r>
      <w:r>
        <w:rPr>
          <w:noProof/>
        </w:rPr>
      </w:r>
      <w:r>
        <w:rPr>
          <w:noProof/>
        </w:rPr>
        <w:fldChar w:fldCharType="separate"/>
      </w:r>
      <w:r w:rsidR="00AC6986">
        <w:rPr>
          <w:noProof/>
        </w:rPr>
        <w:t>4-3</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4</w:t>
      </w:r>
      <w:r>
        <w:rPr>
          <w:noProof/>
        </w:rPr>
        <w:noBreakHyphen/>
        <w:t>3</w:t>
      </w:r>
      <w:r>
        <w:rPr>
          <w:noProof/>
        </w:rPr>
        <w:tab/>
        <w:t>Runoff Coefficients for different AEPs</w:t>
      </w:r>
      <w:r>
        <w:rPr>
          <w:noProof/>
        </w:rPr>
        <w:tab/>
      </w:r>
      <w:r>
        <w:rPr>
          <w:noProof/>
        </w:rPr>
        <w:fldChar w:fldCharType="begin"/>
      </w:r>
      <w:r>
        <w:rPr>
          <w:noProof/>
        </w:rPr>
        <w:instrText xml:space="preserve"> PAGEREF _Toc387308974 \h </w:instrText>
      </w:r>
      <w:r>
        <w:rPr>
          <w:noProof/>
        </w:rPr>
      </w:r>
      <w:r>
        <w:rPr>
          <w:noProof/>
        </w:rPr>
        <w:fldChar w:fldCharType="separate"/>
      </w:r>
      <w:r w:rsidR="00AC6986">
        <w:rPr>
          <w:noProof/>
        </w:rPr>
        <w:t>4-4</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4</w:t>
      </w:r>
      <w:r>
        <w:rPr>
          <w:noProof/>
        </w:rPr>
        <w:noBreakHyphen/>
        <w:t>4</w:t>
      </w:r>
      <w:r>
        <w:rPr>
          <w:noProof/>
        </w:rPr>
        <w:tab/>
        <w:t>Impervious Fraction for Planning Scheme Zone</w:t>
      </w:r>
      <w:r>
        <w:rPr>
          <w:noProof/>
        </w:rPr>
        <w:tab/>
      </w:r>
      <w:r>
        <w:rPr>
          <w:noProof/>
        </w:rPr>
        <w:fldChar w:fldCharType="begin"/>
      </w:r>
      <w:r>
        <w:rPr>
          <w:noProof/>
        </w:rPr>
        <w:instrText xml:space="preserve"> PAGEREF _Toc387308975 \h </w:instrText>
      </w:r>
      <w:r>
        <w:rPr>
          <w:noProof/>
        </w:rPr>
      </w:r>
      <w:r>
        <w:rPr>
          <w:noProof/>
        </w:rPr>
        <w:fldChar w:fldCharType="separate"/>
      </w:r>
      <w:r w:rsidR="00AC6986">
        <w:rPr>
          <w:noProof/>
        </w:rPr>
        <w:t>4-4</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4</w:t>
      </w:r>
      <w:r>
        <w:rPr>
          <w:noProof/>
        </w:rPr>
        <w:noBreakHyphen/>
        <w:t>5</w:t>
      </w:r>
      <w:r>
        <w:rPr>
          <w:noProof/>
        </w:rPr>
        <w:tab/>
        <w:t>Thornhill Road Assessment Retarding Basin Details</w:t>
      </w:r>
      <w:r>
        <w:rPr>
          <w:noProof/>
        </w:rPr>
        <w:tab/>
      </w:r>
      <w:r>
        <w:rPr>
          <w:noProof/>
        </w:rPr>
        <w:fldChar w:fldCharType="begin"/>
      </w:r>
      <w:r>
        <w:rPr>
          <w:noProof/>
        </w:rPr>
        <w:instrText xml:space="preserve"> PAGEREF _Toc387308976 \h </w:instrText>
      </w:r>
      <w:r>
        <w:rPr>
          <w:noProof/>
        </w:rPr>
      </w:r>
      <w:r>
        <w:rPr>
          <w:noProof/>
        </w:rPr>
        <w:fldChar w:fldCharType="separate"/>
      </w:r>
      <w:r w:rsidR="00AC6986">
        <w:rPr>
          <w:noProof/>
        </w:rPr>
        <w:t>4-6</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4</w:t>
      </w:r>
      <w:r>
        <w:rPr>
          <w:noProof/>
        </w:rPr>
        <w:noBreakHyphen/>
        <w:t>6</w:t>
      </w:r>
      <w:r>
        <w:rPr>
          <w:noProof/>
        </w:rPr>
        <w:tab/>
        <w:t>Geelong Ring Road Stage-Storage-Discharge Relationship</w:t>
      </w:r>
      <w:r>
        <w:rPr>
          <w:noProof/>
        </w:rPr>
        <w:tab/>
      </w:r>
      <w:r>
        <w:rPr>
          <w:noProof/>
        </w:rPr>
        <w:fldChar w:fldCharType="begin"/>
      </w:r>
      <w:r>
        <w:rPr>
          <w:noProof/>
        </w:rPr>
        <w:instrText xml:space="preserve"> PAGEREF _Toc387308977 \h </w:instrText>
      </w:r>
      <w:r>
        <w:rPr>
          <w:noProof/>
        </w:rPr>
      </w:r>
      <w:r>
        <w:rPr>
          <w:noProof/>
        </w:rPr>
        <w:fldChar w:fldCharType="separate"/>
      </w:r>
      <w:r w:rsidR="00AC6986">
        <w:rPr>
          <w:noProof/>
        </w:rPr>
        <w:t>4-7</w:t>
      </w:r>
      <w:r>
        <w:rPr>
          <w:noProof/>
        </w:rPr>
        <w:fldChar w:fldCharType="end"/>
      </w:r>
    </w:p>
    <w:p w:rsidR="00007AD7" w:rsidRDefault="00007AD7">
      <w:pPr>
        <w:pStyle w:val="TableofFigures"/>
        <w:rPr>
          <w:noProof/>
        </w:rPr>
      </w:pPr>
      <w:r>
        <w:rPr>
          <w:noProof/>
        </w:rPr>
        <w:t>Table 4</w:t>
      </w:r>
      <w:r>
        <w:rPr>
          <w:noProof/>
        </w:rPr>
        <w:noBreakHyphen/>
        <w:t>7</w:t>
      </w:r>
      <w:r>
        <w:rPr>
          <w:noProof/>
        </w:rPr>
        <w:tab/>
        <w:t xml:space="preserve">Barrabool Road Upper and Barrabool Road Lower Retarding </w:t>
      </w:r>
    </w:p>
    <w:p w:rsidR="00007AD7" w:rsidRDefault="00007AD7" w:rsidP="00007AD7">
      <w:pPr>
        <w:pStyle w:val="TableofFigures"/>
        <w:spacing w:before="0"/>
        <w:rPr>
          <w:rFonts w:asciiTheme="minorHAnsi" w:eastAsiaTheme="minorEastAsia" w:hAnsiTheme="minorHAnsi" w:cstheme="minorBidi"/>
          <w:b w:val="0"/>
          <w:noProof/>
          <w:spacing w:val="0"/>
          <w:sz w:val="22"/>
          <w:szCs w:val="22"/>
          <w:lang w:eastAsia="en-AU"/>
        </w:rPr>
      </w:pPr>
      <w:r>
        <w:rPr>
          <w:noProof/>
        </w:rPr>
        <w:tab/>
        <w:t>Basin Details</w:t>
      </w:r>
      <w:r>
        <w:rPr>
          <w:noProof/>
        </w:rPr>
        <w:tab/>
      </w:r>
      <w:r>
        <w:rPr>
          <w:noProof/>
        </w:rPr>
        <w:fldChar w:fldCharType="begin"/>
      </w:r>
      <w:r>
        <w:rPr>
          <w:noProof/>
        </w:rPr>
        <w:instrText xml:space="preserve"> PAGEREF _Toc387308978 \h </w:instrText>
      </w:r>
      <w:r>
        <w:rPr>
          <w:noProof/>
        </w:rPr>
      </w:r>
      <w:r>
        <w:rPr>
          <w:noProof/>
        </w:rPr>
        <w:fldChar w:fldCharType="separate"/>
      </w:r>
      <w:r w:rsidR="00AC6986">
        <w:rPr>
          <w:noProof/>
        </w:rPr>
        <w:t>4-7</w:t>
      </w:r>
      <w:r>
        <w:rPr>
          <w:noProof/>
        </w:rPr>
        <w:fldChar w:fldCharType="end"/>
      </w:r>
    </w:p>
    <w:p w:rsidR="00007AD7" w:rsidRDefault="00007AD7">
      <w:pPr>
        <w:pStyle w:val="TableofFigures"/>
        <w:rPr>
          <w:noProof/>
        </w:rPr>
      </w:pPr>
      <w:r>
        <w:rPr>
          <w:noProof/>
        </w:rPr>
        <w:lastRenderedPageBreak/>
        <w:t>Table 4</w:t>
      </w:r>
      <w:r>
        <w:rPr>
          <w:noProof/>
        </w:rPr>
        <w:noBreakHyphen/>
        <w:t>8</w:t>
      </w:r>
      <w:r>
        <w:rPr>
          <w:noProof/>
        </w:rPr>
        <w:tab/>
        <w:t xml:space="preserve">Comparison of Highton RORB model and Thornhill Road </w:t>
      </w:r>
    </w:p>
    <w:p w:rsidR="00007AD7" w:rsidRDefault="00007AD7" w:rsidP="00007AD7">
      <w:pPr>
        <w:pStyle w:val="TableofFigures"/>
        <w:spacing w:before="0"/>
        <w:rPr>
          <w:rFonts w:asciiTheme="minorHAnsi" w:eastAsiaTheme="minorEastAsia" w:hAnsiTheme="minorHAnsi" w:cstheme="minorBidi"/>
          <w:b w:val="0"/>
          <w:noProof/>
          <w:spacing w:val="0"/>
          <w:sz w:val="22"/>
          <w:szCs w:val="22"/>
          <w:lang w:eastAsia="en-AU"/>
        </w:rPr>
      </w:pPr>
      <w:r>
        <w:rPr>
          <w:noProof/>
        </w:rPr>
        <w:tab/>
        <w:t>Assessment results</w:t>
      </w:r>
      <w:r>
        <w:rPr>
          <w:noProof/>
        </w:rPr>
        <w:tab/>
      </w:r>
      <w:r>
        <w:rPr>
          <w:noProof/>
        </w:rPr>
        <w:fldChar w:fldCharType="begin"/>
      </w:r>
      <w:r>
        <w:rPr>
          <w:noProof/>
        </w:rPr>
        <w:instrText xml:space="preserve"> PAGEREF _Toc387308979 \h </w:instrText>
      </w:r>
      <w:r>
        <w:rPr>
          <w:noProof/>
        </w:rPr>
      </w:r>
      <w:r>
        <w:rPr>
          <w:noProof/>
        </w:rPr>
        <w:fldChar w:fldCharType="separate"/>
      </w:r>
      <w:r w:rsidR="00AC6986">
        <w:rPr>
          <w:noProof/>
        </w:rPr>
        <w:t>4-8</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4</w:t>
      </w:r>
      <w:r>
        <w:rPr>
          <w:noProof/>
        </w:rPr>
        <w:noBreakHyphen/>
        <w:t>9</w:t>
      </w:r>
      <w:r>
        <w:rPr>
          <w:noProof/>
        </w:rPr>
        <w:tab/>
        <w:t>Fraction Impervious Comparison for Thornhill Road Retarding Basin Assessment Catchment and Highton Catchment of Equivalent Area</w:t>
      </w:r>
      <w:r>
        <w:rPr>
          <w:noProof/>
        </w:rPr>
        <w:tab/>
      </w:r>
      <w:r>
        <w:rPr>
          <w:noProof/>
        </w:rPr>
        <w:fldChar w:fldCharType="begin"/>
      </w:r>
      <w:r>
        <w:rPr>
          <w:noProof/>
        </w:rPr>
        <w:instrText xml:space="preserve"> PAGEREF _Toc387308980 \h </w:instrText>
      </w:r>
      <w:r>
        <w:rPr>
          <w:noProof/>
        </w:rPr>
      </w:r>
      <w:r>
        <w:rPr>
          <w:noProof/>
        </w:rPr>
        <w:fldChar w:fldCharType="separate"/>
      </w:r>
      <w:r w:rsidR="00AC6986">
        <w:rPr>
          <w:noProof/>
        </w:rPr>
        <w:t>4-8</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4</w:t>
      </w:r>
      <w:r>
        <w:rPr>
          <w:noProof/>
        </w:rPr>
        <w:noBreakHyphen/>
        <w:t>10</w:t>
      </w:r>
      <w:r>
        <w:rPr>
          <w:noProof/>
        </w:rPr>
        <w:tab/>
        <w:t>Comparison of Highton RORB model and Rational Method results</w:t>
      </w:r>
      <w:r>
        <w:rPr>
          <w:noProof/>
        </w:rPr>
        <w:tab/>
      </w:r>
      <w:r>
        <w:rPr>
          <w:noProof/>
        </w:rPr>
        <w:fldChar w:fldCharType="begin"/>
      </w:r>
      <w:r>
        <w:rPr>
          <w:noProof/>
        </w:rPr>
        <w:instrText xml:space="preserve"> PAGEREF _Toc387308981 \h </w:instrText>
      </w:r>
      <w:r>
        <w:rPr>
          <w:noProof/>
        </w:rPr>
      </w:r>
      <w:r>
        <w:rPr>
          <w:noProof/>
        </w:rPr>
        <w:fldChar w:fldCharType="separate"/>
      </w:r>
      <w:r w:rsidR="00AC6986">
        <w:rPr>
          <w:noProof/>
        </w:rPr>
        <w:t>4-9</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4</w:t>
      </w:r>
      <w:r>
        <w:rPr>
          <w:noProof/>
        </w:rPr>
        <w:noBreakHyphen/>
        <w:t>11</w:t>
      </w:r>
      <w:r>
        <w:rPr>
          <w:noProof/>
        </w:rPr>
        <w:tab/>
        <w:t>Peak Outflows</w:t>
      </w:r>
      <w:r>
        <w:rPr>
          <w:noProof/>
        </w:rPr>
        <w:tab/>
      </w:r>
      <w:r>
        <w:rPr>
          <w:noProof/>
        </w:rPr>
        <w:fldChar w:fldCharType="begin"/>
      </w:r>
      <w:r>
        <w:rPr>
          <w:noProof/>
        </w:rPr>
        <w:instrText xml:space="preserve"> PAGEREF _Toc387308982 \h </w:instrText>
      </w:r>
      <w:r>
        <w:rPr>
          <w:noProof/>
        </w:rPr>
      </w:r>
      <w:r>
        <w:rPr>
          <w:noProof/>
        </w:rPr>
        <w:fldChar w:fldCharType="separate"/>
      </w:r>
      <w:r w:rsidR="00AC6986">
        <w:rPr>
          <w:noProof/>
        </w:rPr>
        <w:t>4-10</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4</w:t>
      </w:r>
      <w:r>
        <w:rPr>
          <w:noProof/>
        </w:rPr>
        <w:noBreakHyphen/>
        <w:t>12</w:t>
      </w:r>
      <w:r>
        <w:rPr>
          <w:noProof/>
        </w:rPr>
        <w:tab/>
        <w:t>2D Domain Manning’s ‘n’ Coefficients</w:t>
      </w:r>
      <w:r>
        <w:rPr>
          <w:noProof/>
        </w:rPr>
        <w:tab/>
      </w:r>
      <w:r>
        <w:rPr>
          <w:noProof/>
        </w:rPr>
        <w:fldChar w:fldCharType="begin"/>
      </w:r>
      <w:r>
        <w:rPr>
          <w:noProof/>
        </w:rPr>
        <w:instrText xml:space="preserve"> PAGEREF _Toc387308983 \h </w:instrText>
      </w:r>
      <w:r>
        <w:rPr>
          <w:noProof/>
        </w:rPr>
      </w:r>
      <w:r>
        <w:rPr>
          <w:noProof/>
        </w:rPr>
        <w:fldChar w:fldCharType="separate"/>
      </w:r>
      <w:r w:rsidR="00AC6986">
        <w:rPr>
          <w:noProof/>
        </w:rPr>
        <w:t>4-16</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5</w:t>
      </w:r>
      <w:r>
        <w:rPr>
          <w:noProof/>
        </w:rPr>
        <w:noBreakHyphen/>
        <w:t>1</w:t>
      </w:r>
      <w:r>
        <w:rPr>
          <w:noProof/>
        </w:rPr>
        <w:tab/>
        <w:t>Number of Flooded Properties</w:t>
      </w:r>
      <w:r>
        <w:rPr>
          <w:noProof/>
        </w:rPr>
        <w:tab/>
      </w:r>
      <w:r>
        <w:rPr>
          <w:noProof/>
        </w:rPr>
        <w:fldChar w:fldCharType="begin"/>
      </w:r>
      <w:r>
        <w:rPr>
          <w:noProof/>
        </w:rPr>
        <w:instrText xml:space="preserve"> PAGEREF _Toc387308984 \h </w:instrText>
      </w:r>
      <w:r>
        <w:rPr>
          <w:noProof/>
        </w:rPr>
      </w:r>
      <w:r>
        <w:rPr>
          <w:noProof/>
        </w:rPr>
        <w:fldChar w:fldCharType="separate"/>
      </w:r>
      <w:r w:rsidR="00AC6986">
        <w:rPr>
          <w:noProof/>
        </w:rPr>
        <w:t>5-2</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6</w:t>
      </w:r>
      <w:r>
        <w:rPr>
          <w:noProof/>
        </w:rPr>
        <w:noBreakHyphen/>
        <w:t>1</w:t>
      </w:r>
      <w:r>
        <w:rPr>
          <w:noProof/>
        </w:rPr>
        <w:tab/>
        <w:t>Existing Conditions Damages Summary</w:t>
      </w:r>
      <w:r>
        <w:rPr>
          <w:noProof/>
        </w:rPr>
        <w:tab/>
      </w:r>
      <w:r>
        <w:rPr>
          <w:noProof/>
        </w:rPr>
        <w:fldChar w:fldCharType="begin"/>
      </w:r>
      <w:r>
        <w:rPr>
          <w:noProof/>
        </w:rPr>
        <w:instrText xml:space="preserve"> PAGEREF _Toc387308985 \h </w:instrText>
      </w:r>
      <w:r>
        <w:rPr>
          <w:noProof/>
        </w:rPr>
      </w:r>
      <w:r>
        <w:rPr>
          <w:noProof/>
        </w:rPr>
        <w:fldChar w:fldCharType="separate"/>
      </w:r>
      <w:r w:rsidR="00AC6986">
        <w:rPr>
          <w:noProof/>
        </w:rPr>
        <w:t>6-3</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7</w:t>
      </w:r>
      <w:r>
        <w:rPr>
          <w:noProof/>
        </w:rPr>
        <w:noBreakHyphen/>
        <w:t>1</w:t>
      </w:r>
      <w:r>
        <w:rPr>
          <w:noProof/>
        </w:rPr>
        <w:tab/>
        <w:t>Mitigation Option Element Screening</w:t>
      </w:r>
      <w:r>
        <w:rPr>
          <w:noProof/>
        </w:rPr>
        <w:tab/>
      </w:r>
      <w:r>
        <w:rPr>
          <w:noProof/>
        </w:rPr>
        <w:fldChar w:fldCharType="begin"/>
      </w:r>
      <w:r>
        <w:rPr>
          <w:noProof/>
        </w:rPr>
        <w:instrText xml:space="preserve"> PAGEREF _Toc387308986 \h </w:instrText>
      </w:r>
      <w:r>
        <w:rPr>
          <w:noProof/>
        </w:rPr>
      </w:r>
      <w:r>
        <w:rPr>
          <w:noProof/>
        </w:rPr>
        <w:fldChar w:fldCharType="separate"/>
      </w:r>
      <w:r w:rsidR="00AC6986">
        <w:rPr>
          <w:noProof/>
        </w:rPr>
        <w:t>7-2</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7</w:t>
      </w:r>
      <w:r>
        <w:rPr>
          <w:noProof/>
        </w:rPr>
        <w:noBreakHyphen/>
        <w:t>2</w:t>
      </w:r>
      <w:r>
        <w:rPr>
          <w:noProof/>
        </w:rPr>
        <w:tab/>
        <w:t>Mitigation Scheme Details</w:t>
      </w:r>
      <w:r>
        <w:rPr>
          <w:noProof/>
        </w:rPr>
        <w:tab/>
      </w:r>
      <w:r>
        <w:rPr>
          <w:noProof/>
        </w:rPr>
        <w:fldChar w:fldCharType="begin"/>
      </w:r>
      <w:r>
        <w:rPr>
          <w:noProof/>
        </w:rPr>
        <w:instrText xml:space="preserve"> PAGEREF _Toc387308987 \h </w:instrText>
      </w:r>
      <w:r>
        <w:rPr>
          <w:noProof/>
        </w:rPr>
      </w:r>
      <w:r>
        <w:rPr>
          <w:noProof/>
        </w:rPr>
        <w:fldChar w:fldCharType="separate"/>
      </w:r>
      <w:r w:rsidR="00AC6986">
        <w:rPr>
          <w:noProof/>
        </w:rPr>
        <w:t>7-3</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7</w:t>
      </w:r>
      <w:r>
        <w:rPr>
          <w:noProof/>
        </w:rPr>
        <w:noBreakHyphen/>
        <w:t>3</w:t>
      </w:r>
      <w:r>
        <w:rPr>
          <w:noProof/>
        </w:rPr>
        <w:tab/>
        <w:t>Reduction in Flooded Properties – Scheme One</w:t>
      </w:r>
      <w:r>
        <w:rPr>
          <w:noProof/>
        </w:rPr>
        <w:tab/>
      </w:r>
      <w:r>
        <w:rPr>
          <w:noProof/>
        </w:rPr>
        <w:fldChar w:fldCharType="begin"/>
      </w:r>
      <w:r>
        <w:rPr>
          <w:noProof/>
        </w:rPr>
        <w:instrText xml:space="preserve"> PAGEREF _Toc387308988 \h </w:instrText>
      </w:r>
      <w:r>
        <w:rPr>
          <w:noProof/>
        </w:rPr>
      </w:r>
      <w:r>
        <w:rPr>
          <w:noProof/>
        </w:rPr>
        <w:fldChar w:fldCharType="separate"/>
      </w:r>
      <w:r w:rsidR="00AC6986">
        <w:rPr>
          <w:noProof/>
        </w:rPr>
        <w:t>7-10</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7</w:t>
      </w:r>
      <w:r>
        <w:rPr>
          <w:noProof/>
        </w:rPr>
        <w:noBreakHyphen/>
        <w:t>4</w:t>
      </w:r>
      <w:r>
        <w:rPr>
          <w:noProof/>
        </w:rPr>
        <w:tab/>
        <w:t>Reduction in Flooded Properties – Scheme Two</w:t>
      </w:r>
      <w:r>
        <w:rPr>
          <w:noProof/>
        </w:rPr>
        <w:tab/>
      </w:r>
      <w:r>
        <w:rPr>
          <w:noProof/>
        </w:rPr>
        <w:fldChar w:fldCharType="begin"/>
      </w:r>
      <w:r>
        <w:rPr>
          <w:noProof/>
        </w:rPr>
        <w:instrText xml:space="preserve"> PAGEREF _Toc387308989 \h </w:instrText>
      </w:r>
      <w:r>
        <w:rPr>
          <w:noProof/>
        </w:rPr>
      </w:r>
      <w:r>
        <w:rPr>
          <w:noProof/>
        </w:rPr>
        <w:fldChar w:fldCharType="separate"/>
      </w:r>
      <w:r w:rsidR="00AC6986">
        <w:rPr>
          <w:noProof/>
        </w:rPr>
        <w:t>7-11</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7</w:t>
      </w:r>
      <w:r>
        <w:rPr>
          <w:noProof/>
        </w:rPr>
        <w:noBreakHyphen/>
        <w:t>5</w:t>
      </w:r>
      <w:r>
        <w:rPr>
          <w:noProof/>
        </w:rPr>
        <w:tab/>
        <w:t>Reduction in Flooded Properties – Scheme Three</w:t>
      </w:r>
      <w:r>
        <w:rPr>
          <w:noProof/>
        </w:rPr>
        <w:tab/>
      </w:r>
      <w:r>
        <w:rPr>
          <w:noProof/>
        </w:rPr>
        <w:fldChar w:fldCharType="begin"/>
      </w:r>
      <w:r>
        <w:rPr>
          <w:noProof/>
        </w:rPr>
        <w:instrText xml:space="preserve"> PAGEREF _Toc387308990 \h </w:instrText>
      </w:r>
      <w:r>
        <w:rPr>
          <w:noProof/>
        </w:rPr>
      </w:r>
      <w:r>
        <w:rPr>
          <w:noProof/>
        </w:rPr>
        <w:fldChar w:fldCharType="separate"/>
      </w:r>
      <w:r w:rsidR="00AC6986">
        <w:rPr>
          <w:noProof/>
        </w:rPr>
        <w:t>7-11</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8</w:t>
      </w:r>
      <w:r>
        <w:rPr>
          <w:noProof/>
        </w:rPr>
        <w:noBreakHyphen/>
        <w:t>1</w:t>
      </w:r>
      <w:r>
        <w:rPr>
          <w:noProof/>
        </w:rPr>
        <w:tab/>
        <w:t>Present Value of Annual Benefits</w:t>
      </w:r>
      <w:r>
        <w:rPr>
          <w:noProof/>
        </w:rPr>
        <w:tab/>
      </w:r>
      <w:r>
        <w:rPr>
          <w:noProof/>
        </w:rPr>
        <w:fldChar w:fldCharType="begin"/>
      </w:r>
      <w:r>
        <w:rPr>
          <w:noProof/>
        </w:rPr>
        <w:instrText xml:space="preserve"> PAGEREF _Toc387308991 \h </w:instrText>
      </w:r>
      <w:r>
        <w:rPr>
          <w:noProof/>
        </w:rPr>
      </w:r>
      <w:r>
        <w:rPr>
          <w:noProof/>
        </w:rPr>
        <w:fldChar w:fldCharType="separate"/>
      </w:r>
      <w:r w:rsidR="00AC6986">
        <w:rPr>
          <w:noProof/>
        </w:rPr>
        <w:t>8-2</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8</w:t>
      </w:r>
      <w:r>
        <w:rPr>
          <w:noProof/>
        </w:rPr>
        <w:noBreakHyphen/>
        <w:t>2</w:t>
      </w:r>
      <w:r>
        <w:rPr>
          <w:noProof/>
        </w:rPr>
        <w:tab/>
        <w:t>Scheme One Damages Summary</w:t>
      </w:r>
      <w:r>
        <w:rPr>
          <w:noProof/>
        </w:rPr>
        <w:tab/>
      </w:r>
      <w:r>
        <w:rPr>
          <w:noProof/>
        </w:rPr>
        <w:fldChar w:fldCharType="begin"/>
      </w:r>
      <w:r>
        <w:rPr>
          <w:noProof/>
        </w:rPr>
        <w:instrText xml:space="preserve"> PAGEREF _Toc387308992 \h </w:instrText>
      </w:r>
      <w:r>
        <w:rPr>
          <w:noProof/>
        </w:rPr>
      </w:r>
      <w:r>
        <w:rPr>
          <w:noProof/>
        </w:rPr>
        <w:fldChar w:fldCharType="separate"/>
      </w:r>
      <w:r w:rsidR="00AC6986">
        <w:rPr>
          <w:noProof/>
        </w:rPr>
        <w:t>8-4</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8</w:t>
      </w:r>
      <w:r>
        <w:rPr>
          <w:noProof/>
        </w:rPr>
        <w:noBreakHyphen/>
        <w:t>3</w:t>
      </w:r>
      <w:r>
        <w:rPr>
          <w:noProof/>
        </w:rPr>
        <w:tab/>
        <w:t>Scheme One Capital Cost Estimates</w:t>
      </w:r>
      <w:r>
        <w:rPr>
          <w:noProof/>
        </w:rPr>
        <w:tab/>
      </w:r>
      <w:r>
        <w:rPr>
          <w:noProof/>
        </w:rPr>
        <w:fldChar w:fldCharType="begin"/>
      </w:r>
      <w:r>
        <w:rPr>
          <w:noProof/>
        </w:rPr>
        <w:instrText xml:space="preserve"> PAGEREF _Toc387308993 \h </w:instrText>
      </w:r>
      <w:r>
        <w:rPr>
          <w:noProof/>
        </w:rPr>
      </w:r>
      <w:r>
        <w:rPr>
          <w:noProof/>
        </w:rPr>
        <w:fldChar w:fldCharType="separate"/>
      </w:r>
      <w:r w:rsidR="00AC6986">
        <w:rPr>
          <w:noProof/>
        </w:rPr>
        <w:t>8-4</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8</w:t>
      </w:r>
      <w:r>
        <w:rPr>
          <w:noProof/>
        </w:rPr>
        <w:noBreakHyphen/>
        <w:t>4</w:t>
      </w:r>
      <w:r>
        <w:rPr>
          <w:noProof/>
        </w:rPr>
        <w:tab/>
        <w:t>Scheme One BCR Summary</w:t>
      </w:r>
      <w:r>
        <w:rPr>
          <w:noProof/>
        </w:rPr>
        <w:tab/>
      </w:r>
      <w:r>
        <w:rPr>
          <w:noProof/>
        </w:rPr>
        <w:fldChar w:fldCharType="begin"/>
      </w:r>
      <w:r>
        <w:rPr>
          <w:noProof/>
        </w:rPr>
        <w:instrText xml:space="preserve"> PAGEREF _Toc387308994 \h </w:instrText>
      </w:r>
      <w:r>
        <w:rPr>
          <w:noProof/>
        </w:rPr>
      </w:r>
      <w:r>
        <w:rPr>
          <w:noProof/>
        </w:rPr>
        <w:fldChar w:fldCharType="separate"/>
      </w:r>
      <w:r w:rsidR="00AC6986">
        <w:rPr>
          <w:noProof/>
        </w:rPr>
        <w:t>8-4</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8</w:t>
      </w:r>
      <w:r>
        <w:rPr>
          <w:noProof/>
        </w:rPr>
        <w:noBreakHyphen/>
        <w:t>5</w:t>
      </w:r>
      <w:r>
        <w:rPr>
          <w:noProof/>
        </w:rPr>
        <w:tab/>
        <w:t>Scheme Two Damages Summary</w:t>
      </w:r>
      <w:r>
        <w:rPr>
          <w:noProof/>
        </w:rPr>
        <w:tab/>
      </w:r>
      <w:r>
        <w:rPr>
          <w:noProof/>
        </w:rPr>
        <w:fldChar w:fldCharType="begin"/>
      </w:r>
      <w:r>
        <w:rPr>
          <w:noProof/>
        </w:rPr>
        <w:instrText xml:space="preserve"> PAGEREF _Toc387308995 \h </w:instrText>
      </w:r>
      <w:r>
        <w:rPr>
          <w:noProof/>
        </w:rPr>
      </w:r>
      <w:r>
        <w:rPr>
          <w:noProof/>
        </w:rPr>
        <w:fldChar w:fldCharType="separate"/>
      </w:r>
      <w:r w:rsidR="00AC6986">
        <w:rPr>
          <w:noProof/>
        </w:rPr>
        <w:t>8-6</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8</w:t>
      </w:r>
      <w:r>
        <w:rPr>
          <w:noProof/>
        </w:rPr>
        <w:noBreakHyphen/>
        <w:t>6</w:t>
      </w:r>
      <w:r>
        <w:rPr>
          <w:noProof/>
        </w:rPr>
        <w:tab/>
        <w:t>Scheme Two Capital Costs</w:t>
      </w:r>
      <w:r>
        <w:rPr>
          <w:noProof/>
        </w:rPr>
        <w:tab/>
      </w:r>
      <w:r>
        <w:rPr>
          <w:noProof/>
        </w:rPr>
        <w:fldChar w:fldCharType="begin"/>
      </w:r>
      <w:r>
        <w:rPr>
          <w:noProof/>
        </w:rPr>
        <w:instrText xml:space="preserve"> PAGEREF _Toc387308996 \h </w:instrText>
      </w:r>
      <w:r>
        <w:rPr>
          <w:noProof/>
        </w:rPr>
      </w:r>
      <w:r>
        <w:rPr>
          <w:noProof/>
        </w:rPr>
        <w:fldChar w:fldCharType="separate"/>
      </w:r>
      <w:r w:rsidR="00AC6986">
        <w:rPr>
          <w:noProof/>
        </w:rPr>
        <w:t>8-6</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8</w:t>
      </w:r>
      <w:r>
        <w:rPr>
          <w:noProof/>
        </w:rPr>
        <w:noBreakHyphen/>
        <w:t>7</w:t>
      </w:r>
      <w:r>
        <w:rPr>
          <w:noProof/>
        </w:rPr>
        <w:tab/>
        <w:t>Scheme Two BCR Summary</w:t>
      </w:r>
      <w:r>
        <w:rPr>
          <w:noProof/>
        </w:rPr>
        <w:tab/>
      </w:r>
      <w:r>
        <w:rPr>
          <w:noProof/>
        </w:rPr>
        <w:fldChar w:fldCharType="begin"/>
      </w:r>
      <w:r>
        <w:rPr>
          <w:noProof/>
        </w:rPr>
        <w:instrText xml:space="preserve"> PAGEREF _Toc387308997 \h </w:instrText>
      </w:r>
      <w:r>
        <w:rPr>
          <w:noProof/>
        </w:rPr>
      </w:r>
      <w:r>
        <w:rPr>
          <w:noProof/>
        </w:rPr>
        <w:fldChar w:fldCharType="separate"/>
      </w:r>
      <w:r w:rsidR="00AC6986">
        <w:rPr>
          <w:noProof/>
        </w:rPr>
        <w:t>8-6</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8</w:t>
      </w:r>
      <w:r>
        <w:rPr>
          <w:noProof/>
        </w:rPr>
        <w:noBreakHyphen/>
        <w:t>8</w:t>
      </w:r>
      <w:r>
        <w:rPr>
          <w:noProof/>
        </w:rPr>
        <w:tab/>
        <w:t>Scheme Three Damages Summary</w:t>
      </w:r>
      <w:r>
        <w:rPr>
          <w:noProof/>
        </w:rPr>
        <w:tab/>
      </w:r>
      <w:r>
        <w:rPr>
          <w:noProof/>
        </w:rPr>
        <w:fldChar w:fldCharType="begin"/>
      </w:r>
      <w:r>
        <w:rPr>
          <w:noProof/>
        </w:rPr>
        <w:instrText xml:space="preserve"> PAGEREF _Toc387308998 \h </w:instrText>
      </w:r>
      <w:r>
        <w:rPr>
          <w:noProof/>
        </w:rPr>
      </w:r>
      <w:r>
        <w:rPr>
          <w:noProof/>
        </w:rPr>
        <w:fldChar w:fldCharType="separate"/>
      </w:r>
      <w:r w:rsidR="00AC6986">
        <w:rPr>
          <w:noProof/>
        </w:rPr>
        <w:t>8-8</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8</w:t>
      </w:r>
      <w:r>
        <w:rPr>
          <w:noProof/>
        </w:rPr>
        <w:noBreakHyphen/>
        <w:t>9</w:t>
      </w:r>
      <w:r>
        <w:rPr>
          <w:noProof/>
        </w:rPr>
        <w:tab/>
        <w:t>Scheme Three Capital Costs</w:t>
      </w:r>
      <w:r>
        <w:rPr>
          <w:noProof/>
        </w:rPr>
        <w:tab/>
      </w:r>
      <w:r>
        <w:rPr>
          <w:noProof/>
        </w:rPr>
        <w:fldChar w:fldCharType="begin"/>
      </w:r>
      <w:r>
        <w:rPr>
          <w:noProof/>
        </w:rPr>
        <w:instrText xml:space="preserve"> PAGEREF _Toc387308999 \h </w:instrText>
      </w:r>
      <w:r>
        <w:rPr>
          <w:noProof/>
        </w:rPr>
      </w:r>
      <w:r>
        <w:rPr>
          <w:noProof/>
        </w:rPr>
        <w:fldChar w:fldCharType="separate"/>
      </w:r>
      <w:r w:rsidR="00AC6986">
        <w:rPr>
          <w:noProof/>
        </w:rPr>
        <w:t>8-8</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8</w:t>
      </w:r>
      <w:r>
        <w:rPr>
          <w:noProof/>
        </w:rPr>
        <w:noBreakHyphen/>
        <w:t>10</w:t>
      </w:r>
      <w:r>
        <w:rPr>
          <w:noProof/>
        </w:rPr>
        <w:tab/>
        <w:t>Scheme Three BCR Summary</w:t>
      </w:r>
      <w:r>
        <w:rPr>
          <w:noProof/>
        </w:rPr>
        <w:tab/>
      </w:r>
      <w:r>
        <w:rPr>
          <w:noProof/>
        </w:rPr>
        <w:fldChar w:fldCharType="begin"/>
      </w:r>
      <w:r>
        <w:rPr>
          <w:noProof/>
        </w:rPr>
        <w:instrText xml:space="preserve"> PAGEREF _Toc387309000 \h </w:instrText>
      </w:r>
      <w:r>
        <w:rPr>
          <w:noProof/>
        </w:rPr>
      </w:r>
      <w:r>
        <w:rPr>
          <w:noProof/>
        </w:rPr>
        <w:fldChar w:fldCharType="separate"/>
      </w:r>
      <w:r w:rsidR="00AC6986">
        <w:rPr>
          <w:noProof/>
        </w:rPr>
        <w:t>8-8</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8</w:t>
      </w:r>
      <w:r>
        <w:rPr>
          <w:noProof/>
        </w:rPr>
        <w:noBreakHyphen/>
        <w:t>11</w:t>
      </w:r>
      <w:r>
        <w:rPr>
          <w:noProof/>
        </w:rPr>
        <w:tab/>
        <w:t>Environmental Indicators</w:t>
      </w:r>
      <w:r>
        <w:rPr>
          <w:noProof/>
        </w:rPr>
        <w:tab/>
      </w:r>
      <w:r>
        <w:rPr>
          <w:noProof/>
        </w:rPr>
        <w:fldChar w:fldCharType="begin"/>
      </w:r>
      <w:r>
        <w:rPr>
          <w:noProof/>
        </w:rPr>
        <w:instrText xml:space="preserve"> PAGEREF _Toc387309001 \h </w:instrText>
      </w:r>
      <w:r>
        <w:rPr>
          <w:noProof/>
        </w:rPr>
      </w:r>
      <w:r>
        <w:rPr>
          <w:noProof/>
        </w:rPr>
        <w:fldChar w:fldCharType="separate"/>
      </w:r>
      <w:r w:rsidR="00AC6986">
        <w:rPr>
          <w:noProof/>
        </w:rPr>
        <w:t>8-10</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8</w:t>
      </w:r>
      <w:r>
        <w:rPr>
          <w:noProof/>
        </w:rPr>
        <w:noBreakHyphen/>
        <w:t>12</w:t>
      </w:r>
      <w:r>
        <w:rPr>
          <w:noProof/>
        </w:rPr>
        <w:tab/>
        <w:t>Social Indicators</w:t>
      </w:r>
      <w:r>
        <w:rPr>
          <w:noProof/>
        </w:rPr>
        <w:tab/>
      </w:r>
      <w:r>
        <w:rPr>
          <w:noProof/>
        </w:rPr>
        <w:fldChar w:fldCharType="begin"/>
      </w:r>
      <w:r>
        <w:rPr>
          <w:noProof/>
        </w:rPr>
        <w:instrText xml:space="preserve"> PAGEREF _Toc387309002 \h </w:instrText>
      </w:r>
      <w:r>
        <w:rPr>
          <w:noProof/>
        </w:rPr>
      </w:r>
      <w:r>
        <w:rPr>
          <w:noProof/>
        </w:rPr>
        <w:fldChar w:fldCharType="separate"/>
      </w:r>
      <w:r w:rsidR="00AC6986">
        <w:rPr>
          <w:noProof/>
        </w:rPr>
        <w:t>8-11</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8</w:t>
      </w:r>
      <w:r>
        <w:rPr>
          <w:noProof/>
        </w:rPr>
        <w:noBreakHyphen/>
        <w:t>13</w:t>
      </w:r>
      <w:r>
        <w:rPr>
          <w:noProof/>
        </w:rPr>
        <w:tab/>
        <w:t>Feasibility and Performance Indicators</w:t>
      </w:r>
      <w:r>
        <w:rPr>
          <w:noProof/>
        </w:rPr>
        <w:tab/>
      </w:r>
      <w:r>
        <w:rPr>
          <w:noProof/>
        </w:rPr>
        <w:fldChar w:fldCharType="begin"/>
      </w:r>
      <w:r>
        <w:rPr>
          <w:noProof/>
        </w:rPr>
        <w:instrText xml:space="preserve"> PAGEREF _Toc387309003 \h </w:instrText>
      </w:r>
      <w:r>
        <w:rPr>
          <w:noProof/>
        </w:rPr>
      </w:r>
      <w:r>
        <w:rPr>
          <w:noProof/>
        </w:rPr>
        <w:fldChar w:fldCharType="separate"/>
      </w:r>
      <w:r w:rsidR="00AC6986">
        <w:rPr>
          <w:noProof/>
        </w:rPr>
        <w:t>8-12</w:t>
      </w:r>
      <w:r>
        <w:rPr>
          <w:noProof/>
        </w:rPr>
        <w:fldChar w:fldCharType="end"/>
      </w:r>
    </w:p>
    <w:p w:rsidR="00007AD7" w:rsidRDefault="00007AD7">
      <w:pPr>
        <w:pStyle w:val="TableofFigures"/>
        <w:rPr>
          <w:rFonts w:asciiTheme="minorHAnsi" w:eastAsiaTheme="minorEastAsia" w:hAnsiTheme="minorHAnsi" w:cstheme="minorBidi"/>
          <w:b w:val="0"/>
          <w:noProof/>
          <w:spacing w:val="0"/>
          <w:sz w:val="22"/>
          <w:szCs w:val="22"/>
          <w:lang w:eastAsia="en-AU"/>
        </w:rPr>
      </w:pPr>
      <w:r>
        <w:rPr>
          <w:noProof/>
        </w:rPr>
        <w:t>Table 9</w:t>
      </w:r>
      <w:r>
        <w:rPr>
          <w:noProof/>
        </w:rPr>
        <w:noBreakHyphen/>
        <w:t>1</w:t>
      </w:r>
      <w:r>
        <w:rPr>
          <w:noProof/>
        </w:rPr>
        <w:tab/>
        <w:t>Comparison of Scheme One and Scheme Two</w:t>
      </w:r>
      <w:r>
        <w:rPr>
          <w:noProof/>
        </w:rPr>
        <w:tab/>
      </w:r>
      <w:r>
        <w:rPr>
          <w:noProof/>
        </w:rPr>
        <w:fldChar w:fldCharType="begin"/>
      </w:r>
      <w:r>
        <w:rPr>
          <w:noProof/>
        </w:rPr>
        <w:instrText xml:space="preserve"> PAGEREF _Toc387309004 \h </w:instrText>
      </w:r>
      <w:r>
        <w:rPr>
          <w:noProof/>
        </w:rPr>
      </w:r>
      <w:r>
        <w:rPr>
          <w:noProof/>
        </w:rPr>
        <w:fldChar w:fldCharType="separate"/>
      </w:r>
      <w:r w:rsidR="00AC6986">
        <w:rPr>
          <w:noProof/>
        </w:rPr>
        <w:t>9-1</w:t>
      </w:r>
      <w:r>
        <w:rPr>
          <w:noProof/>
        </w:rPr>
        <w:fldChar w:fldCharType="end"/>
      </w:r>
    </w:p>
    <w:p w:rsidR="00A83F38" w:rsidRPr="00D33B70" w:rsidRDefault="00F21A4E" w:rsidP="004460A4">
      <w:pPr>
        <w:tabs>
          <w:tab w:val="right" w:pos="9639"/>
        </w:tabs>
        <w:ind w:right="850"/>
      </w:pPr>
      <w:r w:rsidRPr="00D33B70">
        <w:rPr>
          <w:b/>
        </w:rPr>
        <w:fldChar w:fldCharType="end"/>
      </w:r>
    </w:p>
    <w:p w:rsidR="00A83F38" w:rsidRPr="00D33B70" w:rsidRDefault="00A83F38" w:rsidP="00430B8C"/>
    <w:p w:rsidR="00A83F38" w:rsidRPr="00D33B70" w:rsidRDefault="00A83F38" w:rsidP="00430B8C">
      <w:pPr>
        <w:sectPr w:rsidR="00A83F38" w:rsidRPr="00D33B70" w:rsidSect="008359B7">
          <w:pgSz w:w="11907" w:h="16840"/>
          <w:pgMar w:top="1418" w:right="1134" w:bottom="1418" w:left="1134" w:header="851" w:footer="829" w:gutter="0"/>
          <w:pgNumType w:fmt="lowerRoman"/>
          <w:cols w:space="720"/>
        </w:sectPr>
      </w:pPr>
    </w:p>
    <w:p w:rsidR="00A83F38" w:rsidRPr="00D33B70" w:rsidRDefault="00A83F38" w:rsidP="00430B8C">
      <w:pPr>
        <w:pStyle w:val="Heading1"/>
      </w:pPr>
      <w:bookmarkStart w:id="37" w:name="Start"/>
      <w:bookmarkStart w:id="38" w:name="_Toc387308849"/>
      <w:r w:rsidRPr="00D33B70">
        <w:lastRenderedPageBreak/>
        <w:t>Introduction</w:t>
      </w:r>
      <w:bookmarkEnd w:id="37"/>
      <w:bookmarkEnd w:id="38"/>
    </w:p>
    <w:p w:rsidR="00A83F38" w:rsidRPr="00D33B70" w:rsidRDefault="00A83F38" w:rsidP="00B26EF8">
      <w:pPr>
        <w:pStyle w:val="Heading2"/>
      </w:pPr>
      <w:bookmarkStart w:id="39" w:name="_Toc387308850"/>
      <w:r w:rsidRPr="00D33B70">
        <w:t>Background</w:t>
      </w:r>
      <w:bookmarkEnd w:id="39"/>
    </w:p>
    <w:p w:rsidR="00A83F38" w:rsidRPr="00D33B70" w:rsidRDefault="00A83F38" w:rsidP="00430B8C">
      <w:pPr>
        <w:pStyle w:val="Text"/>
      </w:pPr>
      <w:r w:rsidRPr="00D33B70">
        <w:t>The City of Greater Geelong (CoGG) has engaged BMT WBM Pty Ltd (</w:t>
      </w:r>
      <w:r w:rsidR="00F8692A" w:rsidRPr="00D33B70">
        <w:t xml:space="preserve">BMT </w:t>
      </w:r>
      <w:r w:rsidRPr="00D33B70">
        <w:t xml:space="preserve">WBM) to undertake an assessment of stormwater flooding within the </w:t>
      </w:r>
      <w:r w:rsidR="00DF6F96" w:rsidRPr="00D33B70">
        <w:t>Kardinia Creek</w:t>
      </w:r>
      <w:r w:rsidRPr="00D33B70">
        <w:t xml:space="preserve"> catchment (</w:t>
      </w:r>
      <w:r w:rsidR="00DF6F96" w:rsidRPr="00D33B70">
        <w:t>C250</w:t>
      </w:r>
      <w:r w:rsidRPr="00D33B70">
        <w:t>), and to investigate flood management options to manage and minimise the effects of flooding on the community.</w:t>
      </w:r>
    </w:p>
    <w:p w:rsidR="00A83F38" w:rsidRPr="00D33B70" w:rsidRDefault="00A83F38" w:rsidP="00B26EF8">
      <w:pPr>
        <w:pStyle w:val="Heading2"/>
      </w:pPr>
      <w:bookmarkStart w:id="40" w:name="_Toc387308851"/>
      <w:r w:rsidRPr="00D33B70">
        <w:t>Catchment Description</w:t>
      </w:r>
      <w:bookmarkEnd w:id="40"/>
    </w:p>
    <w:p w:rsidR="002720DD" w:rsidRPr="00D33B70" w:rsidRDefault="00A83F38" w:rsidP="00430B8C">
      <w:pPr>
        <w:pStyle w:val="Text"/>
      </w:pPr>
      <w:r w:rsidRPr="00D33B70">
        <w:t xml:space="preserve">The </w:t>
      </w:r>
      <w:r w:rsidR="00DF6F96" w:rsidRPr="00D33B70">
        <w:t>Kardinia Creek</w:t>
      </w:r>
      <w:r w:rsidRPr="00D33B70">
        <w:t xml:space="preserve"> </w:t>
      </w:r>
      <w:r w:rsidR="00DF6F96" w:rsidRPr="00D33B70">
        <w:t>catchment</w:t>
      </w:r>
      <w:r w:rsidRPr="00D33B70">
        <w:t xml:space="preserve"> </w:t>
      </w:r>
      <w:r w:rsidR="00DF6F96" w:rsidRPr="00D33B70">
        <w:t xml:space="preserve">is </w:t>
      </w:r>
      <w:r w:rsidRPr="00D33B70">
        <w:t xml:space="preserve">located </w:t>
      </w:r>
      <w:r w:rsidR="00DF6F96" w:rsidRPr="00D33B70">
        <w:t xml:space="preserve">predominantly within the Geelong suburb of </w:t>
      </w:r>
      <w:r w:rsidR="00F11650" w:rsidRPr="00D33B70">
        <w:t>Highton;</w:t>
      </w:r>
      <w:r w:rsidR="00DF6F96" w:rsidRPr="00D33B70">
        <w:t xml:space="preserve"> </w:t>
      </w:r>
      <w:r w:rsidR="00E00D7E" w:rsidRPr="00D33B70">
        <w:t xml:space="preserve">approximately </w:t>
      </w:r>
      <w:r w:rsidR="00DF6F96" w:rsidRPr="00D33B70">
        <w:t>4</w:t>
      </w:r>
      <w:r w:rsidR="00E00D7E" w:rsidRPr="00D33B70">
        <w:t xml:space="preserve">km </w:t>
      </w:r>
      <w:r w:rsidR="00DF6F96" w:rsidRPr="00D33B70">
        <w:t xml:space="preserve">south west </w:t>
      </w:r>
      <w:r w:rsidR="00E00D7E" w:rsidRPr="00D33B70">
        <w:t xml:space="preserve">of Geelong’s Central Activities Area and on the south side of the </w:t>
      </w:r>
      <w:r w:rsidR="00DF6F96" w:rsidRPr="00D33B70">
        <w:t>Barwon River</w:t>
      </w:r>
      <w:r w:rsidR="00E00D7E" w:rsidRPr="00D33B70">
        <w:t xml:space="preserve"> (</w:t>
      </w:r>
      <w:r w:rsidR="00F21A4E" w:rsidRPr="00D33B70">
        <w:fldChar w:fldCharType="begin"/>
      </w:r>
      <w:r w:rsidRPr="00D33B70">
        <w:instrText xml:space="preserve"> REF _Ref209847862 \h </w:instrText>
      </w:r>
      <w:r w:rsidR="00F21A4E" w:rsidRPr="00D33B70">
        <w:fldChar w:fldCharType="separate"/>
      </w:r>
      <w:r w:rsidR="00AC6986" w:rsidRPr="00D33B70">
        <w:t xml:space="preserve">Figure </w:t>
      </w:r>
      <w:r w:rsidR="00AC6986">
        <w:rPr>
          <w:noProof/>
        </w:rPr>
        <w:t>1</w:t>
      </w:r>
      <w:r w:rsidR="00AC6986" w:rsidRPr="00D33B70">
        <w:noBreakHyphen/>
      </w:r>
      <w:r w:rsidR="00AC6986">
        <w:rPr>
          <w:noProof/>
        </w:rPr>
        <w:t>1</w:t>
      </w:r>
      <w:r w:rsidR="00F21A4E" w:rsidRPr="00D33B70">
        <w:fldChar w:fldCharType="end"/>
      </w:r>
      <w:r w:rsidR="00DF6F96" w:rsidRPr="00D33B70">
        <w:t xml:space="preserve">). </w:t>
      </w:r>
      <w:r w:rsidR="00F8692A" w:rsidRPr="00D33B70">
        <w:t xml:space="preserve"> </w:t>
      </w:r>
      <w:r w:rsidR="00DF6F96" w:rsidRPr="00D33B70">
        <w:t>The catchment</w:t>
      </w:r>
      <w:r w:rsidRPr="00D33B70">
        <w:t xml:space="preserve"> drain</w:t>
      </w:r>
      <w:r w:rsidR="00DF6F96" w:rsidRPr="00D33B70">
        <w:t>s</w:t>
      </w:r>
      <w:r w:rsidRPr="00D33B70">
        <w:t xml:space="preserve"> approximately </w:t>
      </w:r>
      <w:r w:rsidR="00DF6F96" w:rsidRPr="00D33B70">
        <w:t>1,050</w:t>
      </w:r>
      <w:r w:rsidRPr="00D33B70">
        <w:t xml:space="preserve"> hectares of </w:t>
      </w:r>
      <w:r w:rsidR="00DF6F96" w:rsidRPr="00D33B70">
        <w:t>both rural and urbanised land via overland flow paths and a series of retarding basins into the Barwon River.</w:t>
      </w:r>
      <w:r w:rsidR="00F8692A" w:rsidRPr="00D33B70">
        <w:t xml:space="preserve"> </w:t>
      </w:r>
      <w:r w:rsidR="00DF6F96" w:rsidRPr="00D33B70">
        <w:t xml:space="preserve"> Approximately 60% of the catchment is urbanised and the rural portion of the catchment is upstream of this urbanised </w:t>
      </w:r>
      <w:r w:rsidR="00F8692A" w:rsidRPr="00D33B70">
        <w:t>area</w:t>
      </w:r>
      <w:r w:rsidR="00DF6F96" w:rsidRPr="00D33B70">
        <w:t>.</w:t>
      </w:r>
    </w:p>
    <w:p w:rsidR="00C24764" w:rsidRPr="00D33B70" w:rsidRDefault="00C24764" w:rsidP="00430B8C">
      <w:pPr>
        <w:pStyle w:val="Text"/>
      </w:pPr>
      <w:r w:rsidRPr="00D33B70">
        <w:t xml:space="preserve">Throughout the catchment, many of the natural flow paths have been rendered ineffective due to the presence of urban development along and within the overland flowpaths.  Consequently, floodwaters have been noted to build-up behind road formations and within road reserves. </w:t>
      </w:r>
    </w:p>
    <w:p w:rsidR="00A83F38" w:rsidRPr="00D33B70" w:rsidRDefault="009D6BBB" w:rsidP="00430B8C">
      <w:pPr>
        <w:pStyle w:val="Text"/>
      </w:pPr>
      <w:r w:rsidRPr="00D33B70">
        <w:t>T</w:t>
      </w:r>
      <w:r w:rsidR="00A83F38" w:rsidRPr="00D33B70">
        <w:t>he existing drainage network is generally undersized and therefore contributes to localised ‘stormwater’ flooding</w:t>
      </w:r>
      <w:r w:rsidR="00CA4C7A" w:rsidRPr="00D33B70">
        <w:t xml:space="preserve">.  </w:t>
      </w:r>
      <w:r w:rsidR="00A83F38" w:rsidRPr="00D33B70">
        <w:t xml:space="preserve">Like many drainage systems in areas of a similar age, </w:t>
      </w:r>
      <w:r w:rsidR="00370BBB" w:rsidRPr="00D33B70">
        <w:t>Highton</w:t>
      </w:r>
      <w:r w:rsidR="00CF051E" w:rsidRPr="00D33B70">
        <w:t>’s</w:t>
      </w:r>
      <w:r w:rsidR="00A83F38" w:rsidRPr="00D33B70">
        <w:t xml:space="preserve"> drainage network has a limited capacity for the catchment it is draining</w:t>
      </w:r>
      <w:r w:rsidR="00CA4C7A" w:rsidRPr="00D33B70">
        <w:t xml:space="preserve">.  </w:t>
      </w:r>
      <w:r w:rsidR="00A83F38" w:rsidRPr="00D33B70">
        <w:t xml:space="preserve">The </w:t>
      </w:r>
      <w:r w:rsidR="00CF051E" w:rsidRPr="00D33B70">
        <w:t>Kardinia Creek catchment</w:t>
      </w:r>
      <w:r w:rsidR="00A83F38" w:rsidRPr="00D33B70">
        <w:t xml:space="preserve"> </w:t>
      </w:r>
      <w:r w:rsidR="00CF051E" w:rsidRPr="00D33B70">
        <w:t>is</w:t>
      </w:r>
      <w:r w:rsidR="00A83F38" w:rsidRPr="00D33B70">
        <w:t xml:space="preserve"> drained by</w:t>
      </w:r>
      <w:r w:rsidR="00CF051E" w:rsidRPr="00D33B70">
        <w:t xml:space="preserve"> a series of underground pipes and</w:t>
      </w:r>
      <w:r w:rsidR="00A83F38" w:rsidRPr="00D33B70">
        <w:t xml:space="preserve"> overland flow paths</w:t>
      </w:r>
      <w:r w:rsidR="00CA4C7A" w:rsidRPr="00D33B70">
        <w:t xml:space="preserve">.  </w:t>
      </w:r>
      <w:r w:rsidR="00CF051E" w:rsidRPr="00D33B70">
        <w:t xml:space="preserve">Eleven </w:t>
      </w:r>
      <w:r w:rsidR="00A83F38" w:rsidRPr="00D33B70">
        <w:t>retarding basins have also been constructed within the catchment to help alleviate local flooding issues.</w:t>
      </w:r>
    </w:p>
    <w:p w:rsidR="00A83F38" w:rsidRPr="00D33B70" w:rsidRDefault="00A83F38" w:rsidP="00B26EF8">
      <w:pPr>
        <w:pStyle w:val="Heading2"/>
      </w:pPr>
      <w:bookmarkStart w:id="41" w:name="_Toc387308852"/>
      <w:r w:rsidRPr="00D33B70">
        <w:t>History of Flooding</w:t>
      </w:r>
      <w:bookmarkEnd w:id="41"/>
    </w:p>
    <w:p w:rsidR="00A83F38" w:rsidRPr="00D33B70" w:rsidRDefault="00A83F38" w:rsidP="00430B8C">
      <w:pPr>
        <w:pStyle w:val="Text"/>
      </w:pPr>
      <w:r w:rsidRPr="00D33B70">
        <w:t xml:space="preserve">Council has received numerous reports of flooding problems within the </w:t>
      </w:r>
      <w:r w:rsidR="00CF051E" w:rsidRPr="00D33B70">
        <w:t>Kardinia Creek catchment</w:t>
      </w:r>
      <w:r w:rsidR="00CA4C7A" w:rsidRPr="00D33B70">
        <w:t xml:space="preserve">.  </w:t>
      </w:r>
      <w:r w:rsidRPr="00D33B70">
        <w:t xml:space="preserve">The majority of the problems relate </w:t>
      </w:r>
      <w:r w:rsidR="008C4EFC" w:rsidRPr="00D33B70">
        <w:t>to the characteristics of the catchment (topography, development density and age)</w:t>
      </w:r>
      <w:r w:rsidR="00CA4C7A" w:rsidRPr="00D33B70">
        <w:t xml:space="preserve">.  </w:t>
      </w:r>
      <w:r w:rsidR="008C4EFC" w:rsidRPr="00D33B70">
        <w:t>The old (pre 1980’s) drainage system typically has limited capacity in the underground pipes and a lack of clear overland flowpaths for surcharge and excess flows</w:t>
      </w:r>
      <w:r w:rsidR="00CA4C7A" w:rsidRPr="00D33B70">
        <w:t xml:space="preserve">.  </w:t>
      </w:r>
    </w:p>
    <w:p w:rsidR="00CF051E" w:rsidRPr="00D33B70" w:rsidRDefault="00CF051E" w:rsidP="00430B8C">
      <w:pPr>
        <w:pStyle w:val="Text"/>
      </w:pPr>
      <w:r w:rsidRPr="00D33B70">
        <w:t>A storm event in 1978 caused significant flood damage and the then City of South Barwon initiated a major drainage augmentation program</w:t>
      </w:r>
      <w:r w:rsidR="00CA4C7A" w:rsidRPr="00D33B70">
        <w:t xml:space="preserve">.  </w:t>
      </w:r>
      <w:r w:rsidRPr="00D33B70">
        <w:t>This program included the retro-fitting of a number of retarding basins, including the Thornhill Road Upper Basin.</w:t>
      </w:r>
    </w:p>
    <w:p w:rsidR="00CF051E" w:rsidRPr="00D33B70" w:rsidRDefault="00CF051E" w:rsidP="00430B8C">
      <w:pPr>
        <w:pStyle w:val="Text"/>
      </w:pPr>
      <w:r w:rsidRPr="00D33B70">
        <w:t>During a storm event in 1993, the Thornhill Road Lower Basin overflowed (partially due to outlet blockage), while the Upper Basin was only partially full</w:t>
      </w:r>
      <w:r w:rsidR="00CA4C7A" w:rsidRPr="00D33B70">
        <w:t xml:space="preserve">.  </w:t>
      </w:r>
      <w:r w:rsidRPr="00D33B70">
        <w:t>Surcharging of the underground drainage system downstream of the lower basin was observed.</w:t>
      </w:r>
    </w:p>
    <w:p w:rsidR="00A83F38" w:rsidRPr="00D33B70" w:rsidRDefault="00325257" w:rsidP="00B26EF8">
      <w:pPr>
        <w:pStyle w:val="Heading2"/>
      </w:pPr>
      <w:bookmarkStart w:id="42" w:name="_Toc387308853"/>
      <w:r w:rsidRPr="00D33B70">
        <w:t>Study Area</w:t>
      </w:r>
      <w:bookmarkEnd w:id="42"/>
    </w:p>
    <w:p w:rsidR="00A83F38" w:rsidRPr="00D33B70" w:rsidRDefault="00A83F38" w:rsidP="00430B8C">
      <w:pPr>
        <w:pStyle w:val="Text"/>
      </w:pPr>
      <w:r w:rsidRPr="00D33B70">
        <w:t xml:space="preserve">The </w:t>
      </w:r>
      <w:r w:rsidR="00CB43CE" w:rsidRPr="00D33B70">
        <w:t>Highton</w:t>
      </w:r>
      <w:r w:rsidRPr="00D33B70">
        <w:t xml:space="preserve"> study area is detailed in </w:t>
      </w:r>
      <w:r w:rsidR="008F1E39" w:rsidRPr="00D33B70">
        <w:fldChar w:fldCharType="begin"/>
      </w:r>
      <w:r w:rsidR="008F1E39" w:rsidRPr="00D33B70">
        <w:instrText xml:space="preserve"> REF _Ref208981065 \h  \* MERGEFORMAT </w:instrText>
      </w:r>
      <w:r w:rsidR="008F1E39" w:rsidRPr="00D33B70">
        <w:fldChar w:fldCharType="separate"/>
      </w:r>
      <w:r w:rsidR="00AC6986" w:rsidRPr="00D33B70">
        <w:t xml:space="preserve">Figure </w:t>
      </w:r>
      <w:r w:rsidR="00AC6986">
        <w:rPr>
          <w:noProof/>
        </w:rPr>
        <w:t>1</w:t>
      </w:r>
      <w:r w:rsidR="00AC6986" w:rsidRPr="00D33B70">
        <w:rPr>
          <w:noProof/>
        </w:rPr>
        <w:noBreakHyphen/>
      </w:r>
      <w:r w:rsidR="00AC6986">
        <w:rPr>
          <w:noProof/>
        </w:rPr>
        <w:t>2</w:t>
      </w:r>
      <w:r w:rsidR="008F1E39" w:rsidRPr="00D33B70">
        <w:fldChar w:fldCharType="end"/>
      </w:r>
      <w:r w:rsidR="00CA4C7A" w:rsidRPr="00D33B70">
        <w:t xml:space="preserve">.  </w:t>
      </w:r>
      <w:r w:rsidRPr="00D33B70">
        <w:t>The study area is modelled in detail using both hydrologic and complex two-dimensional hydraulic models to simulate the flood behaviour within the catchment</w:t>
      </w:r>
      <w:r w:rsidR="00CA4C7A" w:rsidRPr="00D33B70">
        <w:t xml:space="preserve">.  </w:t>
      </w:r>
      <w:r w:rsidRPr="00D33B70">
        <w:t>The area that is to be flood</w:t>
      </w:r>
      <w:r w:rsidR="002B6A58" w:rsidRPr="00D33B70">
        <w:t xml:space="preserve"> </w:t>
      </w:r>
      <w:r w:rsidRPr="00D33B70">
        <w:t xml:space="preserve">mapped is also shown in </w:t>
      </w:r>
      <w:r w:rsidR="008F1E39" w:rsidRPr="00D33B70">
        <w:fldChar w:fldCharType="begin"/>
      </w:r>
      <w:r w:rsidR="008F1E39" w:rsidRPr="00D33B70">
        <w:instrText xml:space="preserve"> REF _Ref208981065 \h  \* MERGEFORMAT </w:instrText>
      </w:r>
      <w:r w:rsidR="008F1E39" w:rsidRPr="00D33B70">
        <w:fldChar w:fldCharType="separate"/>
      </w:r>
      <w:r w:rsidR="00AC6986" w:rsidRPr="00D33B70">
        <w:t xml:space="preserve">Figure </w:t>
      </w:r>
      <w:r w:rsidR="00AC6986">
        <w:rPr>
          <w:noProof/>
        </w:rPr>
        <w:t>1</w:t>
      </w:r>
      <w:r w:rsidR="00AC6986" w:rsidRPr="00D33B70">
        <w:rPr>
          <w:noProof/>
        </w:rPr>
        <w:noBreakHyphen/>
      </w:r>
      <w:r w:rsidR="00AC6986">
        <w:rPr>
          <w:noProof/>
        </w:rPr>
        <w:t>2</w:t>
      </w:r>
      <w:r w:rsidR="008F1E39" w:rsidRPr="00D33B70">
        <w:fldChar w:fldCharType="end"/>
      </w:r>
    </w:p>
    <w:p w:rsidR="00A83F38" w:rsidRPr="00D33B70" w:rsidRDefault="00A83F38" w:rsidP="00B26EF8">
      <w:pPr>
        <w:pStyle w:val="Heading2"/>
      </w:pPr>
      <w:bookmarkStart w:id="43" w:name="_Toc387308854"/>
      <w:r w:rsidRPr="00D33B70">
        <w:lastRenderedPageBreak/>
        <w:t>Key Objectives</w:t>
      </w:r>
      <w:bookmarkEnd w:id="43"/>
    </w:p>
    <w:p w:rsidR="00A83F38" w:rsidRPr="00D33B70" w:rsidRDefault="00A83F38" w:rsidP="00430B8C">
      <w:pPr>
        <w:pStyle w:val="Text"/>
      </w:pPr>
      <w:r w:rsidRPr="00D33B70">
        <w:t>The key objectives of this study are to:</w:t>
      </w:r>
    </w:p>
    <w:p w:rsidR="00A83F38" w:rsidRPr="00D33B70" w:rsidRDefault="00A83F38" w:rsidP="00430B8C">
      <w:pPr>
        <w:pStyle w:val="Text"/>
        <w:numPr>
          <w:ilvl w:val="0"/>
          <w:numId w:val="5"/>
        </w:numPr>
      </w:pPr>
      <w:r w:rsidRPr="00D33B70">
        <w:t xml:space="preserve">develop a Digital Terrain Model (DTM) of the study catchment from digital data </w:t>
      </w:r>
      <w:r w:rsidR="00AA7F93" w:rsidRPr="00D33B70">
        <w:t xml:space="preserve">captured by </w:t>
      </w:r>
      <w:r w:rsidR="00780496" w:rsidRPr="00D33B70">
        <w:t>Aerometrix in October 2009</w:t>
      </w:r>
      <w:r w:rsidR="00AA7F93" w:rsidRPr="00D33B70">
        <w:t xml:space="preserve"> and </w:t>
      </w:r>
      <w:r w:rsidRPr="00D33B70">
        <w:t xml:space="preserve">supplied by </w:t>
      </w:r>
      <w:r w:rsidR="00F60296" w:rsidRPr="00D33B70">
        <w:t>the City of Greater Geelong</w:t>
      </w:r>
      <w:r w:rsidRPr="00D33B70">
        <w:t>;</w:t>
      </w:r>
    </w:p>
    <w:p w:rsidR="00A83F38" w:rsidRPr="00D33B70" w:rsidRDefault="00A83F38" w:rsidP="00430B8C">
      <w:pPr>
        <w:pStyle w:val="Text"/>
        <w:numPr>
          <w:ilvl w:val="0"/>
          <w:numId w:val="5"/>
        </w:numPr>
      </w:pPr>
      <w:r w:rsidRPr="00D33B70">
        <w:t>determine the flood extents, depths and associated hazard of the critical 1%, 5%</w:t>
      </w:r>
      <w:r w:rsidR="009F228A" w:rsidRPr="00D33B70">
        <w:t>, 10%</w:t>
      </w:r>
      <w:r w:rsidRPr="00D33B70">
        <w:t xml:space="preserve"> and 20% annual </w:t>
      </w:r>
      <w:r w:rsidR="00140933" w:rsidRPr="00D33B70">
        <w:t>exceedance</w:t>
      </w:r>
      <w:r w:rsidRPr="00D33B70">
        <w:t xml:space="preserve"> probability (AEP) flood events through the use of hydrologic and hydraulic models for existing conditions;</w:t>
      </w:r>
    </w:p>
    <w:p w:rsidR="00A83F38" w:rsidRPr="00D33B70" w:rsidRDefault="00A83F38" w:rsidP="00430B8C">
      <w:pPr>
        <w:pStyle w:val="Text"/>
        <w:numPr>
          <w:ilvl w:val="0"/>
          <w:numId w:val="5"/>
        </w:numPr>
      </w:pPr>
      <w:r w:rsidRPr="00D33B70">
        <w:t>identify and assess potential mitigation strategies to reduce damages associated with flooding;</w:t>
      </w:r>
    </w:p>
    <w:p w:rsidR="00A83F38" w:rsidRPr="00D33B70" w:rsidRDefault="00A83F38" w:rsidP="00430B8C">
      <w:pPr>
        <w:pStyle w:val="Text"/>
        <w:numPr>
          <w:ilvl w:val="0"/>
          <w:numId w:val="5"/>
        </w:numPr>
      </w:pPr>
      <w:r w:rsidRPr="00D33B70">
        <w:t>determine the flood extents, depths and associated hazard of the critical 1%, 5%</w:t>
      </w:r>
      <w:r w:rsidR="00DC6E94" w:rsidRPr="00D33B70">
        <w:t>, 10%</w:t>
      </w:r>
      <w:r w:rsidRPr="00D33B70">
        <w:t xml:space="preserve"> and 20% annual </w:t>
      </w:r>
      <w:r w:rsidR="00140933" w:rsidRPr="00D33B70">
        <w:t>exceedance</w:t>
      </w:r>
      <w:r w:rsidRPr="00D33B70">
        <w:t xml:space="preserve"> probability (AEP) flood events through the use of hydrologic and hydraulic models for the preferred mitigation strategy; and</w:t>
      </w:r>
    </w:p>
    <w:p w:rsidR="00A83F38" w:rsidRPr="00D33B70" w:rsidRDefault="00A83F38" w:rsidP="008359B7">
      <w:pPr>
        <w:pStyle w:val="Text"/>
        <w:numPr>
          <w:ilvl w:val="0"/>
          <w:numId w:val="5"/>
        </w:numPr>
      </w:pPr>
      <w:r w:rsidRPr="00D33B70">
        <w:t>produce a report and flood maps detailing the methodology and results from the above four tasks.</w:t>
      </w:r>
    </w:p>
    <w:p w:rsidR="00A83F38" w:rsidRPr="00D33B70" w:rsidRDefault="00A83F38" w:rsidP="00430B8C">
      <w:pPr>
        <w:pStyle w:val="Text"/>
      </w:pPr>
    </w:p>
    <w:p w:rsidR="00A83F38" w:rsidRPr="00D33B70" w:rsidRDefault="00A83F38" w:rsidP="00430B8C">
      <w:pPr>
        <w:pStyle w:val="Caption"/>
      </w:pPr>
      <w:bookmarkStart w:id="44" w:name="_Ref208981054"/>
      <w:bookmarkStart w:id="45" w:name="_Toc461604460"/>
      <w:r w:rsidRPr="00D33B70">
        <w:br w:type="page"/>
      </w:r>
      <w:bookmarkStart w:id="46" w:name="_Ref209847862"/>
      <w:bookmarkStart w:id="47" w:name="_Toc387308931"/>
      <w:r w:rsidRPr="00D33B70">
        <w:lastRenderedPageBreak/>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1</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1</w:t>
      </w:r>
      <w:r w:rsidR="00FF3C04" w:rsidRPr="00D33B70">
        <w:fldChar w:fldCharType="end"/>
      </w:r>
      <w:bookmarkEnd w:id="44"/>
      <w:bookmarkEnd w:id="46"/>
      <w:r w:rsidRPr="00D33B70">
        <w:tab/>
        <w:t>Locality Map</w:t>
      </w:r>
      <w:bookmarkEnd w:id="47"/>
    </w:p>
    <w:p w:rsidR="0046729C" w:rsidRPr="00D33B70" w:rsidRDefault="0046729C" w:rsidP="00430B8C">
      <w:pPr>
        <w:pStyle w:val="Text"/>
      </w:pPr>
    </w:p>
    <w:p w:rsidR="00B163FE" w:rsidRPr="00D33B70" w:rsidRDefault="00B163FE" w:rsidP="00430B8C">
      <w:pPr>
        <w:pStyle w:val="Text"/>
      </w:pPr>
    </w:p>
    <w:p w:rsidR="0046729C" w:rsidRPr="00D33B70" w:rsidRDefault="0046729C" w:rsidP="00430B8C">
      <w:pPr>
        <w:pStyle w:val="Text"/>
      </w:pPr>
    </w:p>
    <w:p w:rsidR="00A83F38" w:rsidRPr="00D33B70" w:rsidRDefault="00A83F38" w:rsidP="00430B8C">
      <w:pPr>
        <w:pStyle w:val="Text"/>
      </w:pPr>
    </w:p>
    <w:p w:rsidR="00A83F38" w:rsidRPr="00D33B70" w:rsidRDefault="00A83F38" w:rsidP="00430B8C">
      <w:pPr>
        <w:pStyle w:val="Caption"/>
      </w:pPr>
      <w:r w:rsidRPr="00D33B70">
        <w:br w:type="page"/>
      </w:r>
      <w:bookmarkStart w:id="48" w:name="_Ref208981065"/>
      <w:bookmarkStart w:id="49" w:name="_Toc387308932"/>
      <w:r w:rsidRPr="00D33B70">
        <w:lastRenderedPageBreak/>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1</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2</w:t>
      </w:r>
      <w:r w:rsidR="00FF3C04" w:rsidRPr="00D33B70">
        <w:fldChar w:fldCharType="end"/>
      </w:r>
      <w:bookmarkEnd w:id="48"/>
      <w:r w:rsidRPr="00D33B70">
        <w:tab/>
        <w:t>Study Area and Flood</w:t>
      </w:r>
      <w:r w:rsidR="002B6A58" w:rsidRPr="00D33B70">
        <w:t xml:space="preserve"> M</w:t>
      </w:r>
      <w:r w:rsidRPr="00D33B70">
        <w:t>apping Limit</w:t>
      </w:r>
      <w:bookmarkEnd w:id="49"/>
    </w:p>
    <w:p w:rsidR="0046729C" w:rsidRPr="00D33B70" w:rsidRDefault="0046729C" w:rsidP="00430B8C">
      <w:pPr>
        <w:pStyle w:val="Text"/>
      </w:pPr>
    </w:p>
    <w:p w:rsidR="008359B7" w:rsidRPr="00D33B70" w:rsidRDefault="008359B7" w:rsidP="00430B8C">
      <w:pPr>
        <w:pStyle w:val="Text"/>
      </w:pPr>
    </w:p>
    <w:p w:rsidR="0046729C" w:rsidRPr="00D33B70" w:rsidRDefault="0046729C" w:rsidP="00430B8C">
      <w:pPr>
        <w:pStyle w:val="Text"/>
      </w:pPr>
    </w:p>
    <w:p w:rsidR="00A83F38" w:rsidRPr="00D33B70" w:rsidRDefault="00A83F38" w:rsidP="00430B8C">
      <w:pPr>
        <w:pStyle w:val="Text"/>
      </w:pPr>
    </w:p>
    <w:p w:rsidR="00A83F38" w:rsidRPr="00D33B70" w:rsidRDefault="00A83F38" w:rsidP="00430B8C">
      <w:pPr>
        <w:pStyle w:val="Text"/>
        <w:sectPr w:rsidR="00A83F38" w:rsidRPr="00D33B70" w:rsidSect="007018E6">
          <w:headerReference w:type="default" r:id="rId23"/>
          <w:pgSz w:w="11907" w:h="16840"/>
          <w:pgMar w:top="1418" w:right="1134" w:bottom="1418" w:left="1134" w:header="851" w:footer="828" w:gutter="0"/>
          <w:pgNumType w:start="1" w:chapStyle="1"/>
          <w:cols w:space="720"/>
        </w:sectPr>
      </w:pPr>
    </w:p>
    <w:p w:rsidR="008359B7" w:rsidRPr="00D33B70" w:rsidRDefault="008359B7" w:rsidP="00430B8C">
      <w:pPr>
        <w:pStyle w:val="Heading1"/>
      </w:pPr>
      <w:bookmarkStart w:id="50" w:name="_Ref367885732"/>
      <w:bookmarkStart w:id="51" w:name="_Ref180233706"/>
      <w:bookmarkStart w:id="52" w:name="_Toc207788141"/>
      <w:bookmarkStart w:id="53" w:name="_Toc387308855"/>
      <w:bookmarkEnd w:id="45"/>
      <w:r w:rsidRPr="00D33B70">
        <w:lastRenderedPageBreak/>
        <w:t>Study Approach</w:t>
      </w:r>
      <w:bookmarkEnd w:id="50"/>
      <w:bookmarkEnd w:id="53"/>
    </w:p>
    <w:p w:rsidR="008359B7" w:rsidRPr="00D33B70" w:rsidRDefault="008359B7" w:rsidP="008359B7">
      <w:pPr>
        <w:pStyle w:val="Text"/>
        <w:numPr>
          <w:ilvl w:val="12"/>
          <w:numId w:val="0"/>
        </w:numPr>
        <w:ind w:left="851"/>
      </w:pPr>
      <w:r w:rsidRPr="00D33B70">
        <w:t>There were six key stages in the study as follows:</w:t>
      </w:r>
    </w:p>
    <w:p w:rsidR="008359B7" w:rsidRPr="00D33B70" w:rsidRDefault="008359B7" w:rsidP="008359B7">
      <w:pPr>
        <w:pStyle w:val="Bullets"/>
        <w:numPr>
          <w:ilvl w:val="0"/>
          <w:numId w:val="16"/>
        </w:numPr>
        <w:tabs>
          <w:tab w:val="left" w:pos="1247"/>
        </w:tabs>
        <w:spacing w:line="200" w:lineRule="atLeast"/>
        <w:ind w:left="1588" w:right="839" w:hanging="397"/>
      </w:pPr>
      <w:r w:rsidRPr="00D33B70">
        <w:t>Data collection;</w:t>
      </w:r>
    </w:p>
    <w:p w:rsidR="008359B7" w:rsidRPr="00D33B70" w:rsidRDefault="008359B7" w:rsidP="008359B7">
      <w:pPr>
        <w:pStyle w:val="Bullets"/>
        <w:numPr>
          <w:ilvl w:val="0"/>
          <w:numId w:val="16"/>
        </w:numPr>
        <w:tabs>
          <w:tab w:val="left" w:pos="1247"/>
        </w:tabs>
        <w:spacing w:line="200" w:lineRule="atLeast"/>
        <w:ind w:left="1588" w:right="839" w:hanging="397"/>
      </w:pPr>
      <w:r w:rsidRPr="00D33B70">
        <w:t>Flood model development;</w:t>
      </w:r>
    </w:p>
    <w:p w:rsidR="008359B7" w:rsidRPr="00D33B70" w:rsidRDefault="008359B7" w:rsidP="008359B7">
      <w:pPr>
        <w:pStyle w:val="Bullets"/>
        <w:numPr>
          <w:ilvl w:val="0"/>
          <w:numId w:val="16"/>
        </w:numPr>
        <w:tabs>
          <w:tab w:val="left" w:pos="1247"/>
        </w:tabs>
        <w:spacing w:line="200" w:lineRule="atLeast"/>
        <w:ind w:left="1588" w:right="839" w:hanging="397"/>
      </w:pPr>
      <w:r w:rsidRPr="00D33B70">
        <w:t xml:space="preserve">Flood mapping; </w:t>
      </w:r>
    </w:p>
    <w:p w:rsidR="008359B7" w:rsidRPr="00D33B70" w:rsidRDefault="008359B7" w:rsidP="008359B7">
      <w:pPr>
        <w:pStyle w:val="Bullets"/>
        <w:numPr>
          <w:ilvl w:val="0"/>
          <w:numId w:val="16"/>
        </w:numPr>
        <w:tabs>
          <w:tab w:val="left" w:pos="1247"/>
        </w:tabs>
        <w:spacing w:line="200" w:lineRule="atLeast"/>
        <w:ind w:left="1588" w:right="839" w:hanging="397"/>
      </w:pPr>
      <w:r w:rsidRPr="00D33B70">
        <w:t>Flood damages assessment;</w:t>
      </w:r>
    </w:p>
    <w:p w:rsidR="008359B7" w:rsidRPr="00D33B70" w:rsidRDefault="008359B7" w:rsidP="008359B7">
      <w:pPr>
        <w:pStyle w:val="Bullets"/>
        <w:numPr>
          <w:ilvl w:val="0"/>
          <w:numId w:val="16"/>
        </w:numPr>
        <w:tabs>
          <w:tab w:val="left" w:pos="1247"/>
        </w:tabs>
        <w:spacing w:line="200" w:lineRule="atLeast"/>
        <w:ind w:left="1588" w:right="839" w:hanging="397"/>
      </w:pPr>
      <w:r w:rsidRPr="00D33B70">
        <w:t>Mitigation options assessment; and</w:t>
      </w:r>
    </w:p>
    <w:p w:rsidR="008359B7" w:rsidRPr="00D33B70" w:rsidRDefault="008359B7" w:rsidP="008359B7">
      <w:pPr>
        <w:pStyle w:val="Bullets"/>
        <w:numPr>
          <w:ilvl w:val="0"/>
          <w:numId w:val="16"/>
        </w:numPr>
        <w:tabs>
          <w:tab w:val="left" w:pos="1247"/>
        </w:tabs>
        <w:spacing w:line="200" w:lineRule="atLeast"/>
        <w:ind w:left="1588" w:right="839" w:hanging="397"/>
      </w:pPr>
      <w:r w:rsidRPr="00D33B70">
        <w:t>Reporting.</w:t>
      </w:r>
    </w:p>
    <w:p w:rsidR="008359B7" w:rsidRPr="00D33B70" w:rsidRDefault="008359B7" w:rsidP="008359B7">
      <w:pPr>
        <w:pStyle w:val="Text"/>
        <w:numPr>
          <w:ilvl w:val="12"/>
          <w:numId w:val="0"/>
        </w:numPr>
        <w:ind w:left="851"/>
      </w:pPr>
      <w:r w:rsidRPr="00D33B70">
        <w:t xml:space="preserve">The remainder of Section </w:t>
      </w:r>
      <w:r w:rsidR="00484B6A" w:rsidRPr="00D33B70">
        <w:fldChar w:fldCharType="begin"/>
      </w:r>
      <w:r w:rsidR="00484B6A" w:rsidRPr="00D33B70">
        <w:instrText xml:space="preserve"> REF _Ref367885732 \r \h </w:instrText>
      </w:r>
      <w:r w:rsidR="00484B6A" w:rsidRPr="00D33B70">
        <w:fldChar w:fldCharType="separate"/>
      </w:r>
      <w:r w:rsidR="00AC6986">
        <w:t>2</w:t>
      </w:r>
      <w:r w:rsidR="00484B6A" w:rsidRPr="00D33B70">
        <w:fldChar w:fldCharType="end"/>
      </w:r>
      <w:r w:rsidR="00164093" w:rsidRPr="00D33B70">
        <w:t xml:space="preserve"> </w:t>
      </w:r>
      <w:r w:rsidRPr="00D33B70">
        <w:t>outlines the adopted approach for each of these stages.  A detailed description of the key stages is given in subsequent sections of the report.</w:t>
      </w:r>
    </w:p>
    <w:p w:rsidR="008359B7" w:rsidRPr="00D33B70" w:rsidRDefault="008359B7" w:rsidP="00B26EF8">
      <w:pPr>
        <w:pStyle w:val="Heading2"/>
      </w:pPr>
      <w:bookmarkStart w:id="54" w:name="_Toc387308856"/>
      <w:r w:rsidRPr="00D33B70">
        <w:t>Data Collation</w:t>
      </w:r>
      <w:bookmarkEnd w:id="54"/>
    </w:p>
    <w:p w:rsidR="008359B7" w:rsidRPr="00D33B70" w:rsidRDefault="008359B7" w:rsidP="00B26EF8">
      <w:pPr>
        <w:pStyle w:val="Heading3"/>
      </w:pPr>
      <w:bookmarkStart w:id="55" w:name="_Toc387308857"/>
      <w:r w:rsidRPr="00D33B70">
        <w:t>Study Inception and Site Visit</w:t>
      </w:r>
      <w:bookmarkEnd w:id="55"/>
    </w:p>
    <w:p w:rsidR="008359B7" w:rsidRPr="00D33B70" w:rsidRDefault="008359B7" w:rsidP="008359B7">
      <w:pPr>
        <w:pStyle w:val="Text"/>
        <w:numPr>
          <w:ilvl w:val="12"/>
          <w:numId w:val="0"/>
        </w:numPr>
        <w:ind w:left="851"/>
        <w:rPr>
          <w:highlight w:val="yellow"/>
        </w:rPr>
      </w:pPr>
      <w:r w:rsidRPr="00D33B70">
        <w:t>Following commissioning of the study, an inception meeting and site visit were held between representatives from CoGG and BMT WBM.  The principal objectives were to confirm the project approach, obtain key and relevant data and to discuss known flooding issues within the catchments.</w:t>
      </w:r>
    </w:p>
    <w:p w:rsidR="008359B7" w:rsidRPr="00D33B70" w:rsidRDefault="008359B7" w:rsidP="00B26EF8">
      <w:pPr>
        <w:pStyle w:val="Heading3"/>
      </w:pPr>
      <w:bookmarkStart w:id="56" w:name="_Toc387308858"/>
      <w:r w:rsidRPr="00D33B70">
        <w:t>Drainage, Topographic and GIS Data Sets</w:t>
      </w:r>
      <w:bookmarkEnd w:id="56"/>
    </w:p>
    <w:p w:rsidR="008359B7" w:rsidRPr="00D33B70" w:rsidRDefault="008359B7" w:rsidP="008359B7">
      <w:pPr>
        <w:pStyle w:val="Text"/>
        <w:numPr>
          <w:ilvl w:val="12"/>
          <w:numId w:val="0"/>
        </w:numPr>
        <w:ind w:left="851"/>
      </w:pPr>
      <w:r w:rsidRPr="00D33B70">
        <w:t>All relevant data for the drainage systems was obtained from the CoGG.  The data was comprehensively reviewed to identify any significant data gaps and to gain a complete understanding of issues in the study area.  Where required, field survey was commissioned to address gaps in available data.</w:t>
      </w:r>
    </w:p>
    <w:p w:rsidR="008359B7" w:rsidRPr="00D33B70" w:rsidRDefault="008359B7" w:rsidP="00B26EF8">
      <w:pPr>
        <w:pStyle w:val="Heading2"/>
      </w:pPr>
      <w:bookmarkStart w:id="57" w:name="_Toc387308859"/>
      <w:r w:rsidRPr="00D33B70">
        <w:t>Flood Model Development</w:t>
      </w:r>
      <w:bookmarkEnd w:id="57"/>
    </w:p>
    <w:p w:rsidR="008359B7" w:rsidRPr="00D33B70" w:rsidRDefault="008359B7" w:rsidP="008359B7">
      <w:pPr>
        <w:pStyle w:val="Text"/>
        <w:numPr>
          <w:ilvl w:val="12"/>
          <w:numId w:val="0"/>
        </w:numPr>
        <w:ind w:left="851"/>
      </w:pPr>
      <w:r w:rsidRPr="00D33B70">
        <w:t>The flood model was developed using the traditional approach of utilising hydrologic and hydraulic computer models.  The hydrologic model determines the runoff hydrographs that occur following a particular rainfall event.  The hydrographs describe the quantity, rate and timing of the runoff that results from rainfall events.  These hydrographs then become a key input into the hydraulic model.  The hydraulic model simulates the movement of floodwaters through overland flow paths, storage areas, and hydraulic structures.  The hydraulic model calculates flood levels and flow patterns and also models the complex interactions between overland flow paths and underground drainage.</w:t>
      </w:r>
    </w:p>
    <w:p w:rsidR="008359B7" w:rsidRPr="00D33B70" w:rsidRDefault="008359B7" w:rsidP="008359B7">
      <w:pPr>
        <w:pStyle w:val="Text"/>
        <w:numPr>
          <w:ilvl w:val="12"/>
          <w:numId w:val="0"/>
        </w:numPr>
        <w:ind w:left="851"/>
      </w:pPr>
      <w:r w:rsidRPr="00D33B70">
        <w:t>The hydrologic modelling of the catchments was undertaken using RORB.  A new RORB hydrological model of the catchments was developed for this flood study.  As discussed further in Section</w:t>
      </w:r>
      <w:r w:rsidR="0005662F" w:rsidRPr="00D33B70">
        <w:t xml:space="preserve"> </w:t>
      </w:r>
      <w:r w:rsidR="0005662F" w:rsidRPr="00D33B70">
        <w:fldChar w:fldCharType="begin"/>
      </w:r>
      <w:r w:rsidR="0005662F" w:rsidRPr="00D33B70">
        <w:instrText xml:space="preserve"> REF _Ref358819552 \r \h </w:instrText>
      </w:r>
      <w:r w:rsidR="0005662F" w:rsidRPr="00D33B70">
        <w:fldChar w:fldCharType="separate"/>
      </w:r>
      <w:r w:rsidR="00AC6986">
        <w:t>4.1.1.7</w:t>
      </w:r>
      <w:r w:rsidR="0005662F" w:rsidRPr="00D33B70">
        <w:fldChar w:fldCharType="end"/>
      </w:r>
      <w:r w:rsidRPr="00D33B70">
        <w:t xml:space="preserve">, although </w:t>
      </w:r>
      <w:r w:rsidR="0005662F" w:rsidRPr="00D33B70">
        <w:t xml:space="preserve">11 </w:t>
      </w:r>
      <w:r w:rsidRPr="00D33B70">
        <w:t xml:space="preserve">retarding basins exist within the </w:t>
      </w:r>
      <w:r w:rsidR="00026B6D" w:rsidRPr="00D33B70">
        <w:t>Kardinia Creek</w:t>
      </w:r>
      <w:r w:rsidRPr="00D33B70">
        <w:t xml:space="preserve"> drainage </w:t>
      </w:r>
      <w:r w:rsidR="00026B6D" w:rsidRPr="00D33B70">
        <w:t>catchment</w:t>
      </w:r>
      <w:r w:rsidRPr="00D33B70">
        <w:t>, they are included in the RORB model for completeness only. The hydraulic model is used to simulate the behaviour of the retarding basins during a flood event.  No calibration data was available for the hydrological model, so for most parameters, typical values appropriate for the catchments characteristics were adopted and the model was then verified against the Rational Method and previous studies within the catchments.  The adopted loss model was an initial loss/volumetric runoff coefficient model.</w:t>
      </w:r>
    </w:p>
    <w:p w:rsidR="008359B7" w:rsidRPr="00D33B70" w:rsidRDefault="008359B7" w:rsidP="008359B7">
      <w:pPr>
        <w:pStyle w:val="Text"/>
        <w:numPr>
          <w:ilvl w:val="12"/>
          <w:numId w:val="0"/>
        </w:numPr>
        <w:ind w:left="851"/>
      </w:pPr>
      <w:r w:rsidRPr="00D33B70">
        <w:lastRenderedPageBreak/>
        <w:t>Hydraulic modelling of the catchments was undertaken using the 2D/1D dynamic hydraulic modelling package TUFLOW.  The model incorporated both the overland flow paths and the underground trunk drainage system.  No data was available for calibration so typical parameter values based on experience and the data collected during the site inspections were applied.  TUFLOW was run as an unsteady flow model to ensure reliable representation of the storage within the system and the complex timing and interaction of flows in the drainage network.</w:t>
      </w:r>
    </w:p>
    <w:p w:rsidR="008359B7" w:rsidRPr="00D33B70" w:rsidRDefault="0005662F" w:rsidP="00B26EF8">
      <w:pPr>
        <w:pStyle w:val="Heading2"/>
      </w:pPr>
      <w:bookmarkStart w:id="58" w:name="_Toc387308860"/>
      <w:r w:rsidRPr="00D33B70">
        <w:t>Flood Mapping</w:t>
      </w:r>
      <w:bookmarkEnd w:id="58"/>
    </w:p>
    <w:p w:rsidR="0005662F" w:rsidRPr="00D33B70" w:rsidRDefault="0005662F" w:rsidP="0005662F">
      <w:pPr>
        <w:pStyle w:val="Text"/>
      </w:pPr>
      <w:r w:rsidRPr="00D33B70">
        <w:t>Flood maps showing flood extent, depth and height were produced for each design flood analysed.  Design floods are hypothetical floods used for planning and floodplain management investigations.  A design flood is defined by its probability of occurrence.  It represents a flood that has a particular probability of being exceeded in any one year.  For example, the 1% Annual Exceedance Probability (AEP) or 100 year Average Recurrence Interval (ARI) flood is a best estimate of a flood magnitude which has 1 chance in 100 of being exceeded in any one year.  It should be noted that planning for the 1% AEP flood does not guarantee protection for the next 100 years.  Design flood levels were determined for the 20%, 10%, 5% and 1% AEP floods.</w:t>
      </w:r>
    </w:p>
    <w:p w:rsidR="0005662F" w:rsidRPr="00D33B70" w:rsidRDefault="0005662F" w:rsidP="00B26EF8">
      <w:pPr>
        <w:pStyle w:val="Heading2"/>
      </w:pPr>
      <w:bookmarkStart w:id="59" w:name="_Toc387308861"/>
      <w:r w:rsidRPr="00D33B70">
        <w:t>Flood Damages Assessment</w:t>
      </w:r>
      <w:bookmarkEnd w:id="59"/>
    </w:p>
    <w:p w:rsidR="0005662F" w:rsidRPr="00D33B70" w:rsidRDefault="0005662F" w:rsidP="0005662F">
      <w:pPr>
        <w:pStyle w:val="Text"/>
      </w:pPr>
      <w:r w:rsidRPr="00D33B70">
        <w:t>The design floods were used to make an assessment of the financial losses to residential properties and public infrastructure.  These financial losses were then used as a basis to do an economic assessment of potential mitigation options.</w:t>
      </w:r>
    </w:p>
    <w:p w:rsidR="0005662F" w:rsidRPr="00D33B70" w:rsidRDefault="0005662F" w:rsidP="00B26EF8">
      <w:pPr>
        <w:pStyle w:val="Heading2"/>
      </w:pPr>
      <w:bookmarkStart w:id="60" w:name="_Toc387308862"/>
      <w:r w:rsidRPr="00D33B70">
        <w:t>Mitigation Options Assessment</w:t>
      </w:r>
      <w:bookmarkEnd w:id="60"/>
    </w:p>
    <w:p w:rsidR="0005662F" w:rsidRPr="00D33B70" w:rsidRDefault="0005662F" w:rsidP="0005662F">
      <w:pPr>
        <w:pStyle w:val="Text"/>
      </w:pPr>
      <w:r w:rsidRPr="00D33B70">
        <w:t>A range of options designed to mitigate the existing flood impact and associated damages were considered and analysed for effectiveness.  The economic impacts of each scenario, as well as a range of non-economic factors, were compared in order to ascertain the most suitable outcome.</w:t>
      </w:r>
    </w:p>
    <w:p w:rsidR="0005662F" w:rsidRPr="00D33B70" w:rsidRDefault="0005662F" w:rsidP="00B26EF8">
      <w:pPr>
        <w:pStyle w:val="Heading2"/>
      </w:pPr>
      <w:bookmarkStart w:id="61" w:name="_Toc387308863"/>
      <w:r w:rsidRPr="00D33B70">
        <w:t>Reporting</w:t>
      </w:r>
      <w:bookmarkEnd w:id="61"/>
    </w:p>
    <w:p w:rsidR="0005662F" w:rsidRPr="00D33B70" w:rsidRDefault="0005662F" w:rsidP="0005662F">
      <w:pPr>
        <w:pStyle w:val="Text"/>
        <w:sectPr w:rsidR="0005662F" w:rsidRPr="00D33B70" w:rsidSect="007018E6">
          <w:pgSz w:w="11907" w:h="16840"/>
          <w:pgMar w:top="1418" w:right="1134" w:bottom="1418" w:left="1134" w:header="851" w:footer="828" w:gutter="0"/>
          <w:pgNumType w:start="1" w:chapStyle="1"/>
          <w:cols w:space="720"/>
        </w:sectPr>
      </w:pPr>
      <w:r w:rsidRPr="00D33B70">
        <w:t>Several meetings were held with CoGG during the course of the study to present findings before proceeding to subsequent stages.  The findings of the study are presented in this Drainage/Flood Study Report.</w:t>
      </w:r>
    </w:p>
    <w:p w:rsidR="00A83F38" w:rsidRPr="00D33B70" w:rsidRDefault="00A83F38" w:rsidP="00430B8C">
      <w:pPr>
        <w:pStyle w:val="Heading1"/>
      </w:pPr>
      <w:bookmarkStart w:id="62" w:name="_Toc387308864"/>
      <w:r w:rsidRPr="00D33B70">
        <w:lastRenderedPageBreak/>
        <w:t>Data Collation</w:t>
      </w:r>
      <w:bookmarkEnd w:id="62"/>
    </w:p>
    <w:p w:rsidR="00A83F38" w:rsidRPr="00D33B70" w:rsidRDefault="00A83F38" w:rsidP="00B26EF8">
      <w:pPr>
        <w:pStyle w:val="Heading2"/>
      </w:pPr>
      <w:bookmarkStart w:id="63" w:name="_Toc387308865"/>
      <w:r w:rsidRPr="00D33B70">
        <w:t>Site Inspection</w:t>
      </w:r>
      <w:bookmarkEnd w:id="63"/>
    </w:p>
    <w:p w:rsidR="00A83F38" w:rsidRPr="00D33B70" w:rsidRDefault="00A83F38" w:rsidP="00430B8C">
      <w:pPr>
        <w:pStyle w:val="Text"/>
      </w:pPr>
      <w:r w:rsidRPr="00D33B70">
        <w:t xml:space="preserve">Following commissioning of the study, an inception meeting was held between CoGG representatives and BMT WBM project staff.  During this meeting background data was supplied, project documentation was exchanged and the scope of works was discussed and approved.  This meeting was followed by a site inspection with Council’s representative, where flooding issues throughout the study area were outlined and viewed.  </w:t>
      </w:r>
    </w:p>
    <w:p w:rsidR="00A83F38" w:rsidRPr="00D33B70" w:rsidRDefault="00A83F38" w:rsidP="00B26EF8">
      <w:pPr>
        <w:pStyle w:val="Heading2"/>
      </w:pPr>
      <w:bookmarkStart w:id="64" w:name="_Toc387308866"/>
      <w:r w:rsidRPr="00D33B70">
        <w:t>GIS Data</w:t>
      </w:r>
      <w:bookmarkEnd w:id="64"/>
    </w:p>
    <w:p w:rsidR="00A83F38" w:rsidRPr="00D33B70" w:rsidRDefault="00A83F38" w:rsidP="00430B8C">
      <w:pPr>
        <w:pStyle w:val="Text"/>
      </w:pPr>
      <w:bookmarkStart w:id="65" w:name="_Toc529352973"/>
      <w:bookmarkStart w:id="66" w:name="_Toc691111"/>
      <w:r w:rsidRPr="00D33B70">
        <w:t>All relevant data for the drainage systems was obtained from the CoGG.  The data was comprehensively reviewed to identify any significant data gaps and to gain a complete understanding of issues in the study area.</w:t>
      </w:r>
    </w:p>
    <w:p w:rsidR="00A83F38" w:rsidRPr="00D33B70" w:rsidRDefault="00A83F38" w:rsidP="00430B8C">
      <w:pPr>
        <w:pStyle w:val="Text"/>
      </w:pPr>
      <w:r w:rsidRPr="00D33B70">
        <w:t>Additional project related GIS data was sourced from Council’s GIS system.  In particular, the following data was supplied:</w:t>
      </w:r>
    </w:p>
    <w:p w:rsidR="00A83F38" w:rsidRPr="00D33B70" w:rsidRDefault="00A83F38" w:rsidP="007658DB">
      <w:pPr>
        <w:pStyle w:val="Bullets"/>
        <w:spacing w:line="200" w:lineRule="atLeast"/>
        <w:ind w:right="839"/>
      </w:pPr>
      <w:r w:rsidRPr="00D33B70">
        <w:t>cadastral information over the study area;</w:t>
      </w:r>
    </w:p>
    <w:p w:rsidR="00A83F38" w:rsidRPr="00D33B70" w:rsidRDefault="00A83F38" w:rsidP="007658DB">
      <w:pPr>
        <w:pStyle w:val="Bullets"/>
        <w:spacing w:line="200" w:lineRule="atLeast"/>
        <w:ind w:right="839"/>
      </w:pPr>
      <w:r w:rsidRPr="00D33B70">
        <w:t>planning scheme zones over the catchment; and</w:t>
      </w:r>
    </w:p>
    <w:p w:rsidR="00A83F38" w:rsidRPr="00D33B70" w:rsidRDefault="00A83F38" w:rsidP="007658DB">
      <w:pPr>
        <w:pStyle w:val="Bullets"/>
        <w:spacing w:line="200" w:lineRule="atLeast"/>
        <w:ind w:right="839"/>
      </w:pPr>
      <w:r w:rsidRPr="00D33B70">
        <w:t>aerial photography.</w:t>
      </w:r>
    </w:p>
    <w:p w:rsidR="00A83F38" w:rsidRPr="00D33B70" w:rsidRDefault="00A83F38" w:rsidP="00B26EF8">
      <w:pPr>
        <w:pStyle w:val="Heading2"/>
      </w:pPr>
      <w:bookmarkStart w:id="67" w:name="_Ref316483286"/>
      <w:bookmarkStart w:id="68" w:name="_Toc387308867"/>
      <w:bookmarkEnd w:id="65"/>
      <w:bookmarkEnd w:id="66"/>
      <w:r w:rsidRPr="00D33B70">
        <w:t>Drainage Data</w:t>
      </w:r>
      <w:bookmarkEnd w:id="67"/>
      <w:bookmarkEnd w:id="68"/>
    </w:p>
    <w:p w:rsidR="00A83F38" w:rsidRPr="00D33B70" w:rsidRDefault="00A83F38" w:rsidP="00430B8C">
      <w:pPr>
        <w:pStyle w:val="Text"/>
      </w:pPr>
      <w:r w:rsidRPr="00D33B70">
        <w:t>CoGG supplied drainage network data for the catchment in digital formats (as GIS datasets and pdf documents)</w:t>
      </w:r>
      <w:r w:rsidR="00CA4C7A" w:rsidRPr="00D33B70">
        <w:t xml:space="preserve">.  </w:t>
      </w:r>
      <w:r w:rsidRPr="00D33B70">
        <w:t xml:space="preserve">Data included pipe networks (location and size), </w:t>
      </w:r>
      <w:r w:rsidR="00FD720F" w:rsidRPr="00D33B70">
        <w:t>drainage pit details and retarding basin locations</w:t>
      </w:r>
      <w:r w:rsidRPr="00D33B70">
        <w:t xml:space="preserve">.  </w:t>
      </w:r>
      <w:r w:rsidR="00FD720F" w:rsidRPr="00D33B70">
        <w:t xml:space="preserve">Data gaps within the pipe network </w:t>
      </w:r>
      <w:r w:rsidRPr="00D33B70">
        <w:t xml:space="preserve">were identified and in-filled </w:t>
      </w:r>
      <w:r w:rsidR="00FD720F" w:rsidRPr="00D33B70">
        <w:t>from available data (drawings, etc.) and then through the</w:t>
      </w:r>
      <w:r w:rsidRPr="00D33B70">
        <w:t xml:space="preserve"> interpolation of inverts from upstream and downstream</w:t>
      </w:r>
      <w:r w:rsidR="002C7951" w:rsidRPr="00D33B70">
        <w:t xml:space="preserve"> information</w:t>
      </w:r>
      <w:r w:rsidRPr="00D33B70">
        <w:t xml:space="preserve">.  A survey brief </w:t>
      </w:r>
      <w:r w:rsidR="009D6BBB" w:rsidRPr="00D33B70">
        <w:t>has been</w:t>
      </w:r>
      <w:r w:rsidRPr="00D33B70">
        <w:t xml:space="preserve"> issued to fill in the missing data</w:t>
      </w:r>
      <w:r w:rsidR="00E865FD" w:rsidRPr="00D33B70">
        <w:t>.</w:t>
      </w:r>
      <w:r w:rsidRPr="00D33B70">
        <w:t xml:space="preserve"> </w:t>
      </w:r>
    </w:p>
    <w:p w:rsidR="00A83F38" w:rsidRPr="00D33B70" w:rsidRDefault="00325257" w:rsidP="00B26EF8">
      <w:pPr>
        <w:pStyle w:val="Heading2"/>
      </w:pPr>
      <w:bookmarkStart w:id="69" w:name="_Toc387308868"/>
      <w:r w:rsidRPr="00D33B70">
        <w:t>Topographic Data</w:t>
      </w:r>
      <w:bookmarkEnd w:id="69"/>
    </w:p>
    <w:p w:rsidR="004011DF" w:rsidRPr="00D33B70" w:rsidRDefault="00AA7F93" w:rsidP="004011DF">
      <w:pPr>
        <w:pStyle w:val="Text"/>
      </w:pPr>
      <w:r w:rsidRPr="00D33B70">
        <w:t xml:space="preserve">CoGG provided </w:t>
      </w:r>
      <w:r w:rsidR="007D44F2" w:rsidRPr="00D33B70">
        <w:t xml:space="preserve">BMT </w:t>
      </w:r>
      <w:r w:rsidRPr="00D33B70">
        <w:t>WBM with new aerial photogrammetry for the area to be flood</w:t>
      </w:r>
      <w:r w:rsidR="002B6A58" w:rsidRPr="00D33B70">
        <w:t xml:space="preserve"> </w:t>
      </w:r>
      <w:r w:rsidRPr="00D33B70">
        <w:t>mapped</w:t>
      </w:r>
      <w:r w:rsidR="00CA4C7A" w:rsidRPr="00D33B70">
        <w:t xml:space="preserve">.  </w:t>
      </w:r>
      <w:r w:rsidR="004011DF" w:rsidRPr="00D33B70">
        <w:t xml:space="preserve">The data was supplied in AutoCAD (DWG) format, and was subsequently converted to a Triangulated Integrated Network (TIN), which was imported into MapInfo Professional.  The resulting </w:t>
      </w:r>
      <w:r w:rsidR="002A3127" w:rsidRPr="00D33B70">
        <w:t>digital elevation model (</w:t>
      </w:r>
      <w:r w:rsidR="004011DF" w:rsidRPr="00D33B70">
        <w:t>DEM</w:t>
      </w:r>
      <w:r w:rsidR="002A3127" w:rsidRPr="00D33B70">
        <w:t>)</w:t>
      </w:r>
      <w:r w:rsidR="004011DF" w:rsidRPr="00D33B70">
        <w:t xml:space="preserve"> is shown in </w:t>
      </w:r>
      <w:r w:rsidR="004011DF" w:rsidRPr="00D33B70">
        <w:fldChar w:fldCharType="begin"/>
      </w:r>
      <w:r w:rsidR="004011DF" w:rsidRPr="00D33B70">
        <w:instrText xml:space="preserve"> REF _Ref209586341 \h </w:instrText>
      </w:r>
      <w:r w:rsidR="004011DF" w:rsidRPr="00D33B70">
        <w:fldChar w:fldCharType="separate"/>
      </w:r>
      <w:r w:rsidR="00AC6986" w:rsidRPr="00D33B70">
        <w:t xml:space="preserve">Figure </w:t>
      </w:r>
      <w:r w:rsidR="00AC6986">
        <w:rPr>
          <w:noProof/>
        </w:rPr>
        <w:t>3</w:t>
      </w:r>
      <w:r w:rsidR="00AC6986" w:rsidRPr="00D33B70">
        <w:noBreakHyphen/>
      </w:r>
      <w:r w:rsidR="00AC6986">
        <w:rPr>
          <w:noProof/>
        </w:rPr>
        <w:t>1</w:t>
      </w:r>
      <w:r w:rsidR="004011DF" w:rsidRPr="00D33B70">
        <w:fldChar w:fldCharType="end"/>
      </w:r>
      <w:r w:rsidR="004011DF" w:rsidRPr="00D33B70">
        <w:t>.</w:t>
      </w:r>
    </w:p>
    <w:p w:rsidR="004011DF" w:rsidRPr="00D33B70" w:rsidRDefault="007D2A1D" w:rsidP="004011DF">
      <w:pPr>
        <w:pStyle w:val="Text"/>
      </w:pPr>
      <w:r w:rsidRPr="00D33B70">
        <w:t xml:space="preserve">As part of the survey </w:t>
      </w:r>
      <w:r w:rsidR="002626C2" w:rsidRPr="00D33B70">
        <w:t>component of the project</w:t>
      </w:r>
      <w:r w:rsidRPr="00D33B70">
        <w:t xml:space="preserve">, verification of the vertical </w:t>
      </w:r>
      <w:r w:rsidR="002626C2" w:rsidRPr="00D33B70">
        <w:t>accuracy</w:t>
      </w:r>
      <w:r w:rsidRPr="00D33B70">
        <w:t xml:space="preserve"> of the photogrammetry was required.  </w:t>
      </w:r>
      <w:r w:rsidR="00AA7F93" w:rsidRPr="00D33B70">
        <w:t>The quoted vertical accuracy of th</w:t>
      </w:r>
      <w:r w:rsidRPr="00D33B70">
        <w:t>e</w:t>
      </w:r>
      <w:r w:rsidR="00AA7F93" w:rsidRPr="00D33B70">
        <w:t xml:space="preserve"> data is +/- </w:t>
      </w:r>
      <w:r w:rsidR="006718A3" w:rsidRPr="00D33B70">
        <w:t>0.1m.</w:t>
      </w:r>
      <w:r w:rsidR="00F57485" w:rsidRPr="00D33B70">
        <w:t xml:space="preserve"> Whilst not specifically quoted in the provided metadata, vertical accuracy is commonly quoted as </w:t>
      </w:r>
      <w:r w:rsidR="00F2207C" w:rsidRPr="00D33B70">
        <w:t xml:space="preserve">a vertical accuracy plus one (1) sigma (standard deviation) on either bare earth or hard surfaces. </w:t>
      </w:r>
      <w:r w:rsidR="006718A3" w:rsidRPr="00D33B70">
        <w:t xml:space="preserve"> A series of points were captured along road centrelines (hard surfaces) as part of the field survey (refer to Section </w:t>
      </w:r>
      <w:r w:rsidR="006718A3" w:rsidRPr="00D33B70">
        <w:fldChar w:fldCharType="begin"/>
      </w:r>
      <w:r w:rsidR="006718A3" w:rsidRPr="00D33B70">
        <w:instrText xml:space="preserve"> REF _Ref316480377 \r \h </w:instrText>
      </w:r>
      <w:r w:rsidR="00A627D4" w:rsidRPr="00D33B70">
        <w:instrText xml:space="preserve"> \* MERGEFORMAT </w:instrText>
      </w:r>
      <w:r w:rsidR="006718A3" w:rsidRPr="00D33B70">
        <w:fldChar w:fldCharType="separate"/>
      </w:r>
      <w:r w:rsidR="00AC6986">
        <w:t>3.5</w:t>
      </w:r>
      <w:r w:rsidR="006718A3" w:rsidRPr="00D33B70">
        <w:fldChar w:fldCharType="end"/>
      </w:r>
      <w:r w:rsidR="006718A3" w:rsidRPr="00D33B70">
        <w:t>) to check the quoted accuracy of the photogrammetry data</w:t>
      </w:r>
      <w:r w:rsidR="004011DF" w:rsidRPr="00D33B70">
        <w:t xml:space="preserve">.  Refer to Section </w:t>
      </w:r>
      <w:r w:rsidR="004011DF" w:rsidRPr="00D33B70">
        <w:fldChar w:fldCharType="begin"/>
      </w:r>
      <w:r w:rsidR="004011DF" w:rsidRPr="00D33B70">
        <w:instrText xml:space="preserve"> REF _Ref316480377 \r \h </w:instrText>
      </w:r>
      <w:r w:rsidR="009C7114" w:rsidRPr="00D33B70">
        <w:instrText xml:space="preserve"> \* MERGEFORMAT </w:instrText>
      </w:r>
      <w:r w:rsidR="004011DF" w:rsidRPr="00D33B70">
        <w:fldChar w:fldCharType="separate"/>
      </w:r>
      <w:r w:rsidR="00AC6986">
        <w:t>3.5</w:t>
      </w:r>
      <w:r w:rsidR="004011DF" w:rsidRPr="00D33B70">
        <w:fldChar w:fldCharType="end"/>
      </w:r>
      <w:r w:rsidR="004011DF" w:rsidRPr="00D33B70">
        <w:t xml:space="preserve"> for details of </w:t>
      </w:r>
      <w:r w:rsidR="00961518" w:rsidRPr="00D33B70">
        <w:t xml:space="preserve">the </w:t>
      </w:r>
      <w:r w:rsidR="004011DF" w:rsidRPr="00D33B70">
        <w:t xml:space="preserve">accuracy </w:t>
      </w:r>
      <w:r w:rsidR="00961518" w:rsidRPr="00D33B70">
        <w:t>verification</w:t>
      </w:r>
      <w:r w:rsidRPr="00D33B70">
        <w:t xml:space="preserve"> undertaken</w:t>
      </w:r>
      <w:r w:rsidR="004011DF" w:rsidRPr="00D33B70">
        <w:t>.</w:t>
      </w:r>
    </w:p>
    <w:p w:rsidR="00732152" w:rsidRPr="00D33B70" w:rsidRDefault="00A83F38" w:rsidP="00732152">
      <w:pPr>
        <w:pStyle w:val="Text"/>
      </w:pPr>
      <w:r w:rsidRPr="00D33B70">
        <w:t xml:space="preserve">CoGG </w:t>
      </w:r>
      <w:r w:rsidR="00AA7F93" w:rsidRPr="00D33B70">
        <w:t xml:space="preserve">also </w:t>
      </w:r>
      <w:r w:rsidRPr="00D33B70">
        <w:t xml:space="preserve">provided </w:t>
      </w:r>
      <w:r w:rsidR="007D44F2" w:rsidRPr="00D33B70">
        <w:t xml:space="preserve">BMT </w:t>
      </w:r>
      <w:r w:rsidRPr="00D33B70">
        <w:t xml:space="preserve">WBM with topographic data from LiDAR flown over the entire </w:t>
      </w:r>
      <w:r w:rsidR="00AA7F93" w:rsidRPr="00D33B70">
        <w:t>municipalit</w:t>
      </w:r>
      <w:r w:rsidR="002B6A58" w:rsidRPr="00D33B70">
        <w:t>y'</w:t>
      </w:r>
      <w:r w:rsidR="00AA7F93" w:rsidRPr="00D33B70">
        <w:t>s developed areas</w:t>
      </w:r>
      <w:r w:rsidR="00732152" w:rsidRPr="00D33B70">
        <w:t xml:space="preserve">.  The data was supplied in xyz format, and was subsequently converted to a </w:t>
      </w:r>
      <w:r w:rsidR="00732152" w:rsidRPr="00D33B70">
        <w:lastRenderedPageBreak/>
        <w:t xml:space="preserve">Triangulated Integrated Network (TIN) using Vertical Mapper, with the resultant file imported into MapInfo Professional.  The resulting DEM is shown in </w:t>
      </w:r>
      <w:r w:rsidR="00732152" w:rsidRPr="00D33B70">
        <w:fldChar w:fldCharType="begin"/>
      </w:r>
      <w:r w:rsidR="00732152" w:rsidRPr="00D33B70">
        <w:instrText xml:space="preserve"> REF _Ref244420576 \h </w:instrText>
      </w:r>
      <w:r w:rsidR="00732152" w:rsidRPr="00D33B70">
        <w:fldChar w:fldCharType="separate"/>
      </w:r>
      <w:r w:rsidR="00AC6986" w:rsidRPr="00D33B70">
        <w:t xml:space="preserve">Figure </w:t>
      </w:r>
      <w:r w:rsidR="00AC6986">
        <w:rPr>
          <w:noProof/>
        </w:rPr>
        <w:t>3</w:t>
      </w:r>
      <w:r w:rsidR="00AC6986" w:rsidRPr="00D33B70">
        <w:noBreakHyphen/>
      </w:r>
      <w:r w:rsidR="00AC6986">
        <w:rPr>
          <w:noProof/>
        </w:rPr>
        <w:t>2</w:t>
      </w:r>
      <w:r w:rsidR="00732152" w:rsidRPr="00D33B70">
        <w:fldChar w:fldCharType="end"/>
      </w:r>
      <w:r w:rsidR="00732152" w:rsidRPr="00D33B70">
        <w:t>.</w:t>
      </w:r>
    </w:p>
    <w:p w:rsidR="00732152" w:rsidRPr="00D33B70" w:rsidRDefault="00325257" w:rsidP="00430B8C">
      <w:pPr>
        <w:pStyle w:val="Text"/>
      </w:pPr>
      <w:r w:rsidRPr="00D33B70">
        <w:t xml:space="preserve">The </w:t>
      </w:r>
      <w:r w:rsidR="00666D38" w:rsidRPr="00D33B70">
        <w:t xml:space="preserve">quoted </w:t>
      </w:r>
      <w:r w:rsidRPr="00D33B70">
        <w:t xml:space="preserve">vertical accuracy of the LiDAR data </w:t>
      </w:r>
      <w:r w:rsidR="002733CB" w:rsidRPr="00D33B70">
        <w:t>is</w:t>
      </w:r>
      <w:r w:rsidRPr="00D33B70">
        <w:t xml:space="preserve"> </w:t>
      </w:r>
      <w:r w:rsidR="002C7951" w:rsidRPr="00D33B70">
        <w:t>+/-</w:t>
      </w:r>
      <w:r w:rsidR="006718A3" w:rsidRPr="00D33B70">
        <w:t xml:space="preserve"> 0.</w:t>
      </w:r>
      <w:r w:rsidRPr="00D33B70">
        <w:t>15m</w:t>
      </w:r>
      <w:r w:rsidR="002626C2" w:rsidRPr="00D33B70">
        <w:t xml:space="preserve"> and, like the photogrammetry, was also verified </w:t>
      </w:r>
      <w:r w:rsidR="00732152" w:rsidRPr="00D33B70">
        <w:t xml:space="preserve">against </w:t>
      </w:r>
      <w:r w:rsidR="002733CB" w:rsidRPr="00D33B70">
        <w:t>field</w:t>
      </w:r>
      <w:r w:rsidR="00732152" w:rsidRPr="00D33B70">
        <w:t xml:space="preserve"> survey</w:t>
      </w:r>
      <w:r w:rsidR="006718A3" w:rsidRPr="00D33B70">
        <w:t xml:space="preserve"> using the same points captured along the road centrelines (hard surfaces)</w:t>
      </w:r>
      <w:r w:rsidR="00DE4383" w:rsidRPr="00D33B70">
        <w:t>.</w:t>
      </w:r>
      <w:r w:rsidR="00732152" w:rsidRPr="00D33B70">
        <w:t xml:space="preserve"> </w:t>
      </w:r>
      <w:r w:rsidR="00DE4383" w:rsidRPr="00D33B70">
        <w:t xml:space="preserve"> </w:t>
      </w:r>
      <w:r w:rsidR="00F2207C" w:rsidRPr="00D33B70">
        <w:t xml:space="preserve">As noted previously, vertical accuracy is commonly quoted as a vertical accuracy plus one (1) sigma (standard deviation) on bare earth or hard surfaces.  </w:t>
      </w:r>
      <w:r w:rsidR="00732152" w:rsidRPr="00D33B70">
        <w:t xml:space="preserve">Refer to Section </w:t>
      </w:r>
      <w:r w:rsidR="00732152" w:rsidRPr="00D33B70">
        <w:fldChar w:fldCharType="begin"/>
      </w:r>
      <w:r w:rsidR="00732152" w:rsidRPr="00D33B70">
        <w:instrText xml:space="preserve"> REF _Ref316480377 \r \h </w:instrText>
      </w:r>
      <w:r w:rsidR="009C7114" w:rsidRPr="00D33B70">
        <w:rPr>
          <w:highlight w:val="yellow"/>
        </w:rPr>
        <w:instrText xml:space="preserve"> \* MERGEFORMAT </w:instrText>
      </w:r>
      <w:r w:rsidR="00732152" w:rsidRPr="00D33B70">
        <w:fldChar w:fldCharType="separate"/>
      </w:r>
      <w:r w:rsidR="00AC6986">
        <w:t>3.5</w:t>
      </w:r>
      <w:r w:rsidR="00732152" w:rsidRPr="00D33B70">
        <w:fldChar w:fldCharType="end"/>
      </w:r>
      <w:r w:rsidR="00732152" w:rsidRPr="00D33B70">
        <w:t xml:space="preserve"> for details of </w:t>
      </w:r>
      <w:r w:rsidR="00DE4383" w:rsidRPr="00D33B70">
        <w:t xml:space="preserve">the </w:t>
      </w:r>
      <w:r w:rsidR="00732152" w:rsidRPr="00D33B70">
        <w:t xml:space="preserve">accuracy </w:t>
      </w:r>
      <w:r w:rsidR="00DE4383" w:rsidRPr="00D33B70">
        <w:t>verification</w:t>
      </w:r>
      <w:r w:rsidR="00732152" w:rsidRPr="00D33B70">
        <w:t>.</w:t>
      </w:r>
    </w:p>
    <w:p w:rsidR="004011DF" w:rsidRPr="00D33B70" w:rsidRDefault="004011DF" w:rsidP="00732152">
      <w:pPr>
        <w:pStyle w:val="Text"/>
      </w:pPr>
      <w:r w:rsidRPr="00D33B70">
        <w:t>Within the flood mapping area the sampling resolution for the DEM</w:t>
      </w:r>
      <w:r w:rsidR="00CC30D6" w:rsidRPr="00D33B70">
        <w:t>s</w:t>
      </w:r>
      <w:r w:rsidRPr="00D33B70">
        <w:t xml:space="preserve"> is 0.5m.  Based on our past experience, we have found that this level of detail is well suited to simulating the topography of urbanised environ</w:t>
      </w:r>
      <w:r w:rsidR="00732152" w:rsidRPr="00D33B70">
        <w:t>ments for hydraulic modelling and more than adequate for the development of the hydrologic model.</w:t>
      </w:r>
    </w:p>
    <w:p w:rsidR="00A83F38" w:rsidRPr="00D33B70" w:rsidRDefault="006476E2" w:rsidP="00B26EF8">
      <w:pPr>
        <w:pStyle w:val="Heading2"/>
      </w:pPr>
      <w:bookmarkStart w:id="70" w:name="_Ref316480377"/>
      <w:bookmarkStart w:id="71" w:name="_Toc387308869"/>
      <w:r w:rsidRPr="00D33B70">
        <w:t>Survey Data</w:t>
      </w:r>
      <w:bookmarkEnd w:id="70"/>
      <w:bookmarkEnd w:id="71"/>
    </w:p>
    <w:p w:rsidR="006476E2" w:rsidRPr="00D33B70" w:rsidRDefault="006476E2" w:rsidP="006476E2">
      <w:pPr>
        <w:pStyle w:val="Text"/>
      </w:pPr>
      <w:r w:rsidRPr="00D33B70">
        <w:t xml:space="preserve">Following a review of the data provided by the CoGG it was determined that additional field data would be required to fill missing pipe data, confirm the validity of the photogrammetry and </w:t>
      </w:r>
      <w:r w:rsidR="00BF5508" w:rsidRPr="00D33B70">
        <w:t xml:space="preserve">LiDAR and </w:t>
      </w:r>
      <w:r w:rsidRPr="00D33B70">
        <w:t xml:space="preserve">capture additional topographic data not present in the DEM.  TGM Group Pty Ltd were commissioned on the </w:t>
      </w:r>
      <w:r w:rsidR="007446E5" w:rsidRPr="00D33B70">
        <w:t>7</w:t>
      </w:r>
      <w:r w:rsidRPr="00D33B70">
        <w:rPr>
          <w:vertAlign w:val="superscript"/>
        </w:rPr>
        <w:t>th</w:t>
      </w:r>
      <w:r w:rsidR="007446E5" w:rsidRPr="00D33B70">
        <w:t xml:space="preserve"> July 2011</w:t>
      </w:r>
      <w:r w:rsidRPr="00D33B70">
        <w:t xml:space="preserve"> to carry out the required field survey.</w:t>
      </w:r>
    </w:p>
    <w:p w:rsidR="006476E2" w:rsidRPr="00D33B70" w:rsidRDefault="006476E2" w:rsidP="006476E2">
      <w:pPr>
        <w:pStyle w:val="Text"/>
      </w:pPr>
      <w:r w:rsidRPr="00D33B70">
        <w:t xml:space="preserve">TGM Group supplied the requested field survey data </w:t>
      </w:r>
      <w:r w:rsidR="007446E5" w:rsidRPr="00D33B70">
        <w:t>on the 12</w:t>
      </w:r>
      <w:r w:rsidR="007446E5" w:rsidRPr="00D33B70">
        <w:rPr>
          <w:vertAlign w:val="superscript"/>
        </w:rPr>
        <w:t>th</w:t>
      </w:r>
      <w:r w:rsidRPr="00D33B70">
        <w:rPr>
          <w:vertAlign w:val="superscript"/>
        </w:rPr>
        <w:t xml:space="preserve"> </w:t>
      </w:r>
      <w:r w:rsidR="007446E5" w:rsidRPr="00D33B70">
        <w:t>of September</w:t>
      </w:r>
      <w:r w:rsidRPr="00D33B70">
        <w:t xml:space="preserve">, </w:t>
      </w:r>
      <w:r w:rsidR="00164093" w:rsidRPr="00D33B70">
        <w:t xml:space="preserve">2011 </w:t>
      </w:r>
      <w:r w:rsidRPr="00D33B70">
        <w:t>in the form of an AutoCAD drawing with an accompanying comma separated value (CSV) text file and site photos.</w:t>
      </w:r>
    </w:p>
    <w:p w:rsidR="006476E2" w:rsidRPr="00D33B70" w:rsidRDefault="007446E5" w:rsidP="006476E2">
      <w:pPr>
        <w:pStyle w:val="Text"/>
      </w:pPr>
      <w:r w:rsidRPr="00D33B70">
        <w:t>Pipe invert levels at 21</w:t>
      </w:r>
      <w:r w:rsidR="006476E2" w:rsidRPr="00D33B70">
        <w:t xml:space="preserve"> pit locations, where either upstream or downstream invert levels were missing, were surveyed.  The inverts at these locations were either unable to be interpolated using the methods described in Section </w:t>
      </w:r>
      <w:r w:rsidR="0054423C" w:rsidRPr="00D33B70">
        <w:fldChar w:fldCharType="begin"/>
      </w:r>
      <w:r w:rsidR="0054423C" w:rsidRPr="00D33B70">
        <w:instrText xml:space="preserve"> REF _Ref349208149 \r \h  \* MERGEFORMAT </w:instrText>
      </w:r>
      <w:r w:rsidR="0054423C" w:rsidRPr="00D33B70">
        <w:fldChar w:fldCharType="separate"/>
      </w:r>
      <w:r w:rsidR="00AC6986">
        <w:t>4.2.2.1</w:t>
      </w:r>
      <w:r w:rsidR="0054423C" w:rsidRPr="00D33B70">
        <w:fldChar w:fldCharType="end"/>
      </w:r>
      <w:r w:rsidR="006476E2" w:rsidRPr="00D33B70">
        <w:t xml:space="preserve"> or were considered critical to the completion of the pipe network within the hydraulic model.</w:t>
      </w:r>
    </w:p>
    <w:p w:rsidR="006476E2" w:rsidRPr="00D33B70" w:rsidRDefault="006476E2" w:rsidP="006476E2">
      <w:pPr>
        <w:pStyle w:val="Text"/>
      </w:pPr>
      <w:r w:rsidRPr="00D33B70">
        <w:t>Stringlines wer</w:t>
      </w:r>
      <w:r w:rsidR="007446E5" w:rsidRPr="00D33B70">
        <w:t xml:space="preserve">e taken at the spillway crests </w:t>
      </w:r>
      <w:r w:rsidRPr="00D33B70">
        <w:t>f</w:t>
      </w:r>
      <w:r w:rsidR="007446E5" w:rsidRPr="00D33B70">
        <w:t>or</w:t>
      </w:r>
      <w:r w:rsidRPr="00D33B70">
        <w:t xml:space="preserve"> the </w:t>
      </w:r>
      <w:r w:rsidR="007446E5" w:rsidRPr="00D33B70">
        <w:t>10</w:t>
      </w:r>
      <w:r w:rsidRPr="00D33B70">
        <w:t xml:space="preserve"> formal </w:t>
      </w:r>
      <w:r w:rsidR="007446E5" w:rsidRPr="00D33B70">
        <w:t xml:space="preserve">and informal </w:t>
      </w:r>
      <w:r w:rsidRPr="00D33B70">
        <w:t>retarding basins within the catchment.  The shape and elevation of the spillways is critical to accurately defining the amount of flood storage and flow from the retarding basins.  Accordingly, the stringlines were incorporated into the hydraulic model.</w:t>
      </w:r>
    </w:p>
    <w:p w:rsidR="00506B7A" w:rsidRPr="00D33B70" w:rsidRDefault="00CC30D6" w:rsidP="006476E2">
      <w:pPr>
        <w:pStyle w:val="Text"/>
      </w:pPr>
      <w:r w:rsidRPr="00D33B70">
        <w:t>A series of s</w:t>
      </w:r>
      <w:r w:rsidR="006476E2" w:rsidRPr="00D33B70">
        <w:t>pot heights were also taken along a selection of road centrelines throughout the study area</w:t>
      </w:r>
      <w:r w:rsidRPr="00D33B70">
        <w:t xml:space="preserve"> (101 spot heights in total)</w:t>
      </w:r>
      <w:r w:rsidR="006476E2" w:rsidRPr="00D33B70">
        <w:t xml:space="preserve"> in order to confirm the accuracy of the topographic data provided.  The elevations at each point were compared to the levels from the </w:t>
      </w:r>
      <w:r w:rsidR="00C6403B" w:rsidRPr="00D33B70">
        <w:t xml:space="preserve">LiDAR and </w:t>
      </w:r>
      <w:r w:rsidR="00506B7A" w:rsidRPr="00D33B70">
        <w:t>p</w:t>
      </w:r>
      <w:r w:rsidR="006476E2" w:rsidRPr="00D33B70">
        <w:t>hotogrammetry DEM</w:t>
      </w:r>
      <w:r w:rsidR="00C6403B" w:rsidRPr="00D33B70">
        <w:t>s</w:t>
      </w:r>
      <w:r w:rsidR="006476E2" w:rsidRPr="00D33B70">
        <w:t xml:space="preserve">.  The differences in elevation were then reviewed to see how strongly the data sets agreed.  Elevation differences within +/- </w:t>
      </w:r>
      <w:r w:rsidRPr="00D33B70">
        <w:t>0.</w:t>
      </w:r>
      <w:r w:rsidR="006476E2" w:rsidRPr="00D33B70">
        <w:t xml:space="preserve">1m were considered reasonable given the </w:t>
      </w:r>
      <w:r w:rsidR="0006571A" w:rsidRPr="00D33B70">
        <w:t>stated</w:t>
      </w:r>
      <w:r w:rsidR="006476E2" w:rsidRPr="00D33B70">
        <w:t xml:space="preserve"> accur</w:t>
      </w:r>
      <w:r w:rsidR="00506B7A" w:rsidRPr="00D33B70">
        <w:t xml:space="preserve">acy of the two survey methods.  </w:t>
      </w:r>
      <w:r w:rsidR="00506B7A" w:rsidRPr="00D33B70">
        <w:fldChar w:fldCharType="begin"/>
      </w:r>
      <w:r w:rsidR="00506B7A" w:rsidRPr="00D33B70">
        <w:instrText xml:space="preserve"> REF _Ref316476701 \h </w:instrText>
      </w:r>
      <w:r w:rsidR="00506B7A" w:rsidRPr="00D33B70">
        <w:fldChar w:fldCharType="separate"/>
      </w:r>
      <w:r w:rsidR="00AC6986" w:rsidRPr="00D33B70">
        <w:t xml:space="preserve">Figure </w:t>
      </w:r>
      <w:r w:rsidR="00AC6986">
        <w:rPr>
          <w:noProof/>
        </w:rPr>
        <w:t>3</w:t>
      </w:r>
      <w:r w:rsidR="00AC6986" w:rsidRPr="00D33B70">
        <w:noBreakHyphen/>
      </w:r>
      <w:r w:rsidR="00AC6986">
        <w:rPr>
          <w:noProof/>
        </w:rPr>
        <w:t>3</w:t>
      </w:r>
      <w:r w:rsidR="00506B7A" w:rsidRPr="00D33B70">
        <w:fldChar w:fldCharType="end"/>
      </w:r>
      <w:r w:rsidR="00506B7A" w:rsidRPr="00D33B70">
        <w:t xml:space="preserve"> and </w:t>
      </w:r>
      <w:r w:rsidR="00506B7A" w:rsidRPr="00D33B70">
        <w:fldChar w:fldCharType="begin"/>
      </w:r>
      <w:r w:rsidR="00506B7A" w:rsidRPr="00D33B70">
        <w:instrText xml:space="preserve"> REF _Ref316476705 \h </w:instrText>
      </w:r>
      <w:r w:rsidR="00506B7A" w:rsidRPr="00D33B70">
        <w:fldChar w:fldCharType="separate"/>
      </w:r>
      <w:r w:rsidR="00AC6986" w:rsidRPr="00D33B70">
        <w:t xml:space="preserve">Figure </w:t>
      </w:r>
      <w:r w:rsidR="00AC6986">
        <w:rPr>
          <w:noProof/>
        </w:rPr>
        <w:t>3</w:t>
      </w:r>
      <w:r w:rsidR="00AC6986" w:rsidRPr="00D33B70">
        <w:noBreakHyphen/>
      </w:r>
      <w:r w:rsidR="00AC6986">
        <w:rPr>
          <w:noProof/>
        </w:rPr>
        <w:t>4</w:t>
      </w:r>
      <w:r w:rsidR="00506B7A" w:rsidRPr="00D33B70">
        <w:fldChar w:fldCharType="end"/>
      </w:r>
      <w:r w:rsidR="00506B7A" w:rsidRPr="00D33B70">
        <w:t xml:space="preserve"> illustrate the results of the checks on the photogrammetry</w:t>
      </w:r>
      <w:r w:rsidR="0071637B" w:rsidRPr="00D33B70">
        <w:t xml:space="preserve"> and LiDAR.</w:t>
      </w:r>
    </w:p>
    <w:p w:rsidR="00CC30D6" w:rsidRPr="00D33B70" w:rsidRDefault="0071637B" w:rsidP="006476E2">
      <w:pPr>
        <w:pStyle w:val="Text"/>
      </w:pPr>
      <w:r w:rsidRPr="00D33B70">
        <w:t xml:space="preserve">As can be seen in </w:t>
      </w:r>
      <w:r w:rsidRPr="00D33B70">
        <w:fldChar w:fldCharType="begin"/>
      </w:r>
      <w:r w:rsidRPr="00D33B70">
        <w:instrText xml:space="preserve"> REF _Ref316476701 \h </w:instrText>
      </w:r>
      <w:r w:rsidR="009C7114" w:rsidRPr="00D33B70">
        <w:instrText xml:space="preserve"> \* MERGEFORMAT </w:instrText>
      </w:r>
      <w:r w:rsidRPr="00D33B70">
        <w:fldChar w:fldCharType="separate"/>
      </w:r>
      <w:r w:rsidR="00AC6986" w:rsidRPr="00D33B70">
        <w:t xml:space="preserve">Figure </w:t>
      </w:r>
      <w:r w:rsidR="00AC6986">
        <w:rPr>
          <w:noProof/>
        </w:rPr>
        <w:t>3</w:t>
      </w:r>
      <w:r w:rsidR="00AC6986" w:rsidRPr="00D33B70">
        <w:rPr>
          <w:noProof/>
        </w:rPr>
        <w:noBreakHyphen/>
      </w:r>
      <w:r w:rsidR="00AC6986">
        <w:rPr>
          <w:noProof/>
        </w:rPr>
        <w:t>3</w:t>
      </w:r>
      <w:r w:rsidRPr="00D33B70">
        <w:fldChar w:fldCharType="end"/>
      </w:r>
      <w:r w:rsidR="00BF5508" w:rsidRPr="00D33B70">
        <w:t xml:space="preserve"> </w:t>
      </w:r>
      <w:r w:rsidRPr="00D33B70">
        <w:t xml:space="preserve">and </w:t>
      </w:r>
      <w:r w:rsidRPr="00D33B70">
        <w:fldChar w:fldCharType="begin"/>
      </w:r>
      <w:r w:rsidRPr="00D33B70">
        <w:instrText xml:space="preserve"> REF _Ref316476705 \h </w:instrText>
      </w:r>
      <w:r w:rsidR="009C7114" w:rsidRPr="00D33B70">
        <w:instrText xml:space="preserve"> \* MERGEFORMAT </w:instrText>
      </w:r>
      <w:r w:rsidRPr="00D33B70">
        <w:fldChar w:fldCharType="separate"/>
      </w:r>
      <w:r w:rsidR="00AC6986" w:rsidRPr="00D33B70">
        <w:t xml:space="preserve">Figure </w:t>
      </w:r>
      <w:r w:rsidR="00AC6986">
        <w:rPr>
          <w:noProof/>
        </w:rPr>
        <w:t>3</w:t>
      </w:r>
      <w:r w:rsidR="00AC6986" w:rsidRPr="00D33B70">
        <w:rPr>
          <w:noProof/>
        </w:rPr>
        <w:noBreakHyphen/>
      </w:r>
      <w:r w:rsidR="00AC6986">
        <w:rPr>
          <w:noProof/>
        </w:rPr>
        <w:t>4</w:t>
      </w:r>
      <w:r w:rsidRPr="00D33B70">
        <w:fldChar w:fldCharType="end"/>
      </w:r>
      <w:r w:rsidRPr="00D33B70">
        <w:t xml:space="preserve"> the surveyed spot heights </w:t>
      </w:r>
      <w:r w:rsidR="00CC30D6" w:rsidRPr="00D33B70">
        <w:t xml:space="preserve">show good agreement with both the photogrammetry and LiDAR DEMs. </w:t>
      </w:r>
      <w:r w:rsidR="00853BA9" w:rsidRPr="00D33B70">
        <w:t xml:space="preserve"> </w:t>
      </w:r>
      <w:r w:rsidR="00CC30D6" w:rsidRPr="00D33B70">
        <w:t>Whilst the LiDAR DEM is marginally better (all points inside the acceptable tolerance), when compared to the photogrammetry DEM (95 of 101 points inside the acceptable tolerance), both DEMs are suitable for use in the hydrologic and hydraulic models required for the Drainage/Flood Study.</w:t>
      </w:r>
    </w:p>
    <w:p w:rsidR="00CC30D6" w:rsidRPr="00D33B70" w:rsidRDefault="00CC30D6" w:rsidP="006476E2">
      <w:pPr>
        <w:pStyle w:val="Text"/>
      </w:pPr>
      <w:r w:rsidRPr="00D33B70">
        <w:lastRenderedPageBreak/>
        <w:t xml:space="preserve">The LiDAR DEM was used for the development of the hydrologic model, whilst both the LiDAR and photogrammetry DEMs were used for the development of the hydraulic model. </w:t>
      </w:r>
      <w:r w:rsidR="00853BA9" w:rsidRPr="00D33B70">
        <w:t xml:space="preserve"> </w:t>
      </w:r>
      <w:r w:rsidRPr="00D33B70">
        <w:t>The photogrammetry DEM was used for the hydraulic modelling within the flood mapping limit.</w:t>
      </w:r>
    </w:p>
    <w:p w:rsidR="00A83F38" w:rsidRPr="00D33B70" w:rsidRDefault="00A83F38" w:rsidP="00430B8C">
      <w:pPr>
        <w:pStyle w:val="Caption"/>
      </w:pPr>
      <w:r w:rsidRPr="00D33B70">
        <w:br w:type="page"/>
      </w:r>
      <w:bookmarkStart w:id="72" w:name="_Ref209586341"/>
      <w:bookmarkStart w:id="73" w:name="_Toc387308933"/>
      <w:r w:rsidRPr="00D33B70">
        <w:lastRenderedPageBreak/>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3</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1</w:t>
      </w:r>
      <w:r w:rsidR="00FF3C04" w:rsidRPr="00D33B70">
        <w:fldChar w:fldCharType="end"/>
      </w:r>
      <w:bookmarkEnd w:id="72"/>
      <w:r w:rsidRPr="00D33B70">
        <w:tab/>
      </w:r>
      <w:r w:rsidR="00935ECC" w:rsidRPr="00D33B70">
        <w:t>Highton</w:t>
      </w:r>
      <w:r w:rsidR="00AA7F93" w:rsidRPr="00D33B70">
        <w:t xml:space="preserve"> Photogrammetry</w:t>
      </w:r>
      <w:r w:rsidRPr="00D33B70">
        <w:t xml:space="preserve"> DEM</w:t>
      </w:r>
      <w:bookmarkEnd w:id="73"/>
    </w:p>
    <w:p w:rsidR="0046729C" w:rsidRPr="00D33B70" w:rsidRDefault="0046729C" w:rsidP="00430B8C">
      <w:pPr>
        <w:pStyle w:val="Text"/>
      </w:pPr>
    </w:p>
    <w:p w:rsidR="0046729C" w:rsidRPr="00D33B70" w:rsidRDefault="0046729C" w:rsidP="00430B8C">
      <w:pPr>
        <w:pStyle w:val="Text"/>
      </w:pPr>
    </w:p>
    <w:p w:rsidR="00A83F38" w:rsidRPr="00D33B70" w:rsidRDefault="00A83F38" w:rsidP="00430B8C">
      <w:pPr>
        <w:pStyle w:val="Text"/>
      </w:pPr>
    </w:p>
    <w:p w:rsidR="00AA7F93" w:rsidRPr="00D33B70" w:rsidRDefault="00407503" w:rsidP="00430B8C">
      <w:pPr>
        <w:pStyle w:val="Caption"/>
      </w:pPr>
      <w:r w:rsidRPr="00D33B70">
        <w:br w:type="page"/>
      </w:r>
      <w:bookmarkStart w:id="74" w:name="_Ref244420576"/>
      <w:bookmarkStart w:id="75" w:name="_Toc387308934"/>
      <w:r w:rsidR="00AA7F93" w:rsidRPr="00D33B70">
        <w:lastRenderedPageBreak/>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3</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2</w:t>
      </w:r>
      <w:r w:rsidR="00FF3C04" w:rsidRPr="00D33B70">
        <w:fldChar w:fldCharType="end"/>
      </w:r>
      <w:bookmarkEnd w:id="74"/>
      <w:r w:rsidR="00AA7F93" w:rsidRPr="00D33B70">
        <w:tab/>
      </w:r>
      <w:r w:rsidR="00935ECC" w:rsidRPr="00D33B70">
        <w:t>Highton</w:t>
      </w:r>
      <w:r w:rsidR="00AA7F93" w:rsidRPr="00D33B70">
        <w:t xml:space="preserve"> LiDAR DEM</w:t>
      </w:r>
      <w:bookmarkEnd w:id="75"/>
    </w:p>
    <w:bookmarkEnd w:id="51"/>
    <w:bookmarkEnd w:id="52"/>
    <w:p w:rsidR="006E5DA5" w:rsidRPr="00D33B70" w:rsidRDefault="006E5DA5" w:rsidP="00046074">
      <w:pPr>
        <w:pStyle w:val="Text"/>
      </w:pPr>
    </w:p>
    <w:p w:rsidR="00506B7A" w:rsidRPr="00D33B70" w:rsidRDefault="00506B7A" w:rsidP="00430B8C">
      <w:pPr>
        <w:pStyle w:val="Text"/>
      </w:pPr>
    </w:p>
    <w:p w:rsidR="00506B7A" w:rsidRPr="00D33B70" w:rsidRDefault="00506B7A">
      <w:pPr>
        <w:overflowPunct/>
        <w:autoSpaceDE/>
        <w:autoSpaceDN/>
        <w:adjustRightInd/>
        <w:jc w:val="left"/>
        <w:textAlignment w:val="auto"/>
      </w:pPr>
      <w:r w:rsidRPr="00D33B70">
        <w:br w:type="page"/>
      </w:r>
    </w:p>
    <w:p w:rsidR="00506B7A" w:rsidRPr="00D33B70" w:rsidRDefault="00506B7A">
      <w:pPr>
        <w:overflowPunct/>
        <w:autoSpaceDE/>
        <w:autoSpaceDN/>
        <w:adjustRightInd/>
        <w:jc w:val="left"/>
        <w:textAlignment w:val="auto"/>
      </w:pPr>
    </w:p>
    <w:p w:rsidR="00506B7A" w:rsidRPr="00D33B70" w:rsidRDefault="00506B7A" w:rsidP="00506B7A">
      <w:pPr>
        <w:pStyle w:val="Caption"/>
      </w:pPr>
      <w:bookmarkStart w:id="76" w:name="_Ref316476701"/>
      <w:bookmarkStart w:id="77" w:name="_Toc387308935"/>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3</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3</w:t>
      </w:r>
      <w:r w:rsidR="00FF3C04" w:rsidRPr="00D33B70">
        <w:fldChar w:fldCharType="end"/>
      </w:r>
      <w:bookmarkEnd w:id="76"/>
      <w:r w:rsidRPr="00D33B70">
        <w:tab/>
        <w:t>Photogrammetry DEM Check</w:t>
      </w:r>
      <w:bookmarkEnd w:id="77"/>
    </w:p>
    <w:p w:rsidR="00506B7A" w:rsidRPr="00D33B70" w:rsidRDefault="00506B7A">
      <w:pPr>
        <w:overflowPunct/>
        <w:autoSpaceDE/>
        <w:autoSpaceDN/>
        <w:adjustRightInd/>
        <w:jc w:val="left"/>
        <w:textAlignment w:val="auto"/>
      </w:pPr>
    </w:p>
    <w:p w:rsidR="00506B7A" w:rsidRPr="00D33B70" w:rsidRDefault="00506B7A">
      <w:pPr>
        <w:overflowPunct/>
        <w:autoSpaceDE/>
        <w:autoSpaceDN/>
        <w:adjustRightInd/>
        <w:jc w:val="left"/>
        <w:textAlignment w:val="auto"/>
      </w:pPr>
    </w:p>
    <w:p w:rsidR="00506B7A" w:rsidRPr="00D33B70" w:rsidRDefault="00506B7A">
      <w:pPr>
        <w:overflowPunct/>
        <w:autoSpaceDE/>
        <w:autoSpaceDN/>
        <w:adjustRightInd/>
        <w:jc w:val="left"/>
        <w:textAlignment w:val="auto"/>
      </w:pPr>
    </w:p>
    <w:p w:rsidR="00506B7A" w:rsidRPr="00D33B70" w:rsidRDefault="00506B7A">
      <w:pPr>
        <w:overflowPunct/>
        <w:autoSpaceDE/>
        <w:autoSpaceDN/>
        <w:adjustRightInd/>
        <w:jc w:val="left"/>
        <w:textAlignment w:val="auto"/>
      </w:pPr>
    </w:p>
    <w:p w:rsidR="00506B7A" w:rsidRPr="00D33B70" w:rsidRDefault="00506B7A">
      <w:pPr>
        <w:overflowPunct/>
        <w:autoSpaceDE/>
        <w:autoSpaceDN/>
        <w:adjustRightInd/>
        <w:jc w:val="left"/>
        <w:textAlignment w:val="auto"/>
      </w:pPr>
      <w:r w:rsidRPr="00D33B70">
        <w:br w:type="page"/>
      </w:r>
    </w:p>
    <w:p w:rsidR="00506B7A" w:rsidRPr="00D33B70" w:rsidRDefault="00506B7A" w:rsidP="00430B8C">
      <w:pPr>
        <w:pStyle w:val="Text"/>
      </w:pPr>
    </w:p>
    <w:p w:rsidR="00506B7A" w:rsidRPr="00D33B70" w:rsidRDefault="00506B7A" w:rsidP="00506B7A">
      <w:pPr>
        <w:pStyle w:val="Caption"/>
      </w:pPr>
      <w:bookmarkStart w:id="78" w:name="_Ref316476705"/>
      <w:bookmarkStart w:id="79" w:name="_Toc387308936"/>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3</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4</w:t>
      </w:r>
      <w:r w:rsidR="00FF3C04" w:rsidRPr="00D33B70">
        <w:fldChar w:fldCharType="end"/>
      </w:r>
      <w:bookmarkEnd w:id="78"/>
      <w:r w:rsidRPr="00D33B70">
        <w:tab/>
        <w:t>LiDAR DEM Check</w:t>
      </w:r>
      <w:bookmarkEnd w:id="79"/>
    </w:p>
    <w:p w:rsidR="0054423C" w:rsidRPr="00D33B70" w:rsidRDefault="0054423C" w:rsidP="0054423C">
      <w:pPr>
        <w:pStyle w:val="Text"/>
      </w:pPr>
    </w:p>
    <w:p w:rsidR="00506B7A" w:rsidRPr="00D33B70" w:rsidRDefault="00506B7A" w:rsidP="00430B8C">
      <w:pPr>
        <w:pStyle w:val="Text"/>
      </w:pPr>
    </w:p>
    <w:p w:rsidR="00506B7A" w:rsidRPr="00D33B70" w:rsidRDefault="00506B7A" w:rsidP="00430B8C">
      <w:pPr>
        <w:pStyle w:val="Text"/>
      </w:pPr>
    </w:p>
    <w:p w:rsidR="0046729C" w:rsidRPr="00D33B70" w:rsidRDefault="0046729C" w:rsidP="00430B8C">
      <w:pPr>
        <w:pStyle w:val="Text"/>
        <w:sectPr w:rsidR="0046729C" w:rsidRPr="00D33B70" w:rsidSect="007018E6">
          <w:pgSz w:w="11907" w:h="16840"/>
          <w:pgMar w:top="1418" w:right="1134" w:bottom="1418" w:left="1134" w:header="851" w:footer="828" w:gutter="0"/>
          <w:pgNumType w:start="1" w:chapStyle="1"/>
          <w:cols w:space="720"/>
        </w:sectPr>
      </w:pPr>
    </w:p>
    <w:p w:rsidR="00C62EB2" w:rsidRPr="00D33B70" w:rsidRDefault="00C62EB2" w:rsidP="00430B8C">
      <w:pPr>
        <w:pStyle w:val="Heading1"/>
      </w:pPr>
      <w:bookmarkStart w:id="80" w:name="_Toc387308870"/>
      <w:r w:rsidRPr="00D33B70">
        <w:lastRenderedPageBreak/>
        <w:t>Flood Model Development</w:t>
      </w:r>
      <w:bookmarkEnd w:id="80"/>
    </w:p>
    <w:p w:rsidR="00A83F38" w:rsidRPr="00D33B70" w:rsidRDefault="00C26536" w:rsidP="00B26EF8">
      <w:pPr>
        <w:pStyle w:val="Heading2"/>
      </w:pPr>
      <w:bookmarkStart w:id="81" w:name="_Toc387308871"/>
      <w:r w:rsidRPr="00D33B70">
        <w:t>Hydrologic Modelling</w:t>
      </w:r>
      <w:bookmarkEnd w:id="81"/>
    </w:p>
    <w:p w:rsidR="00A83F38" w:rsidRPr="00D33B70" w:rsidRDefault="00A83F38" w:rsidP="00430B8C">
      <w:pPr>
        <w:pStyle w:val="Text"/>
      </w:pPr>
      <w:r w:rsidRPr="00D33B70">
        <w:t xml:space="preserve">Hydrologic modelling of the study catchment was undertaken using RORB.  A RORB model </w:t>
      </w:r>
      <w:r w:rsidR="006625FD" w:rsidRPr="00D33B70">
        <w:t xml:space="preserve">had previously been developed of the catchment as part of the </w:t>
      </w:r>
      <w:r w:rsidR="00666D38" w:rsidRPr="00D33B70">
        <w:t>Thornhill Road Retarding Basin Assessment</w:t>
      </w:r>
      <w:r w:rsidR="002B1FAA" w:rsidRPr="00D33B70">
        <w:t xml:space="preserve"> (WBM 2004)</w:t>
      </w:r>
      <w:r w:rsidR="00CA4C7A" w:rsidRPr="00D33B70">
        <w:t xml:space="preserve">.  </w:t>
      </w:r>
      <w:r w:rsidR="006625FD" w:rsidRPr="00D33B70">
        <w:t xml:space="preserve">This previously developed RORB model was refined to ensure it could meet the </w:t>
      </w:r>
      <w:r w:rsidR="005D3401" w:rsidRPr="00D33B70">
        <w:t xml:space="preserve">requirements of the current study and subsequently </w:t>
      </w:r>
      <w:r w:rsidR="000B6A8E" w:rsidRPr="00D33B70">
        <w:t>provide</w:t>
      </w:r>
      <w:r w:rsidRPr="00D33B70">
        <w:t xml:space="preserve"> total and sub-area </w:t>
      </w:r>
      <w:r w:rsidR="007E6862" w:rsidRPr="00D33B70">
        <w:t>hydrographs as</w:t>
      </w:r>
      <w:r w:rsidRPr="00D33B70">
        <w:t xml:space="preserve"> boundary conditions for the TUFLOW hydraulic model.  </w:t>
      </w:r>
      <w:r w:rsidR="000B6A8E" w:rsidRPr="00D33B70">
        <w:t>T</w:t>
      </w:r>
      <w:r w:rsidRPr="00D33B70">
        <w:t xml:space="preserve">he RORB modelling process and results </w:t>
      </w:r>
      <w:r w:rsidR="000B6A8E" w:rsidRPr="00D33B70">
        <w:t xml:space="preserve">are </w:t>
      </w:r>
      <w:r w:rsidRPr="00D33B70">
        <w:t xml:space="preserve">discussed in the following sections. </w:t>
      </w:r>
    </w:p>
    <w:p w:rsidR="00B02ADF" w:rsidRPr="00D33B70" w:rsidRDefault="00B02ADF" w:rsidP="00B26EF8">
      <w:pPr>
        <w:pStyle w:val="Heading3"/>
      </w:pPr>
      <w:bookmarkStart w:id="82" w:name="_Toc222768060"/>
      <w:bookmarkStart w:id="83" w:name="_Toc387308872"/>
      <w:r w:rsidRPr="00D33B70">
        <w:t>RORB Model</w:t>
      </w:r>
      <w:bookmarkEnd w:id="82"/>
      <w:bookmarkEnd w:id="83"/>
    </w:p>
    <w:p w:rsidR="00B02ADF" w:rsidRPr="00D33B70" w:rsidRDefault="00B02ADF" w:rsidP="00430B8C">
      <w:pPr>
        <w:pStyle w:val="Text"/>
        <w:ind w:right="-12"/>
      </w:pPr>
      <w:r w:rsidRPr="00D33B70">
        <w:t xml:space="preserve">RORB simulates the linkages between sub-catchments as reach storages with the storage discharge relationship defined by the following equation; </w:t>
      </w:r>
    </w:p>
    <w:p w:rsidR="00B02ADF" w:rsidRPr="00D33B70" w:rsidRDefault="00B02ADF" w:rsidP="00430B8C">
      <w:pPr>
        <w:pStyle w:val="Text"/>
        <w:ind w:right="-12"/>
      </w:pPr>
      <w:r w:rsidRPr="00D33B70">
        <w:tab/>
        <w:t>S = 3600kQ</w:t>
      </w:r>
      <w:r w:rsidRPr="00D33B70">
        <w:rPr>
          <w:vertAlign w:val="superscript"/>
        </w:rPr>
        <w:t>m</w:t>
      </w:r>
      <w:r w:rsidRPr="00D33B70">
        <w:t xml:space="preserve"> </w:t>
      </w:r>
    </w:p>
    <w:p w:rsidR="00B02ADF" w:rsidRPr="00D33B70" w:rsidRDefault="00B02ADF" w:rsidP="00430B8C">
      <w:pPr>
        <w:pStyle w:val="Text"/>
        <w:ind w:right="-12"/>
      </w:pPr>
      <w:r w:rsidRPr="00D33B70">
        <w:t>Where ‘</w:t>
      </w:r>
      <w:r w:rsidR="003F0CF1" w:rsidRPr="00D33B70">
        <w:t>S</w:t>
      </w:r>
      <w:r w:rsidRPr="00D33B70">
        <w:t>’ represents the storage (m</w:t>
      </w:r>
      <w:r w:rsidRPr="00D33B70">
        <w:rPr>
          <w:color w:val="000000"/>
          <w:vertAlign w:val="superscript"/>
        </w:rPr>
        <w:t>3</w:t>
      </w:r>
      <w:r w:rsidRPr="00D33B70">
        <w:t>), ‘Q’ is the discharge (m</w:t>
      </w:r>
      <w:r w:rsidRPr="00D33B70">
        <w:rPr>
          <w:vertAlign w:val="superscript"/>
        </w:rPr>
        <w:t>3</w:t>
      </w:r>
      <w:r w:rsidRPr="00D33B70">
        <w:t>/s), ‘m’ is a dimensionless exponent and ‘k’ is non-dimensional empirical coefficient.  ‘k’ is defined by the product of the catchment value ‘k</w:t>
      </w:r>
      <w:r w:rsidRPr="00D33B70">
        <w:rPr>
          <w:vertAlign w:val="subscript"/>
        </w:rPr>
        <w:t>c'</w:t>
      </w:r>
      <w:r w:rsidRPr="00D33B70">
        <w:t>‘ and the individual reach k</w:t>
      </w:r>
      <w:r w:rsidR="00FD26AB" w:rsidRPr="00D33B70">
        <w:rPr>
          <w:vertAlign w:val="subscript"/>
        </w:rPr>
        <w:t>r</w:t>
      </w:r>
      <w:r w:rsidRPr="00D33B70">
        <w:t>.  Both m and k</w:t>
      </w:r>
      <w:r w:rsidRPr="00D33B70">
        <w:rPr>
          <w:vertAlign w:val="subscript"/>
        </w:rPr>
        <w:t>c</w:t>
      </w:r>
      <w:r w:rsidRPr="00D33B70">
        <w:t xml:space="preserve"> are defined as calibration parameters</w:t>
      </w:r>
      <w:r w:rsidR="00CA4C7A" w:rsidRPr="00D33B70">
        <w:t xml:space="preserve">.  </w:t>
      </w:r>
      <w:r w:rsidRPr="00D33B70">
        <w:t xml:space="preserve">Based on industry best practice, in the absence of calibration events, ‘m’ of 0.8 was adopted. </w:t>
      </w:r>
    </w:p>
    <w:p w:rsidR="00A83F38" w:rsidRPr="00D33B70" w:rsidRDefault="00A83F38" w:rsidP="00B26EF8">
      <w:pPr>
        <w:pStyle w:val="Heading4"/>
      </w:pPr>
      <w:bookmarkStart w:id="84" w:name="_Toc17852177"/>
      <w:bookmarkStart w:id="85" w:name="_Toc54070105"/>
      <w:bookmarkStart w:id="86" w:name="_Toc207788142"/>
      <w:bookmarkStart w:id="87" w:name="_Toc488743039"/>
      <w:bookmarkStart w:id="88" w:name="_Toc17852182"/>
      <w:bookmarkStart w:id="89" w:name="_Toc488743036"/>
      <w:bookmarkStart w:id="90" w:name="_Toc387308873"/>
      <w:r w:rsidRPr="00D33B70">
        <w:t>Model Description</w:t>
      </w:r>
      <w:bookmarkEnd w:id="84"/>
      <w:bookmarkEnd w:id="85"/>
      <w:bookmarkEnd w:id="86"/>
      <w:bookmarkEnd w:id="90"/>
    </w:p>
    <w:p w:rsidR="00A83F38" w:rsidRPr="00D33B70" w:rsidRDefault="00A83F38" w:rsidP="00430B8C">
      <w:pPr>
        <w:pStyle w:val="Text"/>
        <w:ind w:right="-12"/>
      </w:pPr>
      <w:r w:rsidRPr="00D33B70">
        <w:t>The RORB model incorporate</w:t>
      </w:r>
      <w:r w:rsidR="00B019D0" w:rsidRPr="00D33B70">
        <w:t>s</w:t>
      </w:r>
      <w:r w:rsidRPr="00D33B70">
        <w:t xml:space="preserve"> an area of approximately </w:t>
      </w:r>
      <w:r w:rsidR="006022AA" w:rsidRPr="00D33B70">
        <w:t>10.4</w:t>
      </w:r>
      <w:r w:rsidRPr="00D33B70">
        <w:t xml:space="preserve"> square kilometres, including the</w:t>
      </w:r>
      <w:r w:rsidR="00B02ADF" w:rsidRPr="00D33B70">
        <w:t xml:space="preserve"> entire</w:t>
      </w:r>
      <w:r w:rsidRPr="00D33B70">
        <w:t xml:space="preserve"> </w:t>
      </w:r>
      <w:r w:rsidR="006022AA" w:rsidRPr="00D33B70">
        <w:t xml:space="preserve">Highton </w:t>
      </w:r>
      <w:r w:rsidRPr="00D33B70">
        <w:t>study area</w:t>
      </w:r>
      <w:r w:rsidR="00CA4C7A" w:rsidRPr="00D33B70">
        <w:t xml:space="preserve">.  </w:t>
      </w:r>
      <w:r w:rsidRPr="00D33B70">
        <w:t>To ensure accurate representation of the overall catchment</w:t>
      </w:r>
      <w:r w:rsidR="003F0CF1" w:rsidRPr="00D33B70">
        <w:t xml:space="preserve"> and an appropriate </w:t>
      </w:r>
      <w:r w:rsidR="002778AB" w:rsidRPr="00D33B70">
        <w:t>distribution of flows for the hydraulic model</w:t>
      </w:r>
      <w:r w:rsidRPr="00D33B70">
        <w:t>,</w:t>
      </w:r>
      <w:r w:rsidR="003919DD" w:rsidRPr="00D33B70">
        <w:t xml:space="preserve"> the </w:t>
      </w:r>
      <w:r w:rsidR="002778AB" w:rsidRPr="00D33B70">
        <w:t xml:space="preserve">RORB </w:t>
      </w:r>
      <w:r w:rsidR="003919DD" w:rsidRPr="00D33B70">
        <w:t xml:space="preserve">model was divided into </w:t>
      </w:r>
      <w:r w:rsidR="006022AA" w:rsidRPr="00D33B70">
        <w:t>264</w:t>
      </w:r>
      <w:r w:rsidR="003919DD" w:rsidRPr="00D33B70">
        <w:t xml:space="preserve"> individual sub-catchments</w:t>
      </w:r>
      <w:r w:rsidR="00CA4C7A" w:rsidRPr="00D33B70">
        <w:t xml:space="preserve">.  </w:t>
      </w:r>
      <w:r w:rsidR="003919DD" w:rsidRPr="00D33B70">
        <w:t>Conceptual reaches (approximate overland flow paths) were defined and storage relationships were included for the existing retarding basins within the catchment</w:t>
      </w:r>
      <w:r w:rsidR="00CA4C7A" w:rsidRPr="00D33B70">
        <w:t xml:space="preserve">.  </w:t>
      </w:r>
      <w:r w:rsidR="00BB6D01" w:rsidRPr="00D33B70">
        <w:t xml:space="preserve">The schematic RORB layout is shown in </w:t>
      </w:r>
      <w:r w:rsidR="008F1E39" w:rsidRPr="00D33B70">
        <w:fldChar w:fldCharType="begin"/>
      </w:r>
      <w:r w:rsidR="008F1E39" w:rsidRPr="00D33B70">
        <w:instrText xml:space="preserve"> REF _Ref40601808 \h  \* MERGEFORMAT </w:instrText>
      </w:r>
      <w:r w:rsidR="008F1E39" w:rsidRPr="00D33B70">
        <w:fldChar w:fldCharType="separate"/>
      </w:r>
      <w:r w:rsidR="00AC6986" w:rsidRPr="00D33B70">
        <w:t xml:space="preserve">Figure </w:t>
      </w:r>
      <w:r w:rsidR="00AC6986">
        <w:rPr>
          <w:noProof/>
        </w:rPr>
        <w:t>4</w:t>
      </w:r>
      <w:r w:rsidR="00AC6986" w:rsidRPr="00D33B70">
        <w:rPr>
          <w:noProof/>
        </w:rPr>
        <w:noBreakHyphen/>
      </w:r>
      <w:r w:rsidR="00AC6986">
        <w:rPr>
          <w:noProof/>
        </w:rPr>
        <w:t>1</w:t>
      </w:r>
      <w:r w:rsidR="008F1E39" w:rsidRPr="00D33B70">
        <w:fldChar w:fldCharType="end"/>
      </w:r>
      <w:r w:rsidR="002778AB" w:rsidRPr="00D33B70">
        <w:t>.</w:t>
      </w:r>
    </w:p>
    <w:p w:rsidR="00B02ADF" w:rsidRPr="00D33B70" w:rsidRDefault="00325257" w:rsidP="00B26EF8">
      <w:pPr>
        <w:pStyle w:val="Heading4"/>
      </w:pPr>
      <w:bookmarkStart w:id="91" w:name="_Toc54070110"/>
      <w:bookmarkStart w:id="92" w:name="_Toc207788147"/>
      <w:bookmarkStart w:id="93" w:name="_Toc387308874"/>
      <w:r w:rsidRPr="00D33B70">
        <w:t>Sub-Catchment Definition</w:t>
      </w:r>
      <w:bookmarkEnd w:id="91"/>
      <w:bookmarkEnd w:id="92"/>
      <w:bookmarkEnd w:id="93"/>
    </w:p>
    <w:p w:rsidR="00B02ADF" w:rsidRPr="00D33B70" w:rsidRDefault="00BB6D01" w:rsidP="00430B8C">
      <w:pPr>
        <w:pStyle w:val="Text"/>
        <w:ind w:right="-12"/>
      </w:pPr>
      <w:r w:rsidRPr="00D33B70">
        <w:t xml:space="preserve">The </w:t>
      </w:r>
      <w:r w:rsidR="00FE2497" w:rsidRPr="00D33B70">
        <w:t>external catchment boundary was determined using the software package CatchmentSim, whilst the internal</w:t>
      </w:r>
      <w:r w:rsidRPr="00D33B70">
        <w:t xml:space="preserve"> sub-catchment boundaries were determined based on the LiDAR topographic data</w:t>
      </w:r>
      <w:r w:rsidR="00E95A1D" w:rsidRPr="00D33B70">
        <w:t xml:space="preserve"> and photogrammetry</w:t>
      </w:r>
      <w:r w:rsidRPr="00D33B70">
        <w:t xml:space="preserve"> (supplied by CoGG)</w:t>
      </w:r>
      <w:r w:rsidR="00E95A1D" w:rsidRPr="00D33B70">
        <w:t>, CoGG drainage plans and the underground drainage network layout</w:t>
      </w:r>
      <w:r w:rsidR="00CA4C7A" w:rsidRPr="00D33B70">
        <w:t xml:space="preserve">.  </w:t>
      </w:r>
      <w:r w:rsidR="00325257" w:rsidRPr="00D33B70">
        <w:t xml:space="preserve">The sub-catchment breakdown is shown in </w:t>
      </w:r>
      <w:r w:rsidR="008F1E39" w:rsidRPr="00D33B70">
        <w:fldChar w:fldCharType="begin"/>
      </w:r>
      <w:r w:rsidR="008F1E39" w:rsidRPr="00D33B70">
        <w:instrText xml:space="preserve"> REF _Ref40601808 \h  \* MERGEFORMAT </w:instrText>
      </w:r>
      <w:r w:rsidR="008F1E39" w:rsidRPr="00D33B70">
        <w:fldChar w:fldCharType="separate"/>
      </w:r>
      <w:r w:rsidR="00AC6986" w:rsidRPr="00D33B70">
        <w:t xml:space="preserve">Figure </w:t>
      </w:r>
      <w:r w:rsidR="00AC6986">
        <w:rPr>
          <w:noProof/>
        </w:rPr>
        <w:t>4</w:t>
      </w:r>
      <w:r w:rsidR="00AC6986" w:rsidRPr="00D33B70">
        <w:rPr>
          <w:noProof/>
        </w:rPr>
        <w:noBreakHyphen/>
      </w:r>
      <w:r w:rsidR="00AC6986">
        <w:rPr>
          <w:noProof/>
        </w:rPr>
        <w:t>1</w:t>
      </w:r>
      <w:r w:rsidR="008F1E39" w:rsidRPr="00D33B70">
        <w:fldChar w:fldCharType="end"/>
      </w:r>
      <w:r w:rsidR="00325257" w:rsidRPr="00D33B70">
        <w:t>.</w:t>
      </w:r>
      <w:r w:rsidR="00B02ADF" w:rsidRPr="00D33B70">
        <w:t xml:space="preserve">  </w:t>
      </w:r>
    </w:p>
    <w:p w:rsidR="00B02ADF" w:rsidRPr="00D33B70" w:rsidRDefault="00B02ADF" w:rsidP="00430B8C">
      <w:pPr>
        <w:pStyle w:val="Caption"/>
      </w:pPr>
      <w:r w:rsidRPr="00D33B70">
        <w:br w:type="page"/>
      </w:r>
      <w:bookmarkStart w:id="94" w:name="_Ref40601808"/>
      <w:bookmarkStart w:id="95" w:name="_Toc54070181"/>
      <w:bookmarkStart w:id="96" w:name="_Toc207788189"/>
      <w:bookmarkStart w:id="97" w:name="_Toc387308937"/>
      <w:r w:rsidRPr="00D33B70">
        <w:lastRenderedPageBreak/>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4</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1</w:t>
      </w:r>
      <w:r w:rsidR="00FF3C04" w:rsidRPr="00D33B70">
        <w:fldChar w:fldCharType="end"/>
      </w:r>
      <w:bookmarkEnd w:id="94"/>
      <w:r w:rsidRPr="00D33B70">
        <w:tab/>
        <w:t>RORB Catchme</w:t>
      </w:r>
      <w:bookmarkEnd w:id="95"/>
      <w:r w:rsidRPr="00D33B70">
        <w:t>nt Layout</w:t>
      </w:r>
      <w:bookmarkEnd w:id="96"/>
      <w:bookmarkEnd w:id="97"/>
    </w:p>
    <w:p w:rsidR="0046729C" w:rsidRPr="00D33B70" w:rsidRDefault="0046729C" w:rsidP="00430B8C">
      <w:pPr>
        <w:pStyle w:val="Text"/>
      </w:pPr>
    </w:p>
    <w:p w:rsidR="00B02ADF" w:rsidRPr="00D33B70" w:rsidRDefault="00B02ADF" w:rsidP="00430B8C">
      <w:pPr>
        <w:pStyle w:val="Text"/>
      </w:pPr>
    </w:p>
    <w:p w:rsidR="00C62EB2" w:rsidRPr="00D33B70" w:rsidRDefault="00C62EB2" w:rsidP="00430B8C">
      <w:pPr>
        <w:pStyle w:val="Text"/>
      </w:pPr>
    </w:p>
    <w:p w:rsidR="00C62EB2" w:rsidRPr="00D33B70" w:rsidRDefault="00C62EB2" w:rsidP="00430B8C">
      <w:pPr>
        <w:pStyle w:val="Text"/>
      </w:pPr>
    </w:p>
    <w:p w:rsidR="00A83F38" w:rsidRPr="00D33B70" w:rsidRDefault="00B02ADF" w:rsidP="00B26EF8">
      <w:pPr>
        <w:pStyle w:val="Heading4"/>
      </w:pPr>
      <w:r w:rsidRPr="00D33B70">
        <w:br w:type="page"/>
      </w:r>
      <w:bookmarkStart w:id="98" w:name="_Toc207788143"/>
      <w:bookmarkStart w:id="99" w:name="_Toc387308875"/>
      <w:r w:rsidR="00A83F38" w:rsidRPr="00D33B70">
        <w:lastRenderedPageBreak/>
        <w:t>Global Parameters</w:t>
      </w:r>
      <w:bookmarkEnd w:id="98"/>
      <w:bookmarkEnd w:id="99"/>
    </w:p>
    <w:p w:rsidR="00A83F38" w:rsidRPr="00D33B70" w:rsidRDefault="00A83F38" w:rsidP="00430B8C">
      <w:pPr>
        <w:pStyle w:val="Text"/>
        <w:tabs>
          <w:tab w:val="left" w:pos="9627"/>
        </w:tabs>
        <w:ind w:right="-12"/>
      </w:pPr>
      <w:r w:rsidRPr="00D33B70">
        <w:t xml:space="preserve">RORB model parameters for the </w:t>
      </w:r>
      <w:r w:rsidR="006F4862" w:rsidRPr="00D33B70">
        <w:t xml:space="preserve">Kardinia Creek </w:t>
      </w:r>
      <w:r w:rsidRPr="00D33B70">
        <w:t xml:space="preserve">catchment are summarised in </w:t>
      </w:r>
      <w:r w:rsidR="008F1E39" w:rsidRPr="00D33B70">
        <w:fldChar w:fldCharType="begin"/>
      </w:r>
      <w:r w:rsidR="008F1E39" w:rsidRPr="00D33B70">
        <w:instrText xml:space="preserve"> REF _Ref35937053 \h  \* MERGEFORMAT </w:instrText>
      </w:r>
      <w:r w:rsidR="008F1E39" w:rsidRPr="00D33B70">
        <w:fldChar w:fldCharType="separate"/>
      </w:r>
      <w:r w:rsidR="00AC6986" w:rsidRPr="00D33B70">
        <w:t xml:space="preserve">Table </w:t>
      </w:r>
      <w:r w:rsidR="00AC6986">
        <w:rPr>
          <w:noProof/>
        </w:rPr>
        <w:t>4</w:t>
      </w:r>
      <w:r w:rsidR="00AC6986" w:rsidRPr="00D33B70">
        <w:rPr>
          <w:noProof/>
        </w:rPr>
        <w:noBreakHyphen/>
      </w:r>
      <w:r w:rsidR="00AC6986">
        <w:rPr>
          <w:noProof/>
        </w:rPr>
        <w:t>1</w:t>
      </w:r>
      <w:r w:rsidR="008F1E39" w:rsidRPr="00D33B70">
        <w:fldChar w:fldCharType="end"/>
      </w:r>
      <w:r w:rsidRPr="00D33B70">
        <w:t xml:space="preserve"> and are discussed further in Sections </w:t>
      </w:r>
      <w:r w:rsidR="00F21A4E" w:rsidRPr="00D33B70">
        <w:fldChar w:fldCharType="begin"/>
      </w:r>
      <w:r w:rsidRPr="00D33B70">
        <w:instrText xml:space="preserve"> REF _Ref209843828 \r \h </w:instrText>
      </w:r>
      <w:r w:rsidR="00F21A4E" w:rsidRPr="00D33B70">
        <w:fldChar w:fldCharType="separate"/>
      </w:r>
      <w:r w:rsidR="00AC6986">
        <w:t>4.1.1.4</w:t>
      </w:r>
      <w:r w:rsidR="00F21A4E" w:rsidRPr="00D33B70">
        <w:fldChar w:fldCharType="end"/>
      </w:r>
      <w:r w:rsidRPr="00D33B70">
        <w:t xml:space="preserve"> to</w:t>
      </w:r>
      <w:r w:rsidR="000C17C5" w:rsidRPr="00D33B70">
        <w:t xml:space="preserve"> </w:t>
      </w:r>
      <w:r w:rsidR="00F21A4E" w:rsidRPr="00D33B70">
        <w:fldChar w:fldCharType="begin"/>
      </w:r>
      <w:r w:rsidR="000C17C5" w:rsidRPr="00D33B70">
        <w:instrText xml:space="preserve"> REF _Ref254967873 \r \h </w:instrText>
      </w:r>
      <w:r w:rsidR="00F21A4E" w:rsidRPr="00D33B70">
        <w:fldChar w:fldCharType="separate"/>
      </w:r>
      <w:r w:rsidR="00AC6986">
        <w:t>4.1.1.7</w:t>
      </w:r>
      <w:r w:rsidR="00F21A4E" w:rsidRPr="00D33B70">
        <w:fldChar w:fldCharType="end"/>
      </w:r>
      <w:r w:rsidRPr="00D33B70">
        <w:t>.</w:t>
      </w:r>
      <w:bookmarkStart w:id="100" w:name="_Toc488743034"/>
      <w:bookmarkStart w:id="101" w:name="_Toc17852180"/>
      <w:bookmarkStart w:id="102" w:name="_Toc54070108"/>
      <w:r w:rsidRPr="00D33B70">
        <w:t xml:space="preserve"> </w:t>
      </w:r>
    </w:p>
    <w:p w:rsidR="00A83F38" w:rsidRPr="00D33B70" w:rsidRDefault="00325257" w:rsidP="00430B8C">
      <w:pPr>
        <w:pStyle w:val="Caption"/>
        <w:keepNext/>
      </w:pPr>
      <w:bookmarkStart w:id="103" w:name="_Ref35937053"/>
      <w:bookmarkStart w:id="104" w:name="_Toc54070209"/>
      <w:bookmarkStart w:id="105" w:name="_Toc69118839"/>
      <w:bookmarkStart w:id="106" w:name="_Toc207788211"/>
      <w:bookmarkStart w:id="107" w:name="_Toc387308972"/>
      <w:r w:rsidRPr="00D33B70">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4</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1</w:t>
      </w:r>
      <w:r w:rsidR="00FF3C04" w:rsidRPr="00D33B70">
        <w:fldChar w:fldCharType="end"/>
      </w:r>
      <w:bookmarkEnd w:id="103"/>
      <w:r w:rsidRPr="00D33B70">
        <w:tab/>
        <w:t>RORB Parameters</w:t>
      </w:r>
      <w:bookmarkEnd w:id="104"/>
      <w:bookmarkEnd w:id="105"/>
      <w:bookmarkEnd w:id="106"/>
      <w:bookmarkEnd w:id="10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8"/>
        <w:gridCol w:w="3355"/>
      </w:tblGrid>
      <w:tr w:rsidR="00A83F38" w:rsidRPr="00D33B70" w:rsidTr="00D90785">
        <w:trPr>
          <w:cantSplit/>
          <w:trHeight w:val="579"/>
          <w:jc w:val="center"/>
        </w:trPr>
        <w:tc>
          <w:tcPr>
            <w:tcW w:w="3368" w:type="dxa"/>
            <w:shd w:val="pct10" w:color="auto" w:fill="auto"/>
            <w:vAlign w:val="center"/>
          </w:tcPr>
          <w:p w:rsidR="00A83F38" w:rsidRPr="00D33B70" w:rsidRDefault="00A83F38" w:rsidP="00430B8C">
            <w:pPr>
              <w:pStyle w:val="Text"/>
              <w:spacing w:before="0" w:line="240" w:lineRule="auto"/>
              <w:ind w:left="-6"/>
              <w:jc w:val="center"/>
              <w:rPr>
                <w:b/>
              </w:rPr>
            </w:pPr>
            <w:r w:rsidRPr="00D33B70">
              <w:rPr>
                <w:b/>
              </w:rPr>
              <w:t>RORB Parameter</w:t>
            </w:r>
          </w:p>
        </w:tc>
        <w:tc>
          <w:tcPr>
            <w:tcW w:w="3355" w:type="dxa"/>
            <w:shd w:val="pct10" w:color="auto" w:fill="auto"/>
            <w:vAlign w:val="center"/>
          </w:tcPr>
          <w:p w:rsidR="00A83F38" w:rsidRPr="00D33B70" w:rsidRDefault="00A83F38" w:rsidP="00430B8C">
            <w:pPr>
              <w:pStyle w:val="Text"/>
              <w:spacing w:before="0" w:line="240" w:lineRule="auto"/>
              <w:ind w:left="-6"/>
              <w:jc w:val="center"/>
              <w:rPr>
                <w:b/>
              </w:rPr>
            </w:pPr>
            <w:r w:rsidRPr="00D33B70">
              <w:rPr>
                <w:b/>
              </w:rPr>
              <w:t>Value</w:t>
            </w:r>
          </w:p>
        </w:tc>
      </w:tr>
      <w:tr w:rsidR="00A83F38" w:rsidRPr="00D33B70">
        <w:trPr>
          <w:cantSplit/>
          <w:jc w:val="center"/>
        </w:trPr>
        <w:tc>
          <w:tcPr>
            <w:tcW w:w="3368" w:type="dxa"/>
            <w:vAlign w:val="center"/>
          </w:tcPr>
          <w:p w:rsidR="00A83F38" w:rsidRPr="00D33B70" w:rsidRDefault="00A83F38" w:rsidP="00430B8C">
            <w:pPr>
              <w:pStyle w:val="Text"/>
              <w:spacing w:before="40" w:after="40" w:line="240" w:lineRule="auto"/>
              <w:ind w:left="23"/>
              <w:jc w:val="left"/>
            </w:pPr>
            <w:r w:rsidRPr="00D33B70">
              <w:t>Storm Data</w:t>
            </w:r>
          </w:p>
        </w:tc>
        <w:tc>
          <w:tcPr>
            <w:tcW w:w="3355" w:type="dxa"/>
            <w:vAlign w:val="center"/>
          </w:tcPr>
          <w:p w:rsidR="00A83F38" w:rsidRPr="00D33B70" w:rsidRDefault="006022AA" w:rsidP="00430B8C">
            <w:pPr>
              <w:pStyle w:val="Text"/>
              <w:spacing w:before="40" w:after="40" w:line="240" w:lineRule="auto"/>
              <w:ind w:left="-67"/>
              <w:jc w:val="center"/>
            </w:pPr>
            <w:r w:rsidRPr="00D33B70">
              <w:t>Highton</w:t>
            </w:r>
          </w:p>
        </w:tc>
      </w:tr>
      <w:tr w:rsidR="00A83F38" w:rsidRPr="00D33B70">
        <w:trPr>
          <w:cantSplit/>
          <w:jc w:val="center"/>
        </w:trPr>
        <w:tc>
          <w:tcPr>
            <w:tcW w:w="3368" w:type="dxa"/>
            <w:vAlign w:val="center"/>
          </w:tcPr>
          <w:p w:rsidR="00A83F38" w:rsidRPr="00D33B70" w:rsidRDefault="00A83F38" w:rsidP="00430B8C">
            <w:pPr>
              <w:pStyle w:val="Text"/>
              <w:spacing w:before="40" w:after="40" w:line="240" w:lineRule="auto"/>
              <w:ind w:left="23"/>
              <w:jc w:val="left"/>
            </w:pPr>
            <w:r w:rsidRPr="00D33B70">
              <w:t>Catchment Area</w:t>
            </w:r>
          </w:p>
        </w:tc>
        <w:tc>
          <w:tcPr>
            <w:tcW w:w="3355" w:type="dxa"/>
            <w:vAlign w:val="center"/>
          </w:tcPr>
          <w:p w:rsidR="00A83F38" w:rsidRPr="00D33B70" w:rsidRDefault="003919DD" w:rsidP="00430B8C">
            <w:pPr>
              <w:pStyle w:val="Text"/>
              <w:spacing w:before="40" w:after="40" w:line="240" w:lineRule="auto"/>
              <w:ind w:left="-67"/>
              <w:jc w:val="center"/>
              <w:rPr>
                <w:vertAlign w:val="superscript"/>
              </w:rPr>
            </w:pPr>
            <w:r w:rsidRPr="00D33B70">
              <w:t>1</w:t>
            </w:r>
            <w:r w:rsidR="006022AA" w:rsidRPr="00D33B70">
              <w:t>0</w:t>
            </w:r>
            <w:r w:rsidRPr="00D33B70">
              <w:t>.</w:t>
            </w:r>
            <w:r w:rsidR="006022AA" w:rsidRPr="00D33B70">
              <w:t>4</w:t>
            </w:r>
            <w:r w:rsidR="00A83F38" w:rsidRPr="00D33B70">
              <w:t xml:space="preserve"> km</w:t>
            </w:r>
            <w:r w:rsidR="00A83F38" w:rsidRPr="00D33B70">
              <w:rPr>
                <w:vertAlign w:val="superscript"/>
              </w:rPr>
              <w:t>2</w:t>
            </w:r>
          </w:p>
        </w:tc>
      </w:tr>
      <w:tr w:rsidR="00A83F38" w:rsidRPr="00D33B70">
        <w:trPr>
          <w:cantSplit/>
          <w:jc w:val="center"/>
        </w:trPr>
        <w:tc>
          <w:tcPr>
            <w:tcW w:w="3368" w:type="dxa"/>
            <w:vAlign w:val="center"/>
          </w:tcPr>
          <w:p w:rsidR="00A83F38" w:rsidRPr="00D33B70" w:rsidRDefault="00A83F38" w:rsidP="00430B8C">
            <w:pPr>
              <w:pStyle w:val="Text"/>
              <w:spacing w:before="40" w:after="40" w:line="240" w:lineRule="auto"/>
              <w:ind w:left="23"/>
              <w:jc w:val="left"/>
            </w:pPr>
            <w:r w:rsidRPr="00D33B70">
              <w:t>Initial Loss</w:t>
            </w:r>
          </w:p>
        </w:tc>
        <w:tc>
          <w:tcPr>
            <w:tcW w:w="3355" w:type="dxa"/>
            <w:vAlign w:val="center"/>
          </w:tcPr>
          <w:p w:rsidR="00A83F38" w:rsidRPr="00D33B70" w:rsidRDefault="00A83F38" w:rsidP="00430B8C">
            <w:pPr>
              <w:pStyle w:val="Text"/>
              <w:spacing w:before="40" w:after="40" w:line="240" w:lineRule="auto"/>
              <w:ind w:left="-67"/>
              <w:jc w:val="center"/>
            </w:pPr>
            <w:r w:rsidRPr="00D33B70">
              <w:t>1</w:t>
            </w:r>
            <w:r w:rsidR="003919DD" w:rsidRPr="00D33B70">
              <w:t>5</w:t>
            </w:r>
            <w:r w:rsidRPr="00D33B70">
              <w:t>.0 mm</w:t>
            </w:r>
          </w:p>
        </w:tc>
      </w:tr>
      <w:tr w:rsidR="00A83F38" w:rsidRPr="00D33B70">
        <w:trPr>
          <w:cantSplit/>
          <w:jc w:val="center"/>
        </w:trPr>
        <w:tc>
          <w:tcPr>
            <w:tcW w:w="3368" w:type="dxa"/>
            <w:vAlign w:val="center"/>
          </w:tcPr>
          <w:p w:rsidR="00A83F38" w:rsidRPr="00D33B70" w:rsidRDefault="003919DD" w:rsidP="00430B8C">
            <w:pPr>
              <w:pStyle w:val="Text"/>
              <w:spacing w:before="40" w:after="40" w:line="240" w:lineRule="auto"/>
              <w:ind w:left="23"/>
              <w:jc w:val="left"/>
            </w:pPr>
            <w:r w:rsidRPr="00D33B70">
              <w:t>Volumetric Runoff Coefficient</w:t>
            </w:r>
          </w:p>
        </w:tc>
        <w:tc>
          <w:tcPr>
            <w:tcW w:w="3355" w:type="dxa"/>
            <w:vAlign w:val="center"/>
          </w:tcPr>
          <w:p w:rsidR="00A83F38" w:rsidRPr="00D33B70" w:rsidRDefault="003919DD" w:rsidP="00430B8C">
            <w:pPr>
              <w:pStyle w:val="Text"/>
              <w:spacing w:before="40" w:after="40" w:line="240" w:lineRule="auto"/>
              <w:ind w:left="-67"/>
              <w:jc w:val="center"/>
            </w:pPr>
            <w:r w:rsidRPr="00D33B70">
              <w:t xml:space="preserve">Varies (refer to </w:t>
            </w:r>
            <w:r w:rsidR="00F21A4E" w:rsidRPr="00D33B70">
              <w:fldChar w:fldCharType="begin"/>
            </w:r>
            <w:r w:rsidRPr="00D33B70">
              <w:instrText xml:space="preserve"> REF _Ref254186504 \r \h </w:instrText>
            </w:r>
            <w:r w:rsidR="00F21A4E" w:rsidRPr="00D33B70">
              <w:fldChar w:fldCharType="separate"/>
            </w:r>
            <w:r w:rsidR="00AC6986">
              <w:t>4.1.1.4</w:t>
            </w:r>
            <w:r w:rsidR="00F21A4E" w:rsidRPr="00D33B70">
              <w:fldChar w:fldCharType="end"/>
            </w:r>
            <w:r w:rsidRPr="00D33B70">
              <w:t>)</w:t>
            </w:r>
          </w:p>
        </w:tc>
      </w:tr>
      <w:tr w:rsidR="00A83F38" w:rsidRPr="00D33B70">
        <w:trPr>
          <w:cantSplit/>
          <w:jc w:val="center"/>
        </w:trPr>
        <w:tc>
          <w:tcPr>
            <w:tcW w:w="3368" w:type="dxa"/>
            <w:vAlign w:val="center"/>
          </w:tcPr>
          <w:p w:rsidR="00A83F38" w:rsidRPr="00D33B70" w:rsidRDefault="00A83F38" w:rsidP="00430B8C">
            <w:pPr>
              <w:pStyle w:val="Text"/>
              <w:spacing w:before="40" w:after="40" w:line="240" w:lineRule="auto"/>
              <w:ind w:left="23"/>
              <w:jc w:val="left"/>
            </w:pPr>
            <w:r w:rsidRPr="00D33B70">
              <w:t>m</w:t>
            </w:r>
          </w:p>
        </w:tc>
        <w:tc>
          <w:tcPr>
            <w:tcW w:w="3355" w:type="dxa"/>
            <w:vAlign w:val="center"/>
          </w:tcPr>
          <w:p w:rsidR="00A83F38" w:rsidRPr="00D33B70" w:rsidRDefault="00A83F38" w:rsidP="00430B8C">
            <w:pPr>
              <w:pStyle w:val="Text"/>
              <w:spacing w:before="40" w:after="40" w:line="240" w:lineRule="auto"/>
              <w:ind w:left="23"/>
              <w:jc w:val="center"/>
            </w:pPr>
            <w:r w:rsidRPr="00D33B70">
              <w:t>0.80</w:t>
            </w:r>
          </w:p>
        </w:tc>
      </w:tr>
      <w:tr w:rsidR="00A83F38" w:rsidRPr="00D33B70">
        <w:trPr>
          <w:cantSplit/>
          <w:jc w:val="center"/>
        </w:trPr>
        <w:tc>
          <w:tcPr>
            <w:tcW w:w="3368" w:type="dxa"/>
            <w:vAlign w:val="center"/>
          </w:tcPr>
          <w:p w:rsidR="00A83F38" w:rsidRPr="00D33B70" w:rsidRDefault="00A83F38" w:rsidP="00430B8C">
            <w:pPr>
              <w:pStyle w:val="Text"/>
              <w:spacing w:before="40" w:after="40" w:line="240" w:lineRule="auto"/>
              <w:ind w:left="23"/>
              <w:jc w:val="left"/>
              <w:rPr>
                <w:vertAlign w:val="subscript"/>
              </w:rPr>
            </w:pPr>
            <w:r w:rsidRPr="00D33B70">
              <w:t>k</w:t>
            </w:r>
            <w:r w:rsidRPr="00D33B70">
              <w:rPr>
                <w:vertAlign w:val="subscript"/>
              </w:rPr>
              <w:t>c</w:t>
            </w:r>
          </w:p>
        </w:tc>
        <w:tc>
          <w:tcPr>
            <w:tcW w:w="3355" w:type="dxa"/>
            <w:vAlign w:val="center"/>
          </w:tcPr>
          <w:p w:rsidR="00A83F38" w:rsidRPr="00D33B70" w:rsidRDefault="00626C6C" w:rsidP="00430B8C">
            <w:pPr>
              <w:pStyle w:val="Text"/>
              <w:spacing w:before="40" w:after="40" w:line="240" w:lineRule="auto"/>
              <w:ind w:left="23"/>
              <w:jc w:val="center"/>
            </w:pPr>
            <w:r w:rsidRPr="00D33B70">
              <w:t>4.9</w:t>
            </w:r>
            <w:r w:rsidR="00CB5B67" w:rsidRPr="00D33B70">
              <w:t>4</w:t>
            </w:r>
          </w:p>
        </w:tc>
      </w:tr>
      <w:tr w:rsidR="00A83F38" w:rsidRPr="00D33B70">
        <w:trPr>
          <w:cantSplit/>
          <w:jc w:val="center"/>
        </w:trPr>
        <w:tc>
          <w:tcPr>
            <w:tcW w:w="3368" w:type="dxa"/>
            <w:vAlign w:val="center"/>
          </w:tcPr>
          <w:p w:rsidR="00A83F38" w:rsidRPr="00D33B70" w:rsidRDefault="00A83F38" w:rsidP="00430B8C">
            <w:pPr>
              <w:pStyle w:val="Text"/>
              <w:spacing w:before="40" w:after="40" w:line="240" w:lineRule="auto"/>
              <w:ind w:left="23"/>
              <w:jc w:val="left"/>
            </w:pPr>
            <w:r w:rsidRPr="00D33B70">
              <w:t>Fraction Impervious</w:t>
            </w:r>
          </w:p>
        </w:tc>
        <w:tc>
          <w:tcPr>
            <w:tcW w:w="3355" w:type="dxa"/>
            <w:vAlign w:val="center"/>
          </w:tcPr>
          <w:p w:rsidR="00A83F38" w:rsidRPr="00D33B70" w:rsidRDefault="00A83F38" w:rsidP="00430B8C">
            <w:pPr>
              <w:pStyle w:val="Text"/>
              <w:spacing w:before="40" w:after="40" w:line="240" w:lineRule="auto"/>
              <w:ind w:left="23"/>
              <w:jc w:val="center"/>
            </w:pPr>
            <w:r w:rsidRPr="00D33B70">
              <w:t>Varies, as per land use (</w:t>
            </w:r>
            <w:r w:rsidR="00F21A4E" w:rsidRPr="00D33B70">
              <w:fldChar w:fldCharType="begin"/>
            </w:r>
            <w:r w:rsidRPr="00D33B70">
              <w:instrText xml:space="preserve"> REF _Ref204573885 \h </w:instrText>
            </w:r>
            <w:r w:rsidR="00F21A4E" w:rsidRPr="00D33B70">
              <w:fldChar w:fldCharType="separate"/>
            </w:r>
            <w:r w:rsidR="00AC6986" w:rsidRPr="00D33B70">
              <w:t xml:space="preserve">Table </w:t>
            </w:r>
            <w:r w:rsidR="00AC6986">
              <w:rPr>
                <w:noProof/>
              </w:rPr>
              <w:t>4</w:t>
            </w:r>
            <w:r w:rsidR="00AC6986" w:rsidRPr="00D33B70">
              <w:noBreakHyphen/>
            </w:r>
            <w:r w:rsidR="00AC6986">
              <w:rPr>
                <w:noProof/>
              </w:rPr>
              <w:t>4</w:t>
            </w:r>
            <w:r w:rsidR="00F21A4E" w:rsidRPr="00D33B70">
              <w:fldChar w:fldCharType="end"/>
            </w:r>
            <w:r w:rsidRPr="00D33B70">
              <w:t>)</w:t>
            </w:r>
          </w:p>
        </w:tc>
      </w:tr>
      <w:tr w:rsidR="00A83F38" w:rsidRPr="00D33B70">
        <w:trPr>
          <w:cantSplit/>
          <w:jc w:val="center"/>
        </w:trPr>
        <w:tc>
          <w:tcPr>
            <w:tcW w:w="3368" w:type="dxa"/>
            <w:vAlign w:val="center"/>
          </w:tcPr>
          <w:p w:rsidR="00A83F38" w:rsidRPr="00D33B70" w:rsidRDefault="00325257" w:rsidP="00430B8C">
            <w:pPr>
              <w:pStyle w:val="Text"/>
              <w:spacing w:before="40" w:after="40" w:line="240" w:lineRule="auto"/>
              <w:ind w:left="23"/>
              <w:jc w:val="left"/>
            </w:pPr>
            <w:r w:rsidRPr="00D33B70">
              <w:t>Reach Type</w:t>
            </w:r>
            <w:r w:rsidR="00B019D0" w:rsidRPr="00D33B70">
              <w:t>s</w:t>
            </w:r>
          </w:p>
        </w:tc>
        <w:tc>
          <w:tcPr>
            <w:tcW w:w="3355" w:type="dxa"/>
            <w:vAlign w:val="center"/>
          </w:tcPr>
          <w:p w:rsidR="00A83F38" w:rsidRPr="00D33B70" w:rsidRDefault="00325257" w:rsidP="00430B8C">
            <w:pPr>
              <w:pStyle w:val="Text"/>
              <w:spacing w:before="40" w:after="40" w:line="240" w:lineRule="auto"/>
              <w:ind w:left="23"/>
              <w:jc w:val="center"/>
            </w:pPr>
            <w:r w:rsidRPr="00D33B70">
              <w:t xml:space="preserve">Type </w:t>
            </w:r>
            <w:r w:rsidR="00447376" w:rsidRPr="00D33B70">
              <w:t xml:space="preserve">1, </w:t>
            </w:r>
            <w:r w:rsidRPr="00D33B70">
              <w:t>2</w:t>
            </w:r>
            <w:r w:rsidR="00B019D0" w:rsidRPr="00D33B70">
              <w:t>, 3 and 4</w:t>
            </w:r>
          </w:p>
        </w:tc>
      </w:tr>
    </w:tbl>
    <w:p w:rsidR="00B02ADF" w:rsidRPr="00D33B70" w:rsidRDefault="00B02ADF" w:rsidP="00B26EF8">
      <w:pPr>
        <w:pStyle w:val="Heading4"/>
      </w:pPr>
      <w:bookmarkStart w:id="108" w:name="_Toc217446168"/>
      <w:bookmarkStart w:id="109" w:name="_Toc222768064"/>
      <w:bookmarkStart w:id="110" w:name="_Toc488743033"/>
      <w:bookmarkStart w:id="111" w:name="_Toc17852179"/>
      <w:bookmarkStart w:id="112" w:name="_Ref31618511"/>
      <w:bookmarkStart w:id="113" w:name="_Ref35648109"/>
      <w:bookmarkStart w:id="114" w:name="_Toc54070107"/>
      <w:bookmarkStart w:id="115" w:name="_Toc69118733"/>
      <w:bookmarkStart w:id="116" w:name="_Ref207608826"/>
      <w:bookmarkStart w:id="117" w:name="_Toc207788144"/>
      <w:bookmarkStart w:id="118" w:name="_Ref209843828"/>
      <w:bookmarkStart w:id="119" w:name="_Ref254186504"/>
      <w:bookmarkStart w:id="120" w:name="_Toc387308876"/>
      <w:r w:rsidRPr="00D33B70">
        <w:t>IFD Parameters</w:t>
      </w:r>
      <w:bookmarkEnd w:id="108"/>
      <w:bookmarkEnd w:id="109"/>
      <w:bookmarkEnd w:id="120"/>
    </w:p>
    <w:p w:rsidR="00B02ADF" w:rsidRPr="00D33B70" w:rsidRDefault="00B02ADF" w:rsidP="00430B8C">
      <w:pPr>
        <w:pStyle w:val="Text"/>
      </w:pPr>
      <w:r w:rsidRPr="00D33B70">
        <w:t>Storm data was based on IFD parameters sourced from the Bureau of Meteorology</w:t>
      </w:r>
      <w:r w:rsidR="001C3A4A" w:rsidRPr="00D33B70">
        <w:t>,</w:t>
      </w:r>
      <w:r w:rsidRPr="00D33B70">
        <w:t xml:space="preserve"> which are based on Figures 1.8 to 6.8 and 7d to 9 of Australian Rainfall and Runoff (AR&amp;R) Volume 2</w:t>
      </w:r>
      <w:r w:rsidR="00CA4C7A" w:rsidRPr="00D33B70">
        <w:t xml:space="preserve">.  </w:t>
      </w:r>
      <w:r w:rsidRPr="00D33B70">
        <w:t xml:space="preserve">The adopted values for the catchment are presented in </w:t>
      </w:r>
      <w:r w:rsidR="00F21A4E" w:rsidRPr="00D33B70">
        <w:fldChar w:fldCharType="begin"/>
      </w:r>
      <w:r w:rsidRPr="00D33B70">
        <w:instrText xml:space="preserve"> REF _Ref217459285 \h </w:instrText>
      </w:r>
      <w:r w:rsidR="00F21A4E" w:rsidRPr="00D33B70">
        <w:fldChar w:fldCharType="separate"/>
      </w:r>
      <w:r w:rsidR="00AC6986" w:rsidRPr="00D33B70">
        <w:t xml:space="preserve">Table </w:t>
      </w:r>
      <w:r w:rsidR="00AC6986">
        <w:rPr>
          <w:noProof/>
        </w:rPr>
        <w:t>4</w:t>
      </w:r>
      <w:r w:rsidR="00AC6986" w:rsidRPr="00D33B70">
        <w:noBreakHyphen/>
      </w:r>
      <w:r w:rsidR="00AC6986">
        <w:rPr>
          <w:noProof/>
        </w:rPr>
        <w:t>2</w:t>
      </w:r>
      <w:r w:rsidR="00F21A4E" w:rsidRPr="00D33B70">
        <w:fldChar w:fldCharType="end"/>
      </w:r>
      <w:r w:rsidRPr="00D33B70">
        <w:t>.</w:t>
      </w:r>
    </w:p>
    <w:p w:rsidR="00B02ADF" w:rsidRPr="00D33B70" w:rsidRDefault="00B02ADF" w:rsidP="00430B8C">
      <w:pPr>
        <w:pStyle w:val="Caption"/>
      </w:pPr>
      <w:bookmarkStart w:id="121" w:name="_Ref217445879"/>
      <w:bookmarkStart w:id="122" w:name="_Ref217459285"/>
      <w:bookmarkStart w:id="123" w:name="_Toc217446200"/>
      <w:bookmarkStart w:id="124" w:name="_Toc222571334"/>
      <w:bookmarkStart w:id="125" w:name="_Toc387308973"/>
      <w:r w:rsidRPr="00D33B70">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4</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2</w:t>
      </w:r>
      <w:r w:rsidR="00FF3C04" w:rsidRPr="00D33B70">
        <w:fldChar w:fldCharType="end"/>
      </w:r>
      <w:bookmarkEnd w:id="121"/>
      <w:bookmarkEnd w:id="122"/>
      <w:r w:rsidR="00430B8C" w:rsidRPr="00D33B70">
        <w:tab/>
      </w:r>
      <w:r w:rsidRPr="00D33B70">
        <w:t>IFD Parameters</w:t>
      </w:r>
      <w:bookmarkEnd w:id="123"/>
      <w:bookmarkEnd w:id="124"/>
      <w:bookmarkEnd w:id="125"/>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
        <w:gridCol w:w="3761"/>
        <w:gridCol w:w="4291"/>
      </w:tblGrid>
      <w:tr w:rsidR="00B02ADF" w:rsidRPr="00D33B70" w:rsidTr="00D90785">
        <w:trPr>
          <w:cantSplit/>
          <w:tblHeader/>
        </w:trPr>
        <w:tc>
          <w:tcPr>
            <w:tcW w:w="4497" w:type="dxa"/>
            <w:gridSpan w:val="2"/>
            <w:shd w:val="pct10" w:color="auto" w:fill="FFFFFF" w:themeFill="background1"/>
          </w:tcPr>
          <w:p w:rsidR="00B02ADF" w:rsidRPr="00D33B70" w:rsidRDefault="00B02ADF" w:rsidP="00430B8C">
            <w:pPr>
              <w:pStyle w:val="Text"/>
              <w:spacing w:before="100" w:after="100"/>
              <w:ind w:left="0"/>
              <w:jc w:val="center"/>
              <w:rPr>
                <w:b/>
                <w:bCs/>
                <w:highlight w:val="yellow"/>
              </w:rPr>
            </w:pPr>
            <w:r w:rsidRPr="00D33B70">
              <w:rPr>
                <w:b/>
                <w:bCs/>
              </w:rPr>
              <w:t>IFD Parameter</w:t>
            </w:r>
          </w:p>
        </w:tc>
        <w:tc>
          <w:tcPr>
            <w:tcW w:w="4291" w:type="dxa"/>
            <w:shd w:val="pct10" w:color="auto" w:fill="FFFFFF" w:themeFill="background1"/>
            <w:vAlign w:val="center"/>
          </w:tcPr>
          <w:p w:rsidR="00B02ADF" w:rsidRPr="00D33B70" w:rsidRDefault="00B02ADF" w:rsidP="00430B8C">
            <w:pPr>
              <w:pStyle w:val="Text"/>
              <w:spacing w:before="100" w:after="100"/>
              <w:ind w:left="0"/>
              <w:jc w:val="center"/>
              <w:rPr>
                <w:b/>
                <w:bCs/>
              </w:rPr>
            </w:pPr>
            <w:r w:rsidRPr="00D33B70">
              <w:rPr>
                <w:b/>
                <w:bCs/>
              </w:rPr>
              <w:t>Adopted Value</w:t>
            </w:r>
          </w:p>
        </w:tc>
      </w:tr>
      <w:tr w:rsidR="00B02ADF" w:rsidRPr="00D33B70" w:rsidTr="00B02ADF">
        <w:trPr>
          <w:cantSplit/>
        </w:trPr>
        <w:tc>
          <w:tcPr>
            <w:tcW w:w="736" w:type="dxa"/>
            <w:vMerge w:val="restart"/>
            <w:textDirection w:val="btLr"/>
          </w:tcPr>
          <w:p w:rsidR="00B02ADF" w:rsidRPr="00D33B70" w:rsidRDefault="00B02ADF" w:rsidP="00430B8C">
            <w:pPr>
              <w:pStyle w:val="Text"/>
              <w:spacing w:before="100" w:after="100"/>
              <w:ind w:left="113" w:right="113"/>
              <w:jc w:val="center"/>
            </w:pPr>
            <w:r w:rsidRPr="00D33B70">
              <w:t>Rainfall Intensity (mm/hr)</w:t>
            </w:r>
          </w:p>
        </w:tc>
        <w:tc>
          <w:tcPr>
            <w:tcW w:w="3761" w:type="dxa"/>
            <w:vAlign w:val="center"/>
          </w:tcPr>
          <w:p w:rsidR="00B02ADF" w:rsidRPr="00D33B70" w:rsidRDefault="00B02ADF" w:rsidP="00430B8C">
            <w:pPr>
              <w:pStyle w:val="Text"/>
              <w:spacing w:before="100" w:after="100"/>
              <w:ind w:left="0"/>
              <w:jc w:val="center"/>
            </w:pPr>
            <w:r w:rsidRPr="00D33B70">
              <w:t>2 Year ARI, 1 Hour Duration</w:t>
            </w:r>
          </w:p>
        </w:tc>
        <w:tc>
          <w:tcPr>
            <w:tcW w:w="4291" w:type="dxa"/>
            <w:vAlign w:val="center"/>
          </w:tcPr>
          <w:p w:rsidR="00B02ADF" w:rsidRPr="00D33B70" w:rsidRDefault="006022AA" w:rsidP="00430B8C">
            <w:pPr>
              <w:pStyle w:val="Text"/>
              <w:spacing w:before="100" w:after="100"/>
              <w:jc w:val="center"/>
            </w:pPr>
            <w:r w:rsidRPr="00D33B70">
              <w:t>17.97</w:t>
            </w:r>
          </w:p>
        </w:tc>
      </w:tr>
      <w:tr w:rsidR="00B02ADF" w:rsidRPr="00D33B70" w:rsidTr="00B02ADF">
        <w:trPr>
          <w:cantSplit/>
        </w:trPr>
        <w:tc>
          <w:tcPr>
            <w:tcW w:w="736" w:type="dxa"/>
            <w:vMerge/>
          </w:tcPr>
          <w:p w:rsidR="00B02ADF" w:rsidRPr="00D33B70" w:rsidRDefault="00B02ADF" w:rsidP="00430B8C">
            <w:pPr>
              <w:pStyle w:val="Text"/>
              <w:spacing w:before="100" w:after="100"/>
              <w:jc w:val="center"/>
            </w:pPr>
          </w:p>
        </w:tc>
        <w:tc>
          <w:tcPr>
            <w:tcW w:w="3761" w:type="dxa"/>
            <w:vAlign w:val="center"/>
          </w:tcPr>
          <w:p w:rsidR="00B02ADF" w:rsidRPr="00D33B70" w:rsidRDefault="00B02ADF" w:rsidP="00430B8C">
            <w:pPr>
              <w:pStyle w:val="Text"/>
              <w:spacing w:before="100" w:after="100"/>
              <w:ind w:left="0"/>
              <w:jc w:val="center"/>
            </w:pPr>
            <w:r w:rsidRPr="00D33B70">
              <w:t>2 Year ARI, 12 Hour Duration</w:t>
            </w:r>
          </w:p>
        </w:tc>
        <w:tc>
          <w:tcPr>
            <w:tcW w:w="4291" w:type="dxa"/>
            <w:vAlign w:val="center"/>
          </w:tcPr>
          <w:p w:rsidR="00B02ADF" w:rsidRPr="00D33B70" w:rsidRDefault="006022AA" w:rsidP="00430B8C">
            <w:pPr>
              <w:pStyle w:val="Text"/>
              <w:spacing w:before="100" w:after="100"/>
              <w:jc w:val="center"/>
            </w:pPr>
            <w:r w:rsidRPr="00D33B70">
              <w:t>3.</w:t>
            </w:r>
            <w:r w:rsidR="00CC41A8" w:rsidRPr="00D33B70">
              <w:t>25</w:t>
            </w:r>
          </w:p>
        </w:tc>
      </w:tr>
      <w:tr w:rsidR="00B02ADF" w:rsidRPr="00D33B70" w:rsidTr="00B02ADF">
        <w:trPr>
          <w:cantSplit/>
        </w:trPr>
        <w:tc>
          <w:tcPr>
            <w:tcW w:w="736" w:type="dxa"/>
            <w:vMerge/>
          </w:tcPr>
          <w:p w:rsidR="00B02ADF" w:rsidRPr="00D33B70" w:rsidRDefault="00B02ADF" w:rsidP="00430B8C">
            <w:pPr>
              <w:pStyle w:val="Text"/>
              <w:spacing w:before="100" w:after="100"/>
              <w:jc w:val="center"/>
            </w:pPr>
          </w:p>
        </w:tc>
        <w:tc>
          <w:tcPr>
            <w:tcW w:w="3761" w:type="dxa"/>
            <w:vAlign w:val="center"/>
          </w:tcPr>
          <w:p w:rsidR="00B02ADF" w:rsidRPr="00D33B70" w:rsidRDefault="00B02ADF" w:rsidP="00430B8C">
            <w:pPr>
              <w:pStyle w:val="Text"/>
              <w:spacing w:before="100" w:after="100"/>
              <w:ind w:left="0"/>
              <w:jc w:val="center"/>
            </w:pPr>
            <w:r w:rsidRPr="00D33B70">
              <w:t>2 Year ARI, 72 Hour Duration</w:t>
            </w:r>
          </w:p>
        </w:tc>
        <w:tc>
          <w:tcPr>
            <w:tcW w:w="4291" w:type="dxa"/>
            <w:vAlign w:val="center"/>
          </w:tcPr>
          <w:p w:rsidR="00B02ADF" w:rsidRPr="00D33B70" w:rsidRDefault="006022AA" w:rsidP="00430B8C">
            <w:pPr>
              <w:pStyle w:val="Text"/>
              <w:spacing w:before="100" w:after="100"/>
              <w:jc w:val="center"/>
            </w:pPr>
            <w:r w:rsidRPr="00D33B70">
              <w:t>0.</w:t>
            </w:r>
            <w:r w:rsidR="00CC41A8" w:rsidRPr="00D33B70">
              <w:t>89</w:t>
            </w:r>
          </w:p>
        </w:tc>
      </w:tr>
      <w:tr w:rsidR="00B02ADF" w:rsidRPr="00D33B70" w:rsidTr="00B02ADF">
        <w:trPr>
          <w:cantSplit/>
        </w:trPr>
        <w:tc>
          <w:tcPr>
            <w:tcW w:w="736" w:type="dxa"/>
            <w:vMerge/>
          </w:tcPr>
          <w:p w:rsidR="00B02ADF" w:rsidRPr="00D33B70" w:rsidRDefault="00B02ADF" w:rsidP="00430B8C">
            <w:pPr>
              <w:pStyle w:val="Text"/>
              <w:spacing w:before="100" w:after="100"/>
              <w:jc w:val="center"/>
            </w:pPr>
          </w:p>
        </w:tc>
        <w:tc>
          <w:tcPr>
            <w:tcW w:w="3761" w:type="dxa"/>
            <w:vAlign w:val="center"/>
          </w:tcPr>
          <w:p w:rsidR="00B02ADF" w:rsidRPr="00D33B70" w:rsidRDefault="00B02ADF" w:rsidP="00430B8C">
            <w:pPr>
              <w:pStyle w:val="Text"/>
              <w:spacing w:before="100" w:after="100"/>
              <w:ind w:left="0"/>
              <w:jc w:val="center"/>
            </w:pPr>
            <w:r w:rsidRPr="00D33B70">
              <w:t>50 Year ARI, 1 Hour Duration</w:t>
            </w:r>
          </w:p>
        </w:tc>
        <w:tc>
          <w:tcPr>
            <w:tcW w:w="4291" w:type="dxa"/>
            <w:vAlign w:val="center"/>
          </w:tcPr>
          <w:p w:rsidR="00B02ADF" w:rsidRPr="00D33B70" w:rsidRDefault="00CC41A8" w:rsidP="00430B8C">
            <w:pPr>
              <w:pStyle w:val="Text"/>
              <w:spacing w:before="100" w:after="100"/>
              <w:jc w:val="center"/>
            </w:pPr>
            <w:r w:rsidRPr="00D33B70">
              <w:t>34.47</w:t>
            </w:r>
          </w:p>
        </w:tc>
      </w:tr>
      <w:tr w:rsidR="00B02ADF" w:rsidRPr="00D33B70" w:rsidTr="00B02ADF">
        <w:trPr>
          <w:cantSplit/>
        </w:trPr>
        <w:tc>
          <w:tcPr>
            <w:tcW w:w="736" w:type="dxa"/>
            <w:vMerge/>
          </w:tcPr>
          <w:p w:rsidR="00B02ADF" w:rsidRPr="00D33B70" w:rsidRDefault="00B02ADF" w:rsidP="00430B8C">
            <w:pPr>
              <w:pStyle w:val="Text"/>
              <w:spacing w:before="100" w:after="100"/>
              <w:jc w:val="center"/>
            </w:pPr>
          </w:p>
        </w:tc>
        <w:tc>
          <w:tcPr>
            <w:tcW w:w="3761" w:type="dxa"/>
            <w:vAlign w:val="center"/>
          </w:tcPr>
          <w:p w:rsidR="00B02ADF" w:rsidRPr="00D33B70" w:rsidRDefault="00B02ADF" w:rsidP="00430B8C">
            <w:pPr>
              <w:pStyle w:val="Text"/>
              <w:spacing w:before="100" w:after="100"/>
              <w:ind w:left="0"/>
              <w:jc w:val="center"/>
            </w:pPr>
            <w:r w:rsidRPr="00D33B70">
              <w:t>50 Year ARI, 12 Hour Duration</w:t>
            </w:r>
          </w:p>
        </w:tc>
        <w:tc>
          <w:tcPr>
            <w:tcW w:w="4291" w:type="dxa"/>
            <w:vAlign w:val="center"/>
          </w:tcPr>
          <w:p w:rsidR="00B02ADF" w:rsidRPr="00D33B70" w:rsidRDefault="00B02ADF" w:rsidP="00430B8C">
            <w:pPr>
              <w:pStyle w:val="Text"/>
              <w:spacing w:before="100" w:after="100"/>
              <w:jc w:val="center"/>
            </w:pPr>
            <w:r w:rsidRPr="00D33B70">
              <w:t>6.</w:t>
            </w:r>
            <w:r w:rsidR="006022AA" w:rsidRPr="00D33B70">
              <w:t>03</w:t>
            </w:r>
          </w:p>
        </w:tc>
      </w:tr>
      <w:tr w:rsidR="00B02ADF" w:rsidRPr="00D33B70" w:rsidTr="00B02ADF">
        <w:trPr>
          <w:cantSplit/>
        </w:trPr>
        <w:tc>
          <w:tcPr>
            <w:tcW w:w="736" w:type="dxa"/>
            <w:vMerge/>
          </w:tcPr>
          <w:p w:rsidR="00B02ADF" w:rsidRPr="00D33B70" w:rsidRDefault="00B02ADF" w:rsidP="00430B8C">
            <w:pPr>
              <w:pStyle w:val="Text"/>
              <w:spacing w:before="100" w:after="100"/>
              <w:jc w:val="center"/>
            </w:pPr>
          </w:p>
        </w:tc>
        <w:tc>
          <w:tcPr>
            <w:tcW w:w="3761" w:type="dxa"/>
            <w:vAlign w:val="center"/>
          </w:tcPr>
          <w:p w:rsidR="00B02ADF" w:rsidRPr="00D33B70" w:rsidRDefault="00B02ADF" w:rsidP="00430B8C">
            <w:pPr>
              <w:pStyle w:val="Text"/>
              <w:spacing w:before="100" w:after="100"/>
              <w:ind w:left="0"/>
              <w:jc w:val="center"/>
            </w:pPr>
            <w:r w:rsidRPr="00D33B70">
              <w:t>50 Year ARI, 72 Hour Duration</w:t>
            </w:r>
          </w:p>
        </w:tc>
        <w:tc>
          <w:tcPr>
            <w:tcW w:w="4291" w:type="dxa"/>
            <w:vAlign w:val="center"/>
          </w:tcPr>
          <w:p w:rsidR="00B02ADF" w:rsidRPr="00D33B70" w:rsidRDefault="00B02ADF" w:rsidP="00430B8C">
            <w:pPr>
              <w:pStyle w:val="Text"/>
              <w:spacing w:before="100" w:after="100"/>
              <w:jc w:val="center"/>
            </w:pPr>
            <w:r w:rsidRPr="00D33B70">
              <w:t>1.8</w:t>
            </w:r>
            <w:r w:rsidR="00CC41A8" w:rsidRPr="00D33B70">
              <w:t>0</w:t>
            </w:r>
          </w:p>
        </w:tc>
      </w:tr>
      <w:tr w:rsidR="00B02ADF" w:rsidRPr="00D33B70" w:rsidTr="00B02ADF">
        <w:trPr>
          <w:cantSplit/>
        </w:trPr>
        <w:tc>
          <w:tcPr>
            <w:tcW w:w="4497" w:type="dxa"/>
            <w:gridSpan w:val="2"/>
            <w:vAlign w:val="center"/>
          </w:tcPr>
          <w:p w:rsidR="00B02ADF" w:rsidRPr="00D33B70" w:rsidRDefault="00B02ADF" w:rsidP="00430B8C">
            <w:pPr>
              <w:pStyle w:val="Text"/>
              <w:spacing w:before="100" w:after="100"/>
              <w:jc w:val="center"/>
            </w:pPr>
            <w:r w:rsidRPr="00D33B70">
              <w:t>Skew Coefficient</w:t>
            </w:r>
          </w:p>
        </w:tc>
        <w:tc>
          <w:tcPr>
            <w:tcW w:w="4291" w:type="dxa"/>
            <w:vAlign w:val="center"/>
          </w:tcPr>
          <w:p w:rsidR="00B02ADF" w:rsidRPr="00D33B70" w:rsidRDefault="00B02ADF" w:rsidP="00430B8C">
            <w:pPr>
              <w:pStyle w:val="Text"/>
              <w:spacing w:before="100" w:after="100"/>
              <w:jc w:val="center"/>
            </w:pPr>
            <w:r w:rsidRPr="00D33B70">
              <w:t>0.42</w:t>
            </w:r>
          </w:p>
        </w:tc>
      </w:tr>
      <w:tr w:rsidR="00B02ADF" w:rsidRPr="00D33B70" w:rsidTr="00B02ADF">
        <w:trPr>
          <w:cantSplit/>
        </w:trPr>
        <w:tc>
          <w:tcPr>
            <w:tcW w:w="4497" w:type="dxa"/>
            <w:gridSpan w:val="2"/>
            <w:vAlign w:val="center"/>
          </w:tcPr>
          <w:p w:rsidR="00B02ADF" w:rsidRPr="00D33B70" w:rsidRDefault="00B02ADF" w:rsidP="00430B8C">
            <w:pPr>
              <w:pStyle w:val="Text"/>
              <w:spacing w:before="100" w:after="100"/>
              <w:jc w:val="center"/>
            </w:pPr>
            <w:r w:rsidRPr="00D33B70">
              <w:t>Geographical Factor F2</w:t>
            </w:r>
          </w:p>
        </w:tc>
        <w:tc>
          <w:tcPr>
            <w:tcW w:w="4291" w:type="dxa"/>
            <w:vAlign w:val="center"/>
          </w:tcPr>
          <w:p w:rsidR="00B02ADF" w:rsidRPr="00D33B70" w:rsidRDefault="00B02ADF" w:rsidP="00430B8C">
            <w:pPr>
              <w:pStyle w:val="Text"/>
              <w:spacing w:before="100" w:after="100"/>
              <w:jc w:val="center"/>
            </w:pPr>
            <w:r w:rsidRPr="00D33B70">
              <w:t>4.2</w:t>
            </w:r>
            <w:r w:rsidR="006022AA" w:rsidRPr="00D33B70">
              <w:t>9</w:t>
            </w:r>
          </w:p>
        </w:tc>
      </w:tr>
      <w:tr w:rsidR="00B02ADF" w:rsidRPr="00D33B70" w:rsidTr="00B02ADF">
        <w:trPr>
          <w:cantSplit/>
        </w:trPr>
        <w:tc>
          <w:tcPr>
            <w:tcW w:w="4497" w:type="dxa"/>
            <w:gridSpan w:val="2"/>
            <w:vAlign w:val="center"/>
          </w:tcPr>
          <w:p w:rsidR="00B02ADF" w:rsidRPr="00D33B70" w:rsidRDefault="00B02ADF" w:rsidP="00430B8C">
            <w:pPr>
              <w:pStyle w:val="Text"/>
              <w:spacing w:before="100" w:after="100"/>
              <w:jc w:val="center"/>
            </w:pPr>
            <w:r w:rsidRPr="00D33B70">
              <w:t>Geographical Factor F50</w:t>
            </w:r>
          </w:p>
        </w:tc>
        <w:tc>
          <w:tcPr>
            <w:tcW w:w="4291" w:type="dxa"/>
            <w:vAlign w:val="center"/>
          </w:tcPr>
          <w:p w:rsidR="00B02ADF" w:rsidRPr="00D33B70" w:rsidRDefault="00B02ADF" w:rsidP="00430B8C">
            <w:pPr>
              <w:pStyle w:val="Text"/>
              <w:spacing w:before="100" w:after="100"/>
              <w:jc w:val="center"/>
            </w:pPr>
            <w:r w:rsidRPr="00D33B70">
              <w:t>14.8</w:t>
            </w:r>
            <w:r w:rsidR="006022AA" w:rsidRPr="00D33B70">
              <w:t>3</w:t>
            </w:r>
          </w:p>
        </w:tc>
      </w:tr>
      <w:tr w:rsidR="00B02ADF" w:rsidRPr="00D33B70" w:rsidTr="00B02ADF">
        <w:trPr>
          <w:cantSplit/>
        </w:trPr>
        <w:tc>
          <w:tcPr>
            <w:tcW w:w="4497" w:type="dxa"/>
            <w:gridSpan w:val="2"/>
            <w:vAlign w:val="center"/>
          </w:tcPr>
          <w:p w:rsidR="00B02ADF" w:rsidRPr="00D33B70" w:rsidRDefault="00B02ADF" w:rsidP="00430B8C">
            <w:pPr>
              <w:pStyle w:val="Text"/>
              <w:spacing w:before="100" w:after="100"/>
              <w:jc w:val="center"/>
            </w:pPr>
            <w:r w:rsidRPr="00D33B70">
              <w:t>Zone</w:t>
            </w:r>
          </w:p>
        </w:tc>
        <w:tc>
          <w:tcPr>
            <w:tcW w:w="4291" w:type="dxa"/>
            <w:vAlign w:val="center"/>
          </w:tcPr>
          <w:p w:rsidR="00B02ADF" w:rsidRPr="00D33B70" w:rsidRDefault="00B02ADF" w:rsidP="00430B8C">
            <w:pPr>
              <w:pStyle w:val="Text"/>
              <w:spacing w:before="100" w:after="100"/>
              <w:jc w:val="center"/>
            </w:pPr>
            <w:r w:rsidRPr="00D33B70">
              <w:t>1</w:t>
            </w:r>
          </w:p>
        </w:tc>
      </w:tr>
    </w:tbl>
    <w:p w:rsidR="00B02ADF" w:rsidRPr="00D33B70" w:rsidRDefault="00B02ADF" w:rsidP="00B26EF8">
      <w:pPr>
        <w:pStyle w:val="Heading4"/>
      </w:pPr>
      <w:bookmarkStart w:id="126" w:name="_Toc222768065"/>
      <w:bookmarkStart w:id="127" w:name="_Toc387308877"/>
      <w:bookmarkEnd w:id="110"/>
      <w:bookmarkEnd w:id="111"/>
      <w:bookmarkEnd w:id="112"/>
      <w:bookmarkEnd w:id="113"/>
      <w:bookmarkEnd w:id="114"/>
      <w:bookmarkEnd w:id="115"/>
      <w:bookmarkEnd w:id="116"/>
      <w:bookmarkEnd w:id="117"/>
      <w:bookmarkEnd w:id="118"/>
      <w:bookmarkEnd w:id="119"/>
      <w:r w:rsidRPr="00D33B70">
        <w:lastRenderedPageBreak/>
        <w:t>Loss Parameters</w:t>
      </w:r>
      <w:bookmarkEnd w:id="126"/>
      <w:bookmarkEnd w:id="127"/>
    </w:p>
    <w:p w:rsidR="00B02ADF" w:rsidRPr="00D33B70" w:rsidRDefault="00B02ADF" w:rsidP="00430B8C">
      <w:pPr>
        <w:pStyle w:val="Text"/>
        <w:ind w:right="-12"/>
      </w:pPr>
      <w:r w:rsidRPr="00D33B70">
        <w:t>The loss model adopted was the “initial loss/volumetric runoff coefficient” loss model.  This modelling approach is consistent with previous flood studies</w:t>
      </w:r>
      <w:r w:rsidR="00546F41" w:rsidRPr="00D33B70">
        <w:t xml:space="preserve"> undertaken for CoGG</w:t>
      </w:r>
      <w:r w:rsidRPr="00D33B70">
        <w:t xml:space="preserve">, including the </w:t>
      </w:r>
      <w:r w:rsidR="006022AA" w:rsidRPr="00D33B70">
        <w:t>Thornhill Road Retarding Basin Assessment</w:t>
      </w:r>
      <w:r w:rsidRPr="00D33B70">
        <w:t xml:space="preserve">.  RORB generates runoff by subtracting losses at each timestep from the rainfall occurring in that time period.  The adopted initial loss was 15 mm and the runoff coefficients for pervious areas were adopted as per Melbourne Water recommendations, </w:t>
      </w:r>
      <w:r w:rsidR="00357A95" w:rsidRPr="00D33B70">
        <w:t xml:space="preserve">as shown in </w:t>
      </w:r>
      <w:r w:rsidR="00F21A4E" w:rsidRPr="00D33B70">
        <w:fldChar w:fldCharType="begin"/>
      </w:r>
      <w:r w:rsidRPr="00D33B70">
        <w:instrText xml:space="preserve"> REF _Ref220215936 \h </w:instrText>
      </w:r>
      <w:r w:rsidR="00F21A4E" w:rsidRPr="00D33B70">
        <w:fldChar w:fldCharType="separate"/>
      </w:r>
      <w:r w:rsidR="00AC6986" w:rsidRPr="00D33B70">
        <w:t xml:space="preserve">Table </w:t>
      </w:r>
      <w:r w:rsidR="00AC6986">
        <w:rPr>
          <w:noProof/>
        </w:rPr>
        <w:t>4</w:t>
      </w:r>
      <w:r w:rsidR="00AC6986" w:rsidRPr="00D33B70">
        <w:noBreakHyphen/>
      </w:r>
      <w:r w:rsidR="00AC6986">
        <w:rPr>
          <w:noProof/>
        </w:rPr>
        <w:t>3</w:t>
      </w:r>
      <w:r w:rsidR="00F21A4E" w:rsidRPr="00D33B70">
        <w:fldChar w:fldCharType="end"/>
      </w:r>
      <w:r w:rsidRPr="00D33B70">
        <w:t>.  For impervious areas, RORB has a “hardwired” initial loss of 0 mm and runoff coefficient of 0.9.</w:t>
      </w:r>
    </w:p>
    <w:p w:rsidR="00B02ADF" w:rsidRPr="00D33B70" w:rsidRDefault="00B02ADF" w:rsidP="00430B8C">
      <w:pPr>
        <w:pStyle w:val="Caption"/>
      </w:pPr>
      <w:bookmarkStart w:id="128" w:name="_Ref220215936"/>
      <w:bookmarkStart w:id="129" w:name="_Toc222571335"/>
      <w:bookmarkStart w:id="130" w:name="_Toc387308974"/>
      <w:r w:rsidRPr="00D33B70">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4</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3</w:t>
      </w:r>
      <w:r w:rsidR="00FF3C04" w:rsidRPr="00D33B70">
        <w:fldChar w:fldCharType="end"/>
      </w:r>
      <w:bookmarkEnd w:id="128"/>
      <w:r w:rsidRPr="00D33B70">
        <w:tab/>
        <w:t>Runoff Coefficients for different AEPs</w:t>
      </w:r>
      <w:bookmarkEnd w:id="129"/>
      <w:bookmarkEnd w:id="130"/>
    </w:p>
    <w:tbl>
      <w:tblPr>
        <w:tblW w:w="0" w:type="auto"/>
        <w:tblInd w:w="3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1"/>
        <w:gridCol w:w="1569"/>
      </w:tblGrid>
      <w:tr w:rsidR="00B02ADF" w:rsidRPr="00D33B70" w:rsidTr="00D90785">
        <w:trPr>
          <w:trHeight w:val="569"/>
        </w:trPr>
        <w:tc>
          <w:tcPr>
            <w:tcW w:w="1571" w:type="dxa"/>
            <w:shd w:val="pct10" w:color="auto" w:fill="FFFFFF" w:themeFill="background1"/>
            <w:vAlign w:val="center"/>
          </w:tcPr>
          <w:p w:rsidR="00B02ADF" w:rsidRPr="00D33B70" w:rsidRDefault="00B02ADF" w:rsidP="00D90785">
            <w:pPr>
              <w:pStyle w:val="Text"/>
              <w:spacing w:before="0" w:line="240" w:lineRule="auto"/>
              <w:ind w:left="-6"/>
              <w:jc w:val="center"/>
              <w:rPr>
                <w:b/>
              </w:rPr>
            </w:pPr>
            <w:r w:rsidRPr="00D33B70">
              <w:rPr>
                <w:b/>
              </w:rPr>
              <w:t>AEP</w:t>
            </w:r>
          </w:p>
        </w:tc>
        <w:tc>
          <w:tcPr>
            <w:tcW w:w="1569" w:type="dxa"/>
            <w:shd w:val="pct10" w:color="auto" w:fill="FFFFFF" w:themeFill="background1"/>
            <w:vAlign w:val="center"/>
          </w:tcPr>
          <w:p w:rsidR="00B02ADF" w:rsidRPr="00D33B70" w:rsidRDefault="00B02ADF" w:rsidP="00D90785">
            <w:pPr>
              <w:pStyle w:val="Text"/>
              <w:spacing w:before="0" w:line="240" w:lineRule="auto"/>
              <w:ind w:left="-6"/>
              <w:jc w:val="center"/>
              <w:rPr>
                <w:b/>
              </w:rPr>
            </w:pPr>
            <w:r w:rsidRPr="00D33B70">
              <w:rPr>
                <w:b/>
              </w:rPr>
              <w:t>Runoff Coefficient</w:t>
            </w:r>
          </w:p>
        </w:tc>
      </w:tr>
      <w:tr w:rsidR="00B02ADF" w:rsidRPr="00D33B70" w:rsidTr="00E16583">
        <w:tc>
          <w:tcPr>
            <w:tcW w:w="1571" w:type="dxa"/>
            <w:vAlign w:val="center"/>
          </w:tcPr>
          <w:p w:rsidR="00B02ADF" w:rsidRPr="00D33B70" w:rsidRDefault="00B02ADF" w:rsidP="00430B8C">
            <w:pPr>
              <w:spacing w:line="300" w:lineRule="atLeast"/>
              <w:jc w:val="center"/>
              <w:rPr>
                <w:rFonts w:eastAsia="Arial Unicode MS" w:cs="Arial"/>
              </w:rPr>
            </w:pPr>
            <w:r w:rsidRPr="00D33B70">
              <w:rPr>
                <w:rFonts w:eastAsia="Arial Unicode MS" w:cs="Arial"/>
              </w:rPr>
              <w:t>20%</w:t>
            </w:r>
          </w:p>
        </w:tc>
        <w:tc>
          <w:tcPr>
            <w:tcW w:w="1569" w:type="dxa"/>
            <w:vAlign w:val="center"/>
          </w:tcPr>
          <w:p w:rsidR="00B02ADF" w:rsidRPr="00D33B70" w:rsidRDefault="00B02ADF" w:rsidP="00430B8C">
            <w:pPr>
              <w:spacing w:line="300" w:lineRule="atLeast"/>
              <w:jc w:val="center"/>
              <w:rPr>
                <w:rFonts w:eastAsia="Arial Unicode MS" w:cs="Arial"/>
              </w:rPr>
            </w:pPr>
            <w:r w:rsidRPr="00D33B70">
              <w:rPr>
                <w:rFonts w:eastAsia="Arial Unicode MS" w:cs="Arial"/>
              </w:rPr>
              <w:t>0.25</w:t>
            </w:r>
          </w:p>
        </w:tc>
      </w:tr>
      <w:tr w:rsidR="00B02ADF" w:rsidRPr="00D33B70" w:rsidTr="00E16583">
        <w:tc>
          <w:tcPr>
            <w:tcW w:w="1571" w:type="dxa"/>
            <w:vAlign w:val="center"/>
          </w:tcPr>
          <w:p w:rsidR="00B02ADF" w:rsidRPr="00D33B70" w:rsidRDefault="00B02ADF" w:rsidP="00430B8C">
            <w:pPr>
              <w:spacing w:line="300" w:lineRule="atLeast"/>
              <w:jc w:val="center"/>
              <w:rPr>
                <w:rFonts w:eastAsia="Arial Unicode MS" w:cs="Arial"/>
              </w:rPr>
            </w:pPr>
            <w:r w:rsidRPr="00D33B70">
              <w:rPr>
                <w:rFonts w:eastAsia="Arial Unicode MS" w:cs="Arial"/>
              </w:rPr>
              <w:t>10%</w:t>
            </w:r>
          </w:p>
        </w:tc>
        <w:tc>
          <w:tcPr>
            <w:tcW w:w="1569" w:type="dxa"/>
            <w:vAlign w:val="center"/>
          </w:tcPr>
          <w:p w:rsidR="00B02ADF" w:rsidRPr="00D33B70" w:rsidRDefault="00B02ADF" w:rsidP="00430B8C">
            <w:pPr>
              <w:spacing w:line="300" w:lineRule="atLeast"/>
              <w:jc w:val="center"/>
              <w:rPr>
                <w:rFonts w:eastAsia="Arial Unicode MS" w:cs="Arial"/>
              </w:rPr>
            </w:pPr>
            <w:r w:rsidRPr="00D33B70">
              <w:rPr>
                <w:rFonts w:eastAsia="Arial Unicode MS" w:cs="Arial"/>
              </w:rPr>
              <w:t>0.35</w:t>
            </w:r>
          </w:p>
        </w:tc>
      </w:tr>
      <w:tr w:rsidR="00B02ADF" w:rsidRPr="00D33B70" w:rsidTr="00E16583">
        <w:tc>
          <w:tcPr>
            <w:tcW w:w="1571" w:type="dxa"/>
            <w:vAlign w:val="center"/>
          </w:tcPr>
          <w:p w:rsidR="00B02ADF" w:rsidRPr="00D33B70" w:rsidRDefault="00B02ADF" w:rsidP="00430B8C">
            <w:pPr>
              <w:spacing w:line="300" w:lineRule="atLeast"/>
              <w:jc w:val="center"/>
              <w:rPr>
                <w:rFonts w:eastAsia="Arial Unicode MS" w:cs="Arial"/>
              </w:rPr>
            </w:pPr>
            <w:r w:rsidRPr="00D33B70">
              <w:rPr>
                <w:rFonts w:eastAsia="Arial Unicode MS" w:cs="Arial"/>
              </w:rPr>
              <w:t>5%</w:t>
            </w:r>
          </w:p>
        </w:tc>
        <w:tc>
          <w:tcPr>
            <w:tcW w:w="1569" w:type="dxa"/>
            <w:vAlign w:val="center"/>
          </w:tcPr>
          <w:p w:rsidR="00B02ADF" w:rsidRPr="00D33B70" w:rsidRDefault="00B02ADF" w:rsidP="00430B8C">
            <w:pPr>
              <w:pStyle w:val="ListContinue2"/>
              <w:tabs>
                <w:tab w:val="clear" w:pos="-720"/>
              </w:tabs>
              <w:suppressAutoHyphens w:val="0"/>
              <w:spacing w:line="300" w:lineRule="atLeast"/>
              <w:jc w:val="center"/>
              <w:rPr>
                <w:rFonts w:eastAsia="Arial Unicode MS" w:cs="Arial"/>
              </w:rPr>
            </w:pPr>
            <w:r w:rsidRPr="00D33B70">
              <w:rPr>
                <w:rFonts w:eastAsia="Arial Unicode MS" w:cs="Arial"/>
              </w:rPr>
              <w:t>0.45</w:t>
            </w:r>
          </w:p>
        </w:tc>
      </w:tr>
      <w:tr w:rsidR="00B02ADF" w:rsidRPr="00D33B70" w:rsidTr="00E16583">
        <w:tc>
          <w:tcPr>
            <w:tcW w:w="1571" w:type="dxa"/>
            <w:vAlign w:val="center"/>
          </w:tcPr>
          <w:p w:rsidR="00B02ADF" w:rsidRPr="00D33B70" w:rsidRDefault="00B02ADF" w:rsidP="00430B8C">
            <w:pPr>
              <w:spacing w:line="300" w:lineRule="atLeast"/>
              <w:jc w:val="center"/>
              <w:rPr>
                <w:rFonts w:eastAsia="Arial Unicode MS" w:cs="Arial"/>
              </w:rPr>
            </w:pPr>
            <w:r w:rsidRPr="00D33B70">
              <w:rPr>
                <w:rFonts w:eastAsia="Arial Unicode MS" w:cs="Arial"/>
              </w:rPr>
              <w:t>1%</w:t>
            </w:r>
          </w:p>
        </w:tc>
        <w:tc>
          <w:tcPr>
            <w:tcW w:w="1569" w:type="dxa"/>
            <w:vAlign w:val="center"/>
          </w:tcPr>
          <w:p w:rsidR="00B02ADF" w:rsidRPr="00D33B70" w:rsidRDefault="00B02ADF" w:rsidP="00430B8C">
            <w:pPr>
              <w:spacing w:line="300" w:lineRule="atLeast"/>
              <w:jc w:val="center"/>
              <w:rPr>
                <w:rFonts w:eastAsia="Arial Unicode MS" w:cs="Arial"/>
              </w:rPr>
            </w:pPr>
            <w:r w:rsidRPr="00D33B70">
              <w:rPr>
                <w:rFonts w:eastAsia="Arial Unicode MS" w:cs="Arial"/>
              </w:rPr>
              <w:t>0.60</w:t>
            </w:r>
          </w:p>
        </w:tc>
      </w:tr>
    </w:tbl>
    <w:p w:rsidR="00A83F38" w:rsidRPr="00D33B70" w:rsidRDefault="00A83F38" w:rsidP="00B26EF8">
      <w:pPr>
        <w:pStyle w:val="Heading4"/>
      </w:pPr>
      <w:bookmarkStart w:id="131" w:name="_Toc69118734"/>
      <w:bookmarkStart w:id="132" w:name="_Toc207788145"/>
      <w:bookmarkStart w:id="133" w:name="_Toc387308878"/>
      <w:r w:rsidRPr="00D33B70">
        <w:t>Fraction Impervious</w:t>
      </w:r>
      <w:bookmarkEnd w:id="131"/>
      <w:bookmarkEnd w:id="132"/>
      <w:bookmarkEnd w:id="133"/>
    </w:p>
    <w:p w:rsidR="00A83F38" w:rsidRPr="00D33B70" w:rsidRDefault="00A83F38" w:rsidP="00430B8C">
      <w:pPr>
        <w:pStyle w:val="Text"/>
        <w:ind w:right="-12"/>
      </w:pPr>
      <w:r w:rsidRPr="00D33B70">
        <w:t>The fraction of the catchment that is impervious is a key input to the hydrologic modelling</w:t>
      </w:r>
      <w:r w:rsidR="00CA4C7A" w:rsidRPr="00D33B70">
        <w:t xml:space="preserve">.  </w:t>
      </w:r>
      <w:r w:rsidRPr="00D33B70">
        <w:t>Impervious fractions for various planning scheme codes were based on advice from CoGG, values contained within Council</w:t>
      </w:r>
      <w:r w:rsidR="002778AB" w:rsidRPr="00D33B70">
        <w:t>'</w:t>
      </w:r>
      <w:r w:rsidRPr="00D33B70">
        <w:t xml:space="preserve">s design guidelines, inspections of aerial photographs, and values presented in Australian Rainfall and Runoff (1987).  Key impervious fractions adopted are reproduced in </w:t>
      </w:r>
      <w:r w:rsidR="008F1E39" w:rsidRPr="00D33B70">
        <w:fldChar w:fldCharType="begin"/>
      </w:r>
      <w:r w:rsidR="008F1E39" w:rsidRPr="00D33B70">
        <w:instrText xml:space="preserve"> REF _Ref204573885 \h  \* MERGEFORMAT </w:instrText>
      </w:r>
      <w:r w:rsidR="008F1E39" w:rsidRPr="00D33B70">
        <w:fldChar w:fldCharType="separate"/>
      </w:r>
      <w:r w:rsidR="00AC6986" w:rsidRPr="00D33B70">
        <w:t xml:space="preserve">Table </w:t>
      </w:r>
      <w:r w:rsidR="00AC6986">
        <w:rPr>
          <w:noProof/>
        </w:rPr>
        <w:t>4</w:t>
      </w:r>
      <w:r w:rsidR="00AC6986" w:rsidRPr="00D33B70">
        <w:rPr>
          <w:noProof/>
        </w:rPr>
        <w:noBreakHyphen/>
      </w:r>
      <w:r w:rsidR="00AC6986">
        <w:rPr>
          <w:noProof/>
        </w:rPr>
        <w:t>4</w:t>
      </w:r>
      <w:r w:rsidR="008F1E39" w:rsidRPr="00D33B70">
        <w:fldChar w:fldCharType="end"/>
      </w:r>
      <w:r w:rsidRPr="00D33B70">
        <w:t>.</w:t>
      </w:r>
    </w:p>
    <w:p w:rsidR="00A83F38" w:rsidRPr="00D33B70" w:rsidRDefault="00A83F38" w:rsidP="00430B8C">
      <w:pPr>
        <w:pStyle w:val="Caption"/>
      </w:pPr>
      <w:bookmarkStart w:id="134" w:name="_Ref204573885"/>
      <w:bookmarkStart w:id="135" w:name="_Toc69118840"/>
      <w:bookmarkStart w:id="136" w:name="_Toc207788212"/>
      <w:bookmarkStart w:id="137" w:name="_Ref208896587"/>
      <w:bookmarkStart w:id="138" w:name="_Toc387308975"/>
      <w:r w:rsidRPr="00D33B70">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4</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4</w:t>
      </w:r>
      <w:r w:rsidR="00FF3C04" w:rsidRPr="00D33B70">
        <w:fldChar w:fldCharType="end"/>
      </w:r>
      <w:bookmarkEnd w:id="134"/>
      <w:r w:rsidRPr="00D33B70">
        <w:tab/>
        <w:t>Impervious Fraction for Planning Scheme Zone</w:t>
      </w:r>
      <w:bookmarkEnd w:id="135"/>
      <w:bookmarkEnd w:id="136"/>
      <w:bookmarkEnd w:id="137"/>
      <w:bookmarkEnd w:id="138"/>
    </w:p>
    <w:tbl>
      <w:tblPr>
        <w:tblW w:w="0" w:type="auto"/>
        <w:tblInd w:w="1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2409"/>
      </w:tblGrid>
      <w:tr w:rsidR="00A83F38" w:rsidRPr="00D33B70" w:rsidTr="00D90785">
        <w:trPr>
          <w:trHeight w:val="569"/>
        </w:trPr>
        <w:tc>
          <w:tcPr>
            <w:tcW w:w="4395" w:type="dxa"/>
            <w:shd w:val="pct10" w:color="auto" w:fill="FFFFFF" w:themeFill="background1"/>
            <w:vAlign w:val="center"/>
          </w:tcPr>
          <w:p w:rsidR="00A83F38" w:rsidRPr="00D33B70" w:rsidRDefault="00A83F38" w:rsidP="00430B8C">
            <w:pPr>
              <w:pStyle w:val="ListContinue2"/>
              <w:keepNext/>
              <w:tabs>
                <w:tab w:val="clear" w:pos="-720"/>
              </w:tabs>
              <w:suppressAutoHyphens w:val="0"/>
              <w:spacing w:before="40" w:after="40"/>
              <w:jc w:val="center"/>
              <w:rPr>
                <w:rFonts w:cs="Arial"/>
                <w:b/>
              </w:rPr>
            </w:pPr>
            <w:r w:rsidRPr="00D33B70">
              <w:rPr>
                <w:rFonts w:cs="Arial"/>
                <w:b/>
              </w:rPr>
              <w:t>Zone</w:t>
            </w:r>
          </w:p>
        </w:tc>
        <w:tc>
          <w:tcPr>
            <w:tcW w:w="2409" w:type="dxa"/>
            <w:shd w:val="pct10" w:color="auto" w:fill="FFFFFF" w:themeFill="background1"/>
            <w:vAlign w:val="center"/>
          </w:tcPr>
          <w:p w:rsidR="00A83F38" w:rsidRPr="00D33B70" w:rsidRDefault="00A83F38" w:rsidP="00430B8C">
            <w:pPr>
              <w:pStyle w:val="ListContinue2"/>
              <w:keepNext/>
              <w:tabs>
                <w:tab w:val="clear" w:pos="-720"/>
              </w:tabs>
              <w:suppressAutoHyphens w:val="0"/>
              <w:spacing w:before="40" w:after="40"/>
              <w:jc w:val="center"/>
              <w:rPr>
                <w:rFonts w:cs="Arial"/>
                <w:b/>
              </w:rPr>
            </w:pPr>
            <w:r w:rsidRPr="00D33B70">
              <w:rPr>
                <w:rFonts w:cs="Arial"/>
                <w:b/>
              </w:rPr>
              <w:t>Impervious Fraction</w:t>
            </w:r>
          </w:p>
        </w:tc>
      </w:tr>
      <w:tr w:rsidR="00A83F38" w:rsidRPr="00D33B70" w:rsidTr="000A295A">
        <w:tc>
          <w:tcPr>
            <w:tcW w:w="4395" w:type="dxa"/>
            <w:vAlign w:val="center"/>
          </w:tcPr>
          <w:p w:rsidR="00A83F38" w:rsidRPr="00D33B70" w:rsidRDefault="00A83F38" w:rsidP="00430B8C">
            <w:pPr>
              <w:spacing w:line="300" w:lineRule="atLeast"/>
              <w:jc w:val="left"/>
              <w:rPr>
                <w:rFonts w:eastAsia="Arial Unicode MS" w:cs="Arial"/>
              </w:rPr>
            </w:pPr>
            <w:r w:rsidRPr="00D33B70">
              <w:rPr>
                <w:rFonts w:cs="Arial"/>
              </w:rPr>
              <w:t>Residential (&lt; 300 m</w:t>
            </w:r>
            <w:r w:rsidRPr="00D33B70">
              <w:rPr>
                <w:rFonts w:cs="Arial"/>
                <w:vertAlign w:val="superscript"/>
              </w:rPr>
              <w:t>2</w:t>
            </w:r>
            <w:r w:rsidRPr="00D33B70">
              <w:rPr>
                <w:rFonts w:cs="Arial"/>
              </w:rPr>
              <w:t>)</w:t>
            </w:r>
          </w:p>
        </w:tc>
        <w:tc>
          <w:tcPr>
            <w:tcW w:w="2409" w:type="dxa"/>
            <w:vAlign w:val="center"/>
          </w:tcPr>
          <w:p w:rsidR="00A83F38" w:rsidRPr="00D33B70" w:rsidRDefault="00A83F38" w:rsidP="00430B8C">
            <w:pPr>
              <w:spacing w:line="300" w:lineRule="atLeast"/>
              <w:jc w:val="center"/>
              <w:rPr>
                <w:rFonts w:eastAsia="Arial Unicode MS" w:cs="Arial"/>
              </w:rPr>
            </w:pPr>
            <w:r w:rsidRPr="00D33B70">
              <w:rPr>
                <w:rFonts w:cs="Arial"/>
              </w:rPr>
              <w:t>0.95</w:t>
            </w:r>
          </w:p>
        </w:tc>
      </w:tr>
      <w:tr w:rsidR="00A83F38" w:rsidRPr="00D33B70" w:rsidTr="000A295A">
        <w:tc>
          <w:tcPr>
            <w:tcW w:w="4395" w:type="dxa"/>
            <w:vAlign w:val="center"/>
          </w:tcPr>
          <w:p w:rsidR="00A83F38" w:rsidRPr="00D33B70" w:rsidRDefault="00A83F38" w:rsidP="00430B8C">
            <w:pPr>
              <w:spacing w:line="300" w:lineRule="atLeast"/>
              <w:jc w:val="left"/>
              <w:rPr>
                <w:rFonts w:eastAsia="Arial Unicode MS" w:cs="Arial"/>
              </w:rPr>
            </w:pPr>
            <w:r w:rsidRPr="00D33B70">
              <w:rPr>
                <w:rFonts w:cs="Arial"/>
              </w:rPr>
              <w:t>Residential (300 to 400 m</w:t>
            </w:r>
            <w:r w:rsidRPr="00D33B70">
              <w:rPr>
                <w:rFonts w:cs="Arial"/>
                <w:vertAlign w:val="superscript"/>
              </w:rPr>
              <w:t>2</w:t>
            </w:r>
            <w:r w:rsidRPr="00D33B70">
              <w:rPr>
                <w:rFonts w:cs="Arial"/>
              </w:rPr>
              <w:t>)</w:t>
            </w:r>
          </w:p>
        </w:tc>
        <w:tc>
          <w:tcPr>
            <w:tcW w:w="2409" w:type="dxa"/>
            <w:vAlign w:val="center"/>
          </w:tcPr>
          <w:p w:rsidR="00A83F38" w:rsidRPr="00D33B70" w:rsidRDefault="00A83F38" w:rsidP="00430B8C">
            <w:pPr>
              <w:pStyle w:val="ListContinue2"/>
              <w:tabs>
                <w:tab w:val="clear" w:pos="-720"/>
              </w:tabs>
              <w:suppressAutoHyphens w:val="0"/>
              <w:spacing w:line="300" w:lineRule="atLeast"/>
              <w:jc w:val="center"/>
              <w:rPr>
                <w:rFonts w:eastAsia="Arial Unicode MS" w:cs="Arial"/>
              </w:rPr>
            </w:pPr>
            <w:r w:rsidRPr="00D33B70">
              <w:rPr>
                <w:rFonts w:cs="Arial"/>
              </w:rPr>
              <w:t>0.6</w:t>
            </w:r>
          </w:p>
        </w:tc>
      </w:tr>
      <w:tr w:rsidR="00A83F38" w:rsidRPr="00D33B70" w:rsidTr="000A295A">
        <w:tc>
          <w:tcPr>
            <w:tcW w:w="4395" w:type="dxa"/>
            <w:vAlign w:val="center"/>
          </w:tcPr>
          <w:p w:rsidR="00A83F38" w:rsidRPr="00D33B70" w:rsidRDefault="00A83F38" w:rsidP="00430B8C">
            <w:pPr>
              <w:spacing w:line="300" w:lineRule="atLeast"/>
              <w:jc w:val="left"/>
              <w:rPr>
                <w:rFonts w:eastAsia="Arial Unicode MS" w:cs="Arial"/>
              </w:rPr>
            </w:pPr>
            <w:r w:rsidRPr="00D33B70">
              <w:rPr>
                <w:rFonts w:cs="Arial"/>
              </w:rPr>
              <w:t>Residential (400 to 600 m</w:t>
            </w:r>
            <w:r w:rsidRPr="00D33B70">
              <w:rPr>
                <w:rFonts w:cs="Arial"/>
                <w:vertAlign w:val="superscript"/>
              </w:rPr>
              <w:t>2</w:t>
            </w:r>
            <w:r w:rsidRPr="00D33B70">
              <w:rPr>
                <w:rFonts w:cs="Arial"/>
              </w:rPr>
              <w:t>)</w:t>
            </w:r>
          </w:p>
        </w:tc>
        <w:tc>
          <w:tcPr>
            <w:tcW w:w="2409" w:type="dxa"/>
            <w:vAlign w:val="center"/>
          </w:tcPr>
          <w:p w:rsidR="00A83F38" w:rsidRPr="00D33B70" w:rsidRDefault="00A83F38" w:rsidP="00430B8C">
            <w:pPr>
              <w:spacing w:line="300" w:lineRule="atLeast"/>
              <w:jc w:val="center"/>
              <w:rPr>
                <w:rFonts w:eastAsia="Arial Unicode MS" w:cs="Arial"/>
              </w:rPr>
            </w:pPr>
            <w:r w:rsidRPr="00D33B70">
              <w:rPr>
                <w:rFonts w:cs="Arial"/>
              </w:rPr>
              <w:t>0.5</w:t>
            </w:r>
          </w:p>
        </w:tc>
      </w:tr>
      <w:tr w:rsidR="00A83F38" w:rsidRPr="00D33B70" w:rsidTr="000A295A">
        <w:tc>
          <w:tcPr>
            <w:tcW w:w="4395" w:type="dxa"/>
            <w:vAlign w:val="center"/>
          </w:tcPr>
          <w:p w:rsidR="00A83F38" w:rsidRPr="00D33B70" w:rsidRDefault="00A83F38" w:rsidP="00430B8C">
            <w:pPr>
              <w:spacing w:line="300" w:lineRule="atLeast"/>
              <w:jc w:val="left"/>
              <w:rPr>
                <w:rFonts w:eastAsia="Arial Unicode MS" w:cs="Arial"/>
              </w:rPr>
            </w:pPr>
            <w:r w:rsidRPr="00D33B70">
              <w:rPr>
                <w:rFonts w:cs="Arial"/>
              </w:rPr>
              <w:t>Residential (600 to 1 000 m</w:t>
            </w:r>
            <w:r w:rsidRPr="00D33B70">
              <w:rPr>
                <w:rFonts w:cs="Arial"/>
                <w:vertAlign w:val="superscript"/>
              </w:rPr>
              <w:t>2</w:t>
            </w:r>
            <w:r w:rsidRPr="00D33B70">
              <w:rPr>
                <w:rFonts w:cs="Arial"/>
              </w:rPr>
              <w:t>)</w:t>
            </w:r>
          </w:p>
        </w:tc>
        <w:tc>
          <w:tcPr>
            <w:tcW w:w="2409" w:type="dxa"/>
            <w:vAlign w:val="center"/>
          </w:tcPr>
          <w:p w:rsidR="00A83F38" w:rsidRPr="00D33B70" w:rsidRDefault="00A83F38" w:rsidP="00430B8C">
            <w:pPr>
              <w:spacing w:line="300" w:lineRule="atLeast"/>
              <w:jc w:val="center"/>
              <w:rPr>
                <w:rFonts w:eastAsia="Arial Unicode MS" w:cs="Arial"/>
              </w:rPr>
            </w:pPr>
            <w:r w:rsidRPr="00D33B70">
              <w:rPr>
                <w:rFonts w:cs="Arial"/>
              </w:rPr>
              <w:t>0.42</w:t>
            </w:r>
          </w:p>
        </w:tc>
      </w:tr>
      <w:tr w:rsidR="00A83F38" w:rsidRPr="00D33B70" w:rsidTr="000A295A">
        <w:tc>
          <w:tcPr>
            <w:tcW w:w="4395" w:type="dxa"/>
            <w:vAlign w:val="center"/>
          </w:tcPr>
          <w:p w:rsidR="00A83F38" w:rsidRPr="00D33B70" w:rsidRDefault="00A83F38" w:rsidP="00430B8C">
            <w:pPr>
              <w:spacing w:line="300" w:lineRule="atLeast"/>
              <w:jc w:val="left"/>
              <w:rPr>
                <w:rFonts w:eastAsia="Arial Unicode MS" w:cs="Arial"/>
              </w:rPr>
            </w:pPr>
            <w:r w:rsidRPr="00D33B70">
              <w:rPr>
                <w:rFonts w:cs="Arial"/>
              </w:rPr>
              <w:t>Residential (1 000 to 2 000 m</w:t>
            </w:r>
            <w:r w:rsidRPr="00D33B70">
              <w:rPr>
                <w:rFonts w:cs="Arial"/>
                <w:vertAlign w:val="superscript"/>
              </w:rPr>
              <w:t>2</w:t>
            </w:r>
            <w:r w:rsidRPr="00D33B70">
              <w:rPr>
                <w:rFonts w:cs="Arial"/>
              </w:rPr>
              <w:t>)</w:t>
            </w:r>
          </w:p>
        </w:tc>
        <w:tc>
          <w:tcPr>
            <w:tcW w:w="2409" w:type="dxa"/>
            <w:vAlign w:val="center"/>
          </w:tcPr>
          <w:p w:rsidR="00A83F38" w:rsidRPr="00D33B70" w:rsidRDefault="00A83F38" w:rsidP="00430B8C">
            <w:pPr>
              <w:spacing w:line="300" w:lineRule="atLeast"/>
              <w:jc w:val="center"/>
              <w:rPr>
                <w:rFonts w:eastAsia="Arial Unicode MS" w:cs="Arial"/>
              </w:rPr>
            </w:pPr>
            <w:r w:rsidRPr="00D33B70">
              <w:rPr>
                <w:rFonts w:cs="Arial"/>
              </w:rPr>
              <w:t>0.4</w:t>
            </w:r>
          </w:p>
        </w:tc>
      </w:tr>
      <w:tr w:rsidR="00A83F38" w:rsidRPr="00D33B70" w:rsidTr="000A295A">
        <w:tc>
          <w:tcPr>
            <w:tcW w:w="4395" w:type="dxa"/>
            <w:vAlign w:val="center"/>
          </w:tcPr>
          <w:p w:rsidR="00A83F38" w:rsidRPr="00D33B70" w:rsidRDefault="00A83F38" w:rsidP="00430B8C">
            <w:pPr>
              <w:spacing w:line="300" w:lineRule="atLeast"/>
              <w:jc w:val="left"/>
              <w:rPr>
                <w:rFonts w:eastAsia="Arial Unicode MS" w:cs="Arial"/>
              </w:rPr>
            </w:pPr>
            <w:r w:rsidRPr="00D33B70">
              <w:rPr>
                <w:rFonts w:cs="Arial"/>
              </w:rPr>
              <w:t>Commercial</w:t>
            </w:r>
          </w:p>
        </w:tc>
        <w:tc>
          <w:tcPr>
            <w:tcW w:w="2409" w:type="dxa"/>
            <w:vAlign w:val="center"/>
          </w:tcPr>
          <w:p w:rsidR="00A83F38" w:rsidRPr="00D33B70" w:rsidRDefault="00A83F38" w:rsidP="00430B8C">
            <w:pPr>
              <w:spacing w:line="300" w:lineRule="atLeast"/>
              <w:jc w:val="center"/>
              <w:rPr>
                <w:rFonts w:eastAsia="Arial Unicode MS" w:cs="Arial"/>
              </w:rPr>
            </w:pPr>
            <w:r w:rsidRPr="00D33B70">
              <w:rPr>
                <w:rFonts w:cs="Arial"/>
              </w:rPr>
              <w:t>0.95</w:t>
            </w:r>
          </w:p>
        </w:tc>
      </w:tr>
      <w:tr w:rsidR="00A83F38" w:rsidRPr="00D33B70" w:rsidTr="000A295A">
        <w:tc>
          <w:tcPr>
            <w:tcW w:w="4395" w:type="dxa"/>
            <w:vAlign w:val="center"/>
          </w:tcPr>
          <w:p w:rsidR="00A83F38" w:rsidRPr="00D33B70" w:rsidRDefault="00A83F38" w:rsidP="00430B8C">
            <w:pPr>
              <w:spacing w:line="300" w:lineRule="atLeast"/>
              <w:jc w:val="left"/>
              <w:rPr>
                <w:rFonts w:eastAsia="Arial Unicode MS" w:cs="Arial"/>
              </w:rPr>
            </w:pPr>
            <w:r w:rsidRPr="00D33B70">
              <w:rPr>
                <w:rFonts w:eastAsia="Arial Unicode MS" w:cs="Arial"/>
              </w:rPr>
              <w:t>Industrial</w:t>
            </w:r>
          </w:p>
        </w:tc>
        <w:tc>
          <w:tcPr>
            <w:tcW w:w="2409" w:type="dxa"/>
            <w:vAlign w:val="center"/>
          </w:tcPr>
          <w:p w:rsidR="00A83F38" w:rsidRPr="00D33B70" w:rsidRDefault="00A83F38" w:rsidP="00430B8C">
            <w:pPr>
              <w:spacing w:line="300" w:lineRule="atLeast"/>
              <w:jc w:val="center"/>
              <w:rPr>
                <w:rFonts w:eastAsia="Arial Unicode MS" w:cs="Arial"/>
              </w:rPr>
            </w:pPr>
            <w:r w:rsidRPr="00D33B70">
              <w:rPr>
                <w:rFonts w:eastAsia="Arial Unicode MS" w:cs="Arial"/>
              </w:rPr>
              <w:t>1</w:t>
            </w:r>
          </w:p>
        </w:tc>
      </w:tr>
      <w:tr w:rsidR="00A83F38" w:rsidRPr="00D33B70" w:rsidTr="000A295A">
        <w:tc>
          <w:tcPr>
            <w:tcW w:w="4395" w:type="dxa"/>
            <w:vAlign w:val="center"/>
          </w:tcPr>
          <w:p w:rsidR="00A83F38" w:rsidRPr="00D33B70" w:rsidRDefault="00A83F38" w:rsidP="00430B8C">
            <w:pPr>
              <w:spacing w:line="300" w:lineRule="atLeast"/>
              <w:jc w:val="left"/>
              <w:rPr>
                <w:rFonts w:cs="Arial"/>
              </w:rPr>
            </w:pPr>
            <w:r w:rsidRPr="00D33B70">
              <w:rPr>
                <w:rFonts w:cs="Arial"/>
              </w:rPr>
              <w:t>Hospitals</w:t>
            </w:r>
          </w:p>
        </w:tc>
        <w:tc>
          <w:tcPr>
            <w:tcW w:w="2409" w:type="dxa"/>
            <w:vAlign w:val="center"/>
          </w:tcPr>
          <w:p w:rsidR="00A83F38" w:rsidRPr="00D33B70" w:rsidRDefault="00A83F38" w:rsidP="00430B8C">
            <w:pPr>
              <w:spacing w:line="300" w:lineRule="atLeast"/>
              <w:jc w:val="center"/>
              <w:rPr>
                <w:rFonts w:cs="Arial"/>
              </w:rPr>
            </w:pPr>
            <w:r w:rsidRPr="00D33B70">
              <w:rPr>
                <w:rFonts w:cs="Arial"/>
              </w:rPr>
              <w:t>1</w:t>
            </w:r>
          </w:p>
        </w:tc>
      </w:tr>
      <w:tr w:rsidR="00A83F38" w:rsidRPr="00D33B70" w:rsidTr="000A295A">
        <w:tc>
          <w:tcPr>
            <w:tcW w:w="4395" w:type="dxa"/>
            <w:vAlign w:val="center"/>
          </w:tcPr>
          <w:p w:rsidR="00A83F38" w:rsidRPr="00D33B70" w:rsidRDefault="00A83F38" w:rsidP="00430B8C">
            <w:pPr>
              <w:spacing w:line="300" w:lineRule="atLeast"/>
              <w:jc w:val="left"/>
              <w:rPr>
                <w:rFonts w:cs="Arial"/>
              </w:rPr>
            </w:pPr>
            <w:r w:rsidRPr="00D33B70">
              <w:rPr>
                <w:rFonts w:cs="Arial"/>
              </w:rPr>
              <w:t>Open Space / Sports Grounds</w:t>
            </w:r>
          </w:p>
        </w:tc>
        <w:tc>
          <w:tcPr>
            <w:tcW w:w="2409" w:type="dxa"/>
            <w:vAlign w:val="center"/>
          </w:tcPr>
          <w:p w:rsidR="00A83F38" w:rsidRPr="00D33B70" w:rsidRDefault="00A83F38" w:rsidP="00430B8C">
            <w:pPr>
              <w:spacing w:line="300" w:lineRule="atLeast"/>
              <w:jc w:val="center"/>
              <w:rPr>
                <w:rFonts w:cs="Arial"/>
              </w:rPr>
            </w:pPr>
            <w:r w:rsidRPr="00D33B70">
              <w:rPr>
                <w:rFonts w:cs="Arial"/>
              </w:rPr>
              <w:t>0.15</w:t>
            </w:r>
          </w:p>
        </w:tc>
      </w:tr>
      <w:tr w:rsidR="00D35E8D" w:rsidRPr="00D33B70" w:rsidTr="000A295A">
        <w:tc>
          <w:tcPr>
            <w:tcW w:w="4395" w:type="dxa"/>
            <w:vAlign w:val="center"/>
          </w:tcPr>
          <w:p w:rsidR="00D35E8D" w:rsidRPr="00D33B70" w:rsidRDefault="00D35E8D" w:rsidP="00430B8C">
            <w:pPr>
              <w:spacing w:line="300" w:lineRule="atLeast"/>
              <w:jc w:val="left"/>
              <w:rPr>
                <w:rFonts w:cs="Arial"/>
              </w:rPr>
            </w:pPr>
            <w:r w:rsidRPr="00D33B70">
              <w:rPr>
                <w:rFonts w:cs="Arial"/>
              </w:rPr>
              <w:t>Farmland</w:t>
            </w:r>
          </w:p>
        </w:tc>
        <w:tc>
          <w:tcPr>
            <w:tcW w:w="2409" w:type="dxa"/>
            <w:vAlign w:val="center"/>
          </w:tcPr>
          <w:p w:rsidR="00D35E8D" w:rsidRPr="00D33B70" w:rsidRDefault="00D35E8D" w:rsidP="00430B8C">
            <w:pPr>
              <w:spacing w:line="300" w:lineRule="atLeast"/>
              <w:jc w:val="center"/>
              <w:rPr>
                <w:rFonts w:cs="Arial"/>
              </w:rPr>
            </w:pPr>
            <w:r w:rsidRPr="00D33B70">
              <w:rPr>
                <w:rFonts w:cs="Arial"/>
              </w:rPr>
              <w:t>0.05</w:t>
            </w:r>
          </w:p>
        </w:tc>
      </w:tr>
      <w:tr w:rsidR="00A83F38" w:rsidRPr="00D33B70" w:rsidTr="000A295A">
        <w:tc>
          <w:tcPr>
            <w:tcW w:w="4395" w:type="dxa"/>
            <w:vAlign w:val="center"/>
          </w:tcPr>
          <w:p w:rsidR="00A83F38" w:rsidRPr="00D33B70" w:rsidRDefault="00A83F38" w:rsidP="00430B8C">
            <w:pPr>
              <w:spacing w:line="300" w:lineRule="atLeast"/>
              <w:jc w:val="left"/>
              <w:rPr>
                <w:rFonts w:eastAsia="Arial Unicode MS" w:cs="Arial"/>
              </w:rPr>
            </w:pPr>
            <w:r w:rsidRPr="00D33B70">
              <w:rPr>
                <w:rFonts w:cs="Arial"/>
              </w:rPr>
              <w:t>Schools with large sports fields / Developed Parks</w:t>
            </w:r>
          </w:p>
        </w:tc>
        <w:tc>
          <w:tcPr>
            <w:tcW w:w="2409" w:type="dxa"/>
            <w:vAlign w:val="center"/>
          </w:tcPr>
          <w:p w:rsidR="00A83F38" w:rsidRPr="00D33B70" w:rsidRDefault="00A83F38" w:rsidP="00430B8C">
            <w:pPr>
              <w:spacing w:line="300" w:lineRule="atLeast"/>
              <w:jc w:val="center"/>
              <w:rPr>
                <w:rFonts w:eastAsia="Arial Unicode MS" w:cs="Arial"/>
              </w:rPr>
            </w:pPr>
            <w:r w:rsidRPr="00D33B70">
              <w:rPr>
                <w:rFonts w:cs="Arial"/>
              </w:rPr>
              <w:t>0.5</w:t>
            </w:r>
          </w:p>
        </w:tc>
      </w:tr>
      <w:tr w:rsidR="00A83F38" w:rsidRPr="00D33B70" w:rsidTr="000A295A">
        <w:tc>
          <w:tcPr>
            <w:tcW w:w="4395" w:type="dxa"/>
            <w:vAlign w:val="center"/>
          </w:tcPr>
          <w:p w:rsidR="00A83F38" w:rsidRPr="00D33B70" w:rsidRDefault="00A83F38" w:rsidP="00430B8C">
            <w:pPr>
              <w:spacing w:line="300" w:lineRule="atLeast"/>
              <w:jc w:val="left"/>
              <w:rPr>
                <w:rFonts w:cs="Arial"/>
              </w:rPr>
            </w:pPr>
            <w:r w:rsidRPr="00D33B70">
              <w:rPr>
                <w:rFonts w:cs="Arial"/>
              </w:rPr>
              <w:t>Schools with few fields</w:t>
            </w:r>
          </w:p>
        </w:tc>
        <w:tc>
          <w:tcPr>
            <w:tcW w:w="2409" w:type="dxa"/>
            <w:vAlign w:val="center"/>
          </w:tcPr>
          <w:p w:rsidR="00A83F38" w:rsidRPr="00D33B70" w:rsidRDefault="00A83F38" w:rsidP="00430B8C">
            <w:pPr>
              <w:spacing w:line="300" w:lineRule="atLeast"/>
              <w:jc w:val="center"/>
              <w:rPr>
                <w:rFonts w:cs="Arial"/>
              </w:rPr>
            </w:pPr>
            <w:r w:rsidRPr="00D33B70">
              <w:rPr>
                <w:rFonts w:cs="Arial"/>
              </w:rPr>
              <w:t>0.75</w:t>
            </w:r>
          </w:p>
        </w:tc>
      </w:tr>
      <w:tr w:rsidR="00A83F38" w:rsidRPr="00D33B70" w:rsidTr="000A295A">
        <w:tc>
          <w:tcPr>
            <w:tcW w:w="4395" w:type="dxa"/>
            <w:vAlign w:val="center"/>
          </w:tcPr>
          <w:p w:rsidR="00A83F38" w:rsidRPr="00D33B70" w:rsidRDefault="00A83F38" w:rsidP="00430B8C">
            <w:pPr>
              <w:spacing w:line="300" w:lineRule="atLeast"/>
              <w:jc w:val="left"/>
              <w:rPr>
                <w:rFonts w:eastAsia="Arial Unicode MS" w:cs="Arial"/>
              </w:rPr>
            </w:pPr>
            <w:r w:rsidRPr="00D33B70">
              <w:rPr>
                <w:rFonts w:cs="Arial"/>
              </w:rPr>
              <w:t>Major Roads</w:t>
            </w:r>
          </w:p>
        </w:tc>
        <w:tc>
          <w:tcPr>
            <w:tcW w:w="2409" w:type="dxa"/>
            <w:vAlign w:val="center"/>
          </w:tcPr>
          <w:p w:rsidR="00A83F38" w:rsidRPr="00D33B70" w:rsidRDefault="00A83F38" w:rsidP="00430B8C">
            <w:pPr>
              <w:spacing w:line="300" w:lineRule="atLeast"/>
              <w:jc w:val="center"/>
              <w:rPr>
                <w:rFonts w:eastAsia="Arial Unicode MS" w:cs="Arial"/>
              </w:rPr>
            </w:pPr>
            <w:r w:rsidRPr="00D33B70">
              <w:rPr>
                <w:rFonts w:eastAsia="Arial Unicode MS" w:cs="Arial"/>
              </w:rPr>
              <w:t>1</w:t>
            </w:r>
          </w:p>
        </w:tc>
      </w:tr>
      <w:tr w:rsidR="00A83F38" w:rsidRPr="00D33B70" w:rsidTr="000A295A">
        <w:tc>
          <w:tcPr>
            <w:tcW w:w="4395" w:type="dxa"/>
            <w:vAlign w:val="center"/>
          </w:tcPr>
          <w:p w:rsidR="00A83F38" w:rsidRPr="00D33B70" w:rsidRDefault="00A83F38" w:rsidP="00430B8C">
            <w:pPr>
              <w:spacing w:line="300" w:lineRule="atLeast"/>
              <w:jc w:val="left"/>
              <w:rPr>
                <w:rFonts w:cs="Arial"/>
              </w:rPr>
            </w:pPr>
            <w:r w:rsidRPr="00D33B70">
              <w:rPr>
                <w:rFonts w:cs="Arial"/>
              </w:rPr>
              <w:t>Minor Roads</w:t>
            </w:r>
          </w:p>
        </w:tc>
        <w:tc>
          <w:tcPr>
            <w:tcW w:w="2409" w:type="dxa"/>
            <w:vAlign w:val="center"/>
          </w:tcPr>
          <w:p w:rsidR="00A83F38" w:rsidRPr="00D33B70" w:rsidRDefault="00A83F38" w:rsidP="00430B8C">
            <w:pPr>
              <w:spacing w:line="300" w:lineRule="atLeast"/>
              <w:jc w:val="center"/>
              <w:rPr>
                <w:rFonts w:eastAsia="Arial Unicode MS" w:cs="Arial"/>
              </w:rPr>
            </w:pPr>
            <w:r w:rsidRPr="00D33B70">
              <w:rPr>
                <w:rFonts w:eastAsia="Arial Unicode MS" w:cs="Arial"/>
              </w:rPr>
              <w:t>0.8</w:t>
            </w:r>
          </w:p>
        </w:tc>
      </w:tr>
    </w:tbl>
    <w:p w:rsidR="00A83F38" w:rsidRPr="00D33B70" w:rsidRDefault="00A83F38" w:rsidP="00430B8C">
      <w:pPr>
        <w:pStyle w:val="Text"/>
        <w:ind w:right="-12"/>
      </w:pPr>
      <w:r w:rsidRPr="00D33B70">
        <w:t xml:space="preserve">The planning scheme data was used to establish an area-weighted average of the impervious fractions for each sub-catchment used in the hydrologic model. </w:t>
      </w:r>
    </w:p>
    <w:p w:rsidR="00B02ADF" w:rsidRPr="00D33B70" w:rsidRDefault="00325257" w:rsidP="00B26EF8">
      <w:pPr>
        <w:pStyle w:val="Heading4"/>
      </w:pPr>
      <w:bookmarkStart w:id="139" w:name="_Toc207788149"/>
      <w:bookmarkStart w:id="140" w:name="_Ref254967873"/>
      <w:bookmarkStart w:id="141" w:name="_Ref358819552"/>
      <w:bookmarkStart w:id="142" w:name="_Toc387308879"/>
      <w:r w:rsidRPr="00D33B70">
        <w:lastRenderedPageBreak/>
        <w:t>Retarding Basins</w:t>
      </w:r>
      <w:bookmarkEnd w:id="139"/>
      <w:bookmarkEnd w:id="140"/>
      <w:bookmarkEnd w:id="141"/>
      <w:bookmarkEnd w:id="142"/>
    </w:p>
    <w:p w:rsidR="00B02ADF" w:rsidRPr="00D33B70" w:rsidRDefault="00D36FAE" w:rsidP="00430B8C">
      <w:pPr>
        <w:pStyle w:val="Text"/>
        <w:ind w:right="-12"/>
      </w:pPr>
      <w:r w:rsidRPr="00D33B70">
        <w:t xml:space="preserve">The </w:t>
      </w:r>
      <w:r w:rsidR="006F4862" w:rsidRPr="00D33B70">
        <w:t xml:space="preserve">Kardinia Creek catchment </w:t>
      </w:r>
      <w:r w:rsidRPr="00D33B70">
        <w:t>includes 11 individual retarding basins, all of which are located</w:t>
      </w:r>
      <w:r w:rsidR="00B02ADF" w:rsidRPr="00D33B70">
        <w:t xml:space="preserve"> within the TUFLOW hydraulic model extent</w:t>
      </w:r>
      <w:r w:rsidR="00CA4C7A" w:rsidRPr="00D33B70">
        <w:t xml:space="preserve">.  </w:t>
      </w:r>
      <w:r w:rsidR="00B02ADF" w:rsidRPr="00D33B70">
        <w:t>The 2D hydraulic model determine</w:t>
      </w:r>
      <w:r w:rsidR="008847F7" w:rsidRPr="00D33B70">
        <w:t>s</w:t>
      </w:r>
      <w:r w:rsidR="00B02ADF" w:rsidRPr="00D33B70">
        <w:t xml:space="preserve"> the storage and discharge characteristics of the basins based upon the underlying topography and outlet structures, and therefore </w:t>
      </w:r>
      <w:r w:rsidR="00325257" w:rsidRPr="00D33B70">
        <w:t>do not need to be included in the RORB hydrologic model</w:t>
      </w:r>
      <w:r w:rsidR="00B02ADF" w:rsidRPr="00D33B70">
        <w:t xml:space="preserve">.  For the majority of sub-catchments within the hydraulic model extent, only local sub-area inflows are applied, not total hydrographs. </w:t>
      </w:r>
    </w:p>
    <w:p w:rsidR="00B02ADF" w:rsidRPr="00D33B70" w:rsidRDefault="00B02ADF" w:rsidP="00430B8C">
      <w:pPr>
        <w:pStyle w:val="Text"/>
        <w:ind w:right="-12"/>
      </w:pPr>
      <w:r w:rsidRPr="00D33B70">
        <w:t xml:space="preserve">However, as </w:t>
      </w:r>
      <w:r w:rsidR="002C39D3" w:rsidRPr="00D33B70">
        <w:t xml:space="preserve">eight of </w:t>
      </w:r>
      <w:r w:rsidRPr="00D33B70">
        <w:t>the retarding basin</w:t>
      </w:r>
      <w:r w:rsidR="002C39D3" w:rsidRPr="00D33B70">
        <w:t>'</w:t>
      </w:r>
      <w:r w:rsidRPr="00D33B70">
        <w:t xml:space="preserve">s relationships had previously been defined as part of the </w:t>
      </w:r>
      <w:r w:rsidR="00D36FAE" w:rsidRPr="00D33B70">
        <w:t>Thornhill Road Retarding Basin Assessment (WBM 2004)</w:t>
      </w:r>
      <w:r w:rsidRPr="00D33B70">
        <w:t>,</w:t>
      </w:r>
      <w:r w:rsidR="00D36FAE" w:rsidRPr="00D33B70">
        <w:t xml:space="preserve"> the Geelong Ring Road Hydraulic Assessment (</w:t>
      </w:r>
      <w:r w:rsidR="00164093" w:rsidRPr="00D33B70">
        <w:t>SKM 2008</w:t>
      </w:r>
      <w:r w:rsidR="00D36FAE" w:rsidRPr="00D33B70">
        <w:t>) and internal CoGG drainage assessments (pers comm)</w:t>
      </w:r>
      <w:r w:rsidR="00F11650" w:rsidRPr="00D33B70">
        <w:t>, these</w:t>
      </w:r>
      <w:r w:rsidRPr="00D33B70">
        <w:t xml:space="preserve"> relationships have been included in the </w:t>
      </w:r>
      <w:r w:rsidR="00D36FAE" w:rsidRPr="00D33B70">
        <w:t>Highton</w:t>
      </w:r>
      <w:r w:rsidRPr="00D33B70">
        <w:t xml:space="preserve"> RORB model for completeness.</w:t>
      </w:r>
      <w:r w:rsidR="002C39D3" w:rsidRPr="00D33B70">
        <w:t xml:space="preserve">  The remaining three </w:t>
      </w:r>
      <w:r w:rsidR="008047C7" w:rsidRPr="00D33B70">
        <w:t>retarding</w:t>
      </w:r>
      <w:r w:rsidR="002C39D3" w:rsidRPr="00D33B70">
        <w:t xml:space="preserve"> basins: </w:t>
      </w:r>
      <w:r w:rsidR="00C25661" w:rsidRPr="00D33B70">
        <w:t>Wandana Drive</w:t>
      </w:r>
      <w:r w:rsidR="002C39D3" w:rsidRPr="00D33B70">
        <w:t>, Burdekin/South Valley Road and McDonald Reserve, were modelled within the hydraulic model only as no stage-storage / storage-discharge relationships (or similar) were available.</w:t>
      </w:r>
      <w:r w:rsidR="009348D0" w:rsidRPr="00D33B70">
        <w:t xml:space="preserve">  </w:t>
      </w:r>
      <w:r w:rsidR="008047C7" w:rsidRPr="00D33B70">
        <w:t xml:space="preserve">For each of the basins within the hydraulic model, the </w:t>
      </w:r>
      <w:r w:rsidR="009348D0" w:rsidRPr="00D33B70">
        <w:t xml:space="preserve">LiDAR data </w:t>
      </w:r>
      <w:r w:rsidR="008047C7" w:rsidRPr="00D33B70">
        <w:t>effectively described the storage while t</w:t>
      </w:r>
      <w:r w:rsidR="009348D0" w:rsidRPr="00D33B70">
        <w:t>he outlet structure</w:t>
      </w:r>
      <w:r w:rsidR="008047C7" w:rsidRPr="00D33B70">
        <w:t xml:space="preserve"> c</w:t>
      </w:r>
      <w:r w:rsidR="009348D0" w:rsidRPr="00D33B70">
        <w:t xml:space="preserve">onfiguration </w:t>
      </w:r>
      <w:r w:rsidR="008047C7" w:rsidRPr="00D33B70">
        <w:t>was</w:t>
      </w:r>
      <w:r w:rsidR="009348D0" w:rsidRPr="00D33B70">
        <w:t xml:space="preserve"> based on design drawings supplied by Council.</w:t>
      </w:r>
    </w:p>
    <w:p w:rsidR="00D36FAE" w:rsidRPr="00D33B70" w:rsidRDefault="00D36FAE" w:rsidP="00E86295">
      <w:pPr>
        <w:pStyle w:val="Heading5"/>
      </w:pPr>
      <w:r w:rsidRPr="00D33B70">
        <w:t>Thornhill Road Retarding Basin Assessment</w:t>
      </w:r>
    </w:p>
    <w:p w:rsidR="0048725A" w:rsidRPr="00D33B70" w:rsidRDefault="0048725A" w:rsidP="00430B8C">
      <w:pPr>
        <w:pStyle w:val="Text"/>
      </w:pPr>
      <w:r w:rsidRPr="00D33B70">
        <w:t xml:space="preserve">Five of the retarding basins within the </w:t>
      </w:r>
      <w:r w:rsidR="006F4862" w:rsidRPr="00D33B70">
        <w:t xml:space="preserve">Kardinia Creek </w:t>
      </w:r>
      <w:r w:rsidRPr="00D33B70">
        <w:t>catchment have previously been modelled in the Thornhill Road Retarding Basin Assessment (WBM 2004).  These include:</w:t>
      </w:r>
    </w:p>
    <w:p w:rsidR="0048725A" w:rsidRPr="00D33B70" w:rsidRDefault="0048725A" w:rsidP="00430B8C">
      <w:pPr>
        <w:pStyle w:val="Text"/>
        <w:numPr>
          <w:ilvl w:val="0"/>
          <w:numId w:val="12"/>
        </w:numPr>
      </w:pPr>
      <w:r w:rsidRPr="00D33B70">
        <w:t>Sunderland Road Retarding Basin;</w:t>
      </w:r>
    </w:p>
    <w:p w:rsidR="0048725A" w:rsidRPr="00D33B70" w:rsidRDefault="00CB5B67" w:rsidP="00430B8C">
      <w:pPr>
        <w:pStyle w:val="Text"/>
        <w:numPr>
          <w:ilvl w:val="0"/>
          <w:numId w:val="12"/>
        </w:numPr>
      </w:pPr>
      <w:r w:rsidRPr="00D33B70">
        <w:t xml:space="preserve">Close </w:t>
      </w:r>
      <w:r w:rsidR="0048725A" w:rsidRPr="00D33B70">
        <w:t>Retarding Basin;</w:t>
      </w:r>
    </w:p>
    <w:p w:rsidR="0048725A" w:rsidRPr="00D33B70" w:rsidRDefault="00CB5B67" w:rsidP="00430B8C">
      <w:pPr>
        <w:pStyle w:val="Text"/>
        <w:numPr>
          <w:ilvl w:val="0"/>
          <w:numId w:val="12"/>
        </w:numPr>
      </w:pPr>
      <w:r w:rsidRPr="00D33B70">
        <w:t>Vanessa Avenue Retarding Avenue</w:t>
      </w:r>
      <w:r w:rsidR="00D33B70">
        <w:t xml:space="preserve"> </w:t>
      </w:r>
      <w:r w:rsidR="00164093" w:rsidRPr="00D33B70">
        <w:t>Basin</w:t>
      </w:r>
      <w:r w:rsidR="0048725A" w:rsidRPr="00D33B70">
        <w:t>;</w:t>
      </w:r>
    </w:p>
    <w:p w:rsidR="0048725A" w:rsidRPr="00D33B70" w:rsidRDefault="0048725A" w:rsidP="00430B8C">
      <w:pPr>
        <w:pStyle w:val="Text"/>
        <w:numPr>
          <w:ilvl w:val="0"/>
          <w:numId w:val="12"/>
        </w:numPr>
      </w:pPr>
      <w:r w:rsidRPr="00D33B70">
        <w:t xml:space="preserve">Thornhill Road </w:t>
      </w:r>
      <w:r w:rsidR="00CB5B67" w:rsidRPr="00D33B70">
        <w:t xml:space="preserve">Upper </w:t>
      </w:r>
      <w:r w:rsidRPr="00D33B70">
        <w:t>Retarding Basin; and</w:t>
      </w:r>
    </w:p>
    <w:p w:rsidR="0048725A" w:rsidRPr="00D33B70" w:rsidRDefault="0048725A" w:rsidP="00430B8C">
      <w:pPr>
        <w:pStyle w:val="Text"/>
        <w:numPr>
          <w:ilvl w:val="0"/>
          <w:numId w:val="12"/>
        </w:numPr>
      </w:pPr>
      <w:r w:rsidRPr="00D33B70">
        <w:t xml:space="preserve">Thornhill Road </w:t>
      </w:r>
      <w:r w:rsidR="00CB5B67" w:rsidRPr="00D33B70">
        <w:t xml:space="preserve">Lower </w:t>
      </w:r>
      <w:r w:rsidRPr="00D33B70">
        <w:t>Retarding Basin.</w:t>
      </w:r>
    </w:p>
    <w:p w:rsidR="002839AD" w:rsidRPr="00D33B70" w:rsidRDefault="00460D59" w:rsidP="00E86295">
      <w:pPr>
        <w:pStyle w:val="Text"/>
      </w:pPr>
      <w:r w:rsidRPr="00D33B70">
        <w:t>The parameters</w:t>
      </w:r>
      <w:r w:rsidR="00F120AC" w:rsidRPr="00D33B70">
        <w:t xml:space="preserve"> for these basins</w:t>
      </w:r>
      <w:r w:rsidRPr="00D33B70">
        <w:t xml:space="preserve"> have been taken directly from the Thornhill Road </w:t>
      </w:r>
      <w:r w:rsidR="007C0ACF" w:rsidRPr="00D33B70">
        <w:t xml:space="preserve">Retarding Basin </w:t>
      </w:r>
      <w:r w:rsidRPr="00D33B70">
        <w:t xml:space="preserve">Assessment and applied to </w:t>
      </w:r>
      <w:r w:rsidR="00F120AC" w:rsidRPr="00D33B70">
        <w:t xml:space="preserve">the Highton </w:t>
      </w:r>
      <w:r w:rsidRPr="00D33B70">
        <w:t xml:space="preserve">RORB </w:t>
      </w:r>
      <w:r w:rsidR="00F120AC" w:rsidRPr="00D33B70">
        <w:t xml:space="preserve">model </w:t>
      </w:r>
      <w:r w:rsidRPr="00D33B70">
        <w:t>using</w:t>
      </w:r>
      <w:r w:rsidR="00F120AC" w:rsidRPr="00D33B70">
        <w:t xml:space="preserve"> weir and pipe formulas consistent with </w:t>
      </w:r>
      <w:r w:rsidR="00447376" w:rsidRPr="00D33B70">
        <w:t>previous modelling</w:t>
      </w:r>
      <w:r w:rsidR="00CA4C7A" w:rsidRPr="00D33B70">
        <w:t xml:space="preserve">.  </w:t>
      </w:r>
      <w:r w:rsidR="002839AD" w:rsidRPr="00D33B70">
        <w:t>The adopted basin details are prov</w:t>
      </w:r>
      <w:r w:rsidR="00F120AC" w:rsidRPr="00D33B70">
        <w:t>id</w:t>
      </w:r>
      <w:r w:rsidR="002839AD" w:rsidRPr="00D33B70">
        <w:t>ed in</w:t>
      </w:r>
      <w:r w:rsidR="00046074" w:rsidRPr="00D33B70">
        <w:t xml:space="preserve"> </w:t>
      </w:r>
      <w:r w:rsidR="008F1E39" w:rsidRPr="00D33B70">
        <w:fldChar w:fldCharType="begin"/>
      </w:r>
      <w:r w:rsidR="008F1E39" w:rsidRPr="00D33B70">
        <w:instrText xml:space="preserve"> REF _Ref297798177 \h  \* MERGEFORMAT </w:instrText>
      </w:r>
      <w:r w:rsidR="008F1E39" w:rsidRPr="00D33B70">
        <w:fldChar w:fldCharType="separate"/>
      </w:r>
      <w:r w:rsidR="00AC6986" w:rsidRPr="00D33B70">
        <w:t xml:space="preserve">Table </w:t>
      </w:r>
      <w:r w:rsidR="00AC6986">
        <w:t>4</w:t>
      </w:r>
      <w:r w:rsidR="00AC6986" w:rsidRPr="00D33B70">
        <w:noBreakHyphen/>
      </w:r>
      <w:r w:rsidR="00AC6986">
        <w:t>5</w:t>
      </w:r>
      <w:r w:rsidR="008F1E39" w:rsidRPr="00D33B70">
        <w:fldChar w:fldCharType="end"/>
      </w:r>
      <w:r w:rsidR="008E3F5F" w:rsidRPr="00D33B70">
        <w:t>.</w:t>
      </w:r>
    </w:p>
    <w:p w:rsidR="00546F41" w:rsidRPr="00D33B70" w:rsidRDefault="00546F41" w:rsidP="00046074">
      <w:pPr>
        <w:pStyle w:val="Text"/>
      </w:pPr>
      <w:bookmarkStart w:id="143" w:name="_Ref289952941"/>
      <w:r w:rsidRPr="00D33B70">
        <w:br w:type="page"/>
      </w:r>
    </w:p>
    <w:p w:rsidR="002839AD" w:rsidRPr="00D33B70" w:rsidRDefault="002839AD" w:rsidP="00430B8C">
      <w:pPr>
        <w:pStyle w:val="Caption"/>
        <w:keepNext/>
      </w:pPr>
      <w:bookmarkStart w:id="144" w:name="_Ref297798177"/>
      <w:bookmarkStart w:id="145" w:name="_Toc387308976"/>
      <w:r w:rsidRPr="00D33B70">
        <w:lastRenderedPageBreak/>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4</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5</w:t>
      </w:r>
      <w:r w:rsidR="00FF3C04" w:rsidRPr="00D33B70">
        <w:fldChar w:fldCharType="end"/>
      </w:r>
      <w:bookmarkEnd w:id="143"/>
      <w:bookmarkEnd w:id="144"/>
      <w:r w:rsidR="00430B8C" w:rsidRPr="00D33B70">
        <w:tab/>
      </w:r>
      <w:r w:rsidRPr="00D33B70">
        <w:t xml:space="preserve">Thornhill Road </w:t>
      </w:r>
      <w:r w:rsidR="0055338D" w:rsidRPr="00D33B70">
        <w:t xml:space="preserve">Assessment </w:t>
      </w:r>
      <w:r w:rsidRPr="00D33B70">
        <w:t>Retarding Basin Details</w:t>
      </w:r>
      <w:bookmarkEnd w:id="145"/>
    </w:p>
    <w:tbl>
      <w:tblPr>
        <w:tblW w:w="878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74"/>
        <w:gridCol w:w="1474"/>
        <w:gridCol w:w="1474"/>
        <w:gridCol w:w="1474"/>
        <w:gridCol w:w="1475"/>
      </w:tblGrid>
      <w:tr w:rsidR="002839AD" w:rsidRPr="00D33B70" w:rsidTr="00D90785">
        <w:trPr>
          <w:trHeight w:val="406"/>
        </w:trPr>
        <w:tc>
          <w:tcPr>
            <w:tcW w:w="1417" w:type="dxa"/>
            <w:shd w:val="pct10" w:color="auto" w:fill="FFFFFF" w:themeFill="background1"/>
            <w:vAlign w:val="center"/>
          </w:tcPr>
          <w:p w:rsidR="009F228A" w:rsidRPr="00D33B70" w:rsidRDefault="002839AD" w:rsidP="00430B8C">
            <w:pPr>
              <w:pStyle w:val="ListContinue2"/>
              <w:keepNext/>
              <w:tabs>
                <w:tab w:val="clear" w:pos="-720"/>
              </w:tabs>
              <w:suppressAutoHyphens w:val="0"/>
              <w:spacing w:before="40" w:after="40"/>
              <w:jc w:val="center"/>
              <w:rPr>
                <w:rFonts w:cs="Arial"/>
                <w:b/>
              </w:rPr>
            </w:pPr>
            <w:r w:rsidRPr="00D33B70">
              <w:rPr>
                <w:rFonts w:cs="Arial"/>
                <w:b/>
              </w:rPr>
              <w:t>Parameter</w:t>
            </w:r>
          </w:p>
        </w:tc>
        <w:tc>
          <w:tcPr>
            <w:tcW w:w="1474" w:type="dxa"/>
            <w:shd w:val="pct10" w:color="auto" w:fill="FFFFFF" w:themeFill="background1"/>
            <w:vAlign w:val="center"/>
          </w:tcPr>
          <w:p w:rsidR="002839AD" w:rsidRPr="00D33B70" w:rsidRDefault="002839AD" w:rsidP="00430B8C">
            <w:pPr>
              <w:pStyle w:val="ListContinue2"/>
              <w:keepNext/>
              <w:tabs>
                <w:tab w:val="clear" w:pos="-720"/>
              </w:tabs>
              <w:suppressAutoHyphens w:val="0"/>
              <w:spacing w:before="40" w:after="40"/>
              <w:jc w:val="center"/>
              <w:rPr>
                <w:rFonts w:cs="Arial"/>
                <w:b/>
              </w:rPr>
            </w:pPr>
            <w:r w:rsidRPr="00D33B70">
              <w:rPr>
                <w:rFonts w:cs="Arial"/>
                <w:b/>
              </w:rPr>
              <w:t>Sunderland Road RB</w:t>
            </w:r>
          </w:p>
        </w:tc>
        <w:tc>
          <w:tcPr>
            <w:tcW w:w="1474" w:type="dxa"/>
            <w:shd w:val="pct10" w:color="auto" w:fill="FFFFFF" w:themeFill="background1"/>
            <w:vAlign w:val="center"/>
          </w:tcPr>
          <w:p w:rsidR="002839AD" w:rsidRPr="00D33B70" w:rsidRDefault="00F66493" w:rsidP="00430B8C">
            <w:pPr>
              <w:pStyle w:val="ListContinue2"/>
              <w:keepNext/>
              <w:tabs>
                <w:tab w:val="clear" w:pos="-720"/>
              </w:tabs>
              <w:suppressAutoHyphens w:val="0"/>
              <w:spacing w:before="40" w:after="40"/>
              <w:jc w:val="center"/>
              <w:rPr>
                <w:rFonts w:cs="Arial"/>
                <w:b/>
              </w:rPr>
            </w:pPr>
            <w:r w:rsidRPr="00D33B70">
              <w:rPr>
                <w:rFonts w:cs="Arial"/>
                <w:b/>
              </w:rPr>
              <w:t xml:space="preserve">Mercia </w:t>
            </w:r>
            <w:r w:rsidR="00CB5B67" w:rsidRPr="00D33B70">
              <w:rPr>
                <w:rFonts w:cs="Arial"/>
                <w:b/>
              </w:rPr>
              <w:t>Close</w:t>
            </w:r>
            <w:r w:rsidR="002839AD" w:rsidRPr="00D33B70">
              <w:rPr>
                <w:rFonts w:cs="Arial"/>
                <w:b/>
              </w:rPr>
              <w:t xml:space="preserve"> RB</w:t>
            </w:r>
          </w:p>
        </w:tc>
        <w:tc>
          <w:tcPr>
            <w:tcW w:w="1474" w:type="dxa"/>
            <w:shd w:val="pct10" w:color="auto" w:fill="FFFFFF" w:themeFill="background1"/>
            <w:vAlign w:val="center"/>
          </w:tcPr>
          <w:p w:rsidR="002839AD" w:rsidRPr="00D33B70" w:rsidRDefault="00CB5B67" w:rsidP="00430B8C">
            <w:pPr>
              <w:pStyle w:val="ListContinue2"/>
              <w:keepNext/>
              <w:tabs>
                <w:tab w:val="clear" w:pos="-720"/>
              </w:tabs>
              <w:suppressAutoHyphens w:val="0"/>
              <w:spacing w:before="40" w:after="40"/>
              <w:jc w:val="center"/>
              <w:rPr>
                <w:rFonts w:cs="Arial"/>
                <w:b/>
              </w:rPr>
            </w:pPr>
            <w:r w:rsidRPr="00D33B70">
              <w:rPr>
                <w:rFonts w:cs="Arial"/>
                <w:b/>
              </w:rPr>
              <w:t>Vanessa Avenue</w:t>
            </w:r>
            <w:r w:rsidR="002839AD" w:rsidRPr="00D33B70">
              <w:rPr>
                <w:rFonts w:cs="Arial"/>
                <w:b/>
              </w:rPr>
              <w:t xml:space="preserve"> </w:t>
            </w:r>
            <w:r w:rsidRPr="00D33B70">
              <w:rPr>
                <w:rFonts w:cs="Arial"/>
                <w:b/>
              </w:rPr>
              <w:t>RB</w:t>
            </w:r>
          </w:p>
        </w:tc>
        <w:tc>
          <w:tcPr>
            <w:tcW w:w="1474" w:type="dxa"/>
            <w:shd w:val="pct10" w:color="auto" w:fill="FFFFFF" w:themeFill="background1"/>
            <w:vAlign w:val="center"/>
          </w:tcPr>
          <w:p w:rsidR="002839AD" w:rsidRPr="00D33B70" w:rsidRDefault="002839AD" w:rsidP="00430B8C">
            <w:pPr>
              <w:pStyle w:val="ListContinue2"/>
              <w:keepNext/>
              <w:tabs>
                <w:tab w:val="clear" w:pos="-720"/>
              </w:tabs>
              <w:suppressAutoHyphens w:val="0"/>
              <w:spacing w:before="40" w:after="40"/>
              <w:jc w:val="center"/>
              <w:rPr>
                <w:rFonts w:cs="Arial"/>
                <w:b/>
              </w:rPr>
            </w:pPr>
            <w:r w:rsidRPr="00D33B70">
              <w:rPr>
                <w:rFonts w:cs="Arial"/>
                <w:b/>
              </w:rPr>
              <w:t>Thornhill R</w:t>
            </w:r>
            <w:r w:rsidR="00275AC1" w:rsidRPr="00D33B70">
              <w:rPr>
                <w:rFonts w:cs="Arial"/>
                <w:b/>
              </w:rPr>
              <w:t>oa</w:t>
            </w:r>
            <w:r w:rsidRPr="00D33B70">
              <w:rPr>
                <w:rFonts w:cs="Arial"/>
                <w:b/>
              </w:rPr>
              <w:t xml:space="preserve">d </w:t>
            </w:r>
            <w:r w:rsidR="00CB5B67" w:rsidRPr="00D33B70">
              <w:rPr>
                <w:rFonts w:cs="Arial"/>
                <w:b/>
              </w:rPr>
              <w:t xml:space="preserve">Upper </w:t>
            </w:r>
            <w:r w:rsidRPr="00D33B70">
              <w:rPr>
                <w:rFonts w:cs="Arial"/>
                <w:b/>
              </w:rPr>
              <w:t>RB</w:t>
            </w:r>
          </w:p>
        </w:tc>
        <w:tc>
          <w:tcPr>
            <w:tcW w:w="1475" w:type="dxa"/>
            <w:shd w:val="pct10" w:color="auto" w:fill="FFFFFF" w:themeFill="background1"/>
            <w:vAlign w:val="center"/>
          </w:tcPr>
          <w:p w:rsidR="009F228A" w:rsidRPr="00D33B70" w:rsidRDefault="002839AD" w:rsidP="00430B8C">
            <w:pPr>
              <w:pStyle w:val="ListContinue2"/>
              <w:keepNext/>
              <w:tabs>
                <w:tab w:val="clear" w:pos="-720"/>
              </w:tabs>
              <w:suppressAutoHyphens w:val="0"/>
              <w:spacing w:before="40" w:after="40"/>
              <w:jc w:val="center"/>
              <w:rPr>
                <w:rFonts w:cs="Arial"/>
                <w:b/>
              </w:rPr>
            </w:pPr>
            <w:r w:rsidRPr="00D33B70">
              <w:rPr>
                <w:rFonts w:cs="Arial"/>
                <w:b/>
              </w:rPr>
              <w:t>Thornhill R</w:t>
            </w:r>
            <w:r w:rsidR="00275AC1" w:rsidRPr="00D33B70">
              <w:rPr>
                <w:rFonts w:cs="Arial"/>
                <w:b/>
              </w:rPr>
              <w:t>oa</w:t>
            </w:r>
            <w:r w:rsidRPr="00D33B70">
              <w:rPr>
                <w:rFonts w:cs="Arial"/>
                <w:b/>
              </w:rPr>
              <w:t xml:space="preserve">d </w:t>
            </w:r>
            <w:r w:rsidR="00CB5B67" w:rsidRPr="00D33B70">
              <w:rPr>
                <w:rFonts w:cs="Arial"/>
                <w:b/>
              </w:rPr>
              <w:t xml:space="preserve">Lower </w:t>
            </w:r>
            <w:r w:rsidRPr="00D33B70">
              <w:rPr>
                <w:rFonts w:cs="Arial"/>
                <w:b/>
              </w:rPr>
              <w:t>RB</w:t>
            </w:r>
          </w:p>
        </w:tc>
      </w:tr>
      <w:tr w:rsidR="002839AD" w:rsidRPr="00D33B70" w:rsidTr="00275AC1">
        <w:trPr>
          <w:trHeight w:val="705"/>
        </w:trPr>
        <w:tc>
          <w:tcPr>
            <w:tcW w:w="1417" w:type="dxa"/>
            <w:vAlign w:val="center"/>
          </w:tcPr>
          <w:p w:rsidR="002839AD" w:rsidRPr="00D33B70" w:rsidRDefault="002839AD" w:rsidP="007658DB">
            <w:pPr>
              <w:pStyle w:val="Text"/>
              <w:spacing w:before="60" w:after="60" w:line="240" w:lineRule="auto"/>
              <w:ind w:left="0"/>
              <w:jc w:val="left"/>
            </w:pPr>
            <w:r w:rsidRPr="00D33B70">
              <w:t>Peak storage at weir crest</w:t>
            </w:r>
          </w:p>
        </w:tc>
        <w:tc>
          <w:tcPr>
            <w:tcW w:w="1474" w:type="dxa"/>
            <w:vAlign w:val="center"/>
          </w:tcPr>
          <w:p w:rsidR="002839AD" w:rsidRPr="00D33B70" w:rsidRDefault="002839AD" w:rsidP="007658DB">
            <w:pPr>
              <w:pStyle w:val="Text"/>
              <w:spacing w:before="60" w:after="60" w:line="240" w:lineRule="auto"/>
              <w:ind w:left="0"/>
              <w:jc w:val="center"/>
            </w:pPr>
            <w:r w:rsidRPr="00D33B70">
              <w:t>1700 m</w:t>
            </w:r>
            <w:r w:rsidRPr="00D33B70">
              <w:rPr>
                <w:vertAlign w:val="superscript"/>
              </w:rPr>
              <w:t>3</w:t>
            </w:r>
          </w:p>
        </w:tc>
        <w:tc>
          <w:tcPr>
            <w:tcW w:w="1474" w:type="dxa"/>
            <w:vAlign w:val="center"/>
          </w:tcPr>
          <w:p w:rsidR="002839AD" w:rsidRPr="00D33B70" w:rsidRDefault="002839AD" w:rsidP="007658DB">
            <w:pPr>
              <w:pStyle w:val="Text"/>
              <w:spacing w:before="60" w:after="60" w:line="240" w:lineRule="auto"/>
              <w:ind w:left="0"/>
              <w:jc w:val="center"/>
            </w:pPr>
            <w:r w:rsidRPr="00D33B70">
              <w:t>3100 m</w:t>
            </w:r>
            <w:r w:rsidRPr="00D33B70">
              <w:rPr>
                <w:vertAlign w:val="superscript"/>
              </w:rPr>
              <w:t>3</w:t>
            </w:r>
          </w:p>
        </w:tc>
        <w:tc>
          <w:tcPr>
            <w:tcW w:w="1474" w:type="dxa"/>
            <w:vAlign w:val="center"/>
          </w:tcPr>
          <w:p w:rsidR="002839AD" w:rsidRPr="00D33B70" w:rsidRDefault="002839AD" w:rsidP="007658DB">
            <w:pPr>
              <w:pStyle w:val="Text"/>
              <w:spacing w:before="60" w:after="60" w:line="240" w:lineRule="auto"/>
              <w:ind w:left="0"/>
              <w:jc w:val="center"/>
            </w:pPr>
            <w:r w:rsidRPr="00D33B70">
              <w:t>560 m</w:t>
            </w:r>
            <w:r w:rsidRPr="00D33B70">
              <w:rPr>
                <w:vertAlign w:val="superscript"/>
              </w:rPr>
              <w:t>3</w:t>
            </w:r>
          </w:p>
        </w:tc>
        <w:tc>
          <w:tcPr>
            <w:tcW w:w="1474" w:type="dxa"/>
            <w:vAlign w:val="center"/>
          </w:tcPr>
          <w:p w:rsidR="002839AD" w:rsidRPr="00D33B70" w:rsidRDefault="002839AD" w:rsidP="007658DB">
            <w:pPr>
              <w:pStyle w:val="Text"/>
              <w:spacing w:before="60" w:after="60" w:line="240" w:lineRule="auto"/>
              <w:ind w:left="0"/>
              <w:jc w:val="center"/>
            </w:pPr>
            <w:r w:rsidRPr="00D33B70">
              <w:t>88 600 m</w:t>
            </w:r>
            <w:r w:rsidRPr="00D33B70">
              <w:rPr>
                <w:vertAlign w:val="superscript"/>
              </w:rPr>
              <w:t>3</w:t>
            </w:r>
          </w:p>
        </w:tc>
        <w:tc>
          <w:tcPr>
            <w:tcW w:w="1475" w:type="dxa"/>
            <w:vAlign w:val="center"/>
          </w:tcPr>
          <w:p w:rsidR="002839AD" w:rsidRPr="00D33B70" w:rsidRDefault="002839AD" w:rsidP="007658DB">
            <w:pPr>
              <w:pStyle w:val="Text"/>
              <w:spacing w:before="60" w:after="60" w:line="240" w:lineRule="auto"/>
              <w:ind w:left="0"/>
              <w:jc w:val="center"/>
            </w:pPr>
            <w:r w:rsidRPr="00D33B70">
              <w:t>4 700m</w:t>
            </w:r>
            <w:r w:rsidRPr="00D33B70">
              <w:rPr>
                <w:vertAlign w:val="superscript"/>
              </w:rPr>
              <w:t>3</w:t>
            </w:r>
          </w:p>
        </w:tc>
      </w:tr>
      <w:tr w:rsidR="002839AD" w:rsidRPr="00D33B70" w:rsidTr="00275AC1">
        <w:trPr>
          <w:trHeight w:val="406"/>
        </w:trPr>
        <w:tc>
          <w:tcPr>
            <w:tcW w:w="1417" w:type="dxa"/>
            <w:vAlign w:val="center"/>
          </w:tcPr>
          <w:p w:rsidR="002839AD" w:rsidRPr="00D33B70" w:rsidRDefault="002839AD" w:rsidP="007658DB">
            <w:pPr>
              <w:pStyle w:val="Text"/>
              <w:spacing w:before="60" w:after="60" w:line="240" w:lineRule="auto"/>
              <w:ind w:left="0"/>
              <w:jc w:val="left"/>
            </w:pPr>
            <w:r w:rsidRPr="00D33B70">
              <w:t>Overflow weir crest</w:t>
            </w:r>
          </w:p>
        </w:tc>
        <w:tc>
          <w:tcPr>
            <w:tcW w:w="1474" w:type="dxa"/>
            <w:vAlign w:val="center"/>
          </w:tcPr>
          <w:p w:rsidR="002839AD" w:rsidRPr="00D33B70" w:rsidRDefault="002839AD" w:rsidP="007658DB">
            <w:pPr>
              <w:pStyle w:val="Text"/>
              <w:spacing w:before="60" w:after="60" w:line="240" w:lineRule="auto"/>
              <w:ind w:left="0"/>
              <w:jc w:val="center"/>
            </w:pPr>
            <w:r w:rsidRPr="00D33B70">
              <w:t>100.0 m AHD</w:t>
            </w:r>
          </w:p>
        </w:tc>
        <w:tc>
          <w:tcPr>
            <w:tcW w:w="1474" w:type="dxa"/>
            <w:vAlign w:val="center"/>
          </w:tcPr>
          <w:p w:rsidR="002839AD" w:rsidRPr="00D33B70" w:rsidRDefault="002839AD" w:rsidP="007658DB">
            <w:pPr>
              <w:pStyle w:val="Text"/>
              <w:spacing w:before="60" w:after="60" w:line="240" w:lineRule="auto"/>
              <w:ind w:left="0"/>
              <w:jc w:val="center"/>
            </w:pPr>
            <w:r w:rsidRPr="00D33B70">
              <w:t>54.2 m AHD</w:t>
            </w:r>
          </w:p>
        </w:tc>
        <w:tc>
          <w:tcPr>
            <w:tcW w:w="1474" w:type="dxa"/>
            <w:vAlign w:val="center"/>
          </w:tcPr>
          <w:p w:rsidR="002839AD" w:rsidRPr="00D33B70" w:rsidRDefault="002839AD" w:rsidP="007658DB">
            <w:pPr>
              <w:pStyle w:val="Text"/>
              <w:spacing w:before="60" w:after="60" w:line="240" w:lineRule="auto"/>
              <w:ind w:left="0"/>
              <w:jc w:val="center"/>
            </w:pPr>
            <w:r w:rsidRPr="00D33B70">
              <w:t>32.2 m AHD</w:t>
            </w:r>
          </w:p>
        </w:tc>
        <w:tc>
          <w:tcPr>
            <w:tcW w:w="1474" w:type="dxa"/>
            <w:vAlign w:val="center"/>
          </w:tcPr>
          <w:p w:rsidR="002839AD" w:rsidRPr="00D33B70" w:rsidRDefault="002839AD" w:rsidP="007658DB">
            <w:pPr>
              <w:pStyle w:val="Text"/>
              <w:spacing w:before="60" w:after="60" w:line="240" w:lineRule="auto"/>
              <w:ind w:left="0"/>
              <w:jc w:val="center"/>
            </w:pPr>
            <w:r w:rsidRPr="00D33B70">
              <w:t>48.0 m AHD</w:t>
            </w:r>
          </w:p>
        </w:tc>
        <w:tc>
          <w:tcPr>
            <w:tcW w:w="1475" w:type="dxa"/>
            <w:vAlign w:val="center"/>
          </w:tcPr>
          <w:p w:rsidR="002839AD" w:rsidRPr="00D33B70" w:rsidRDefault="002839AD" w:rsidP="007658DB">
            <w:pPr>
              <w:pStyle w:val="Text"/>
              <w:spacing w:before="60" w:after="60" w:line="240" w:lineRule="auto"/>
              <w:ind w:left="0"/>
              <w:jc w:val="center"/>
            </w:pPr>
            <w:r w:rsidRPr="00D33B70">
              <w:t>40.4 m AHD</w:t>
            </w:r>
          </w:p>
        </w:tc>
      </w:tr>
      <w:tr w:rsidR="002839AD" w:rsidRPr="00D33B70" w:rsidTr="00275AC1">
        <w:trPr>
          <w:trHeight w:val="705"/>
        </w:trPr>
        <w:tc>
          <w:tcPr>
            <w:tcW w:w="1417" w:type="dxa"/>
            <w:vAlign w:val="center"/>
          </w:tcPr>
          <w:p w:rsidR="002839AD" w:rsidRPr="00D33B70" w:rsidRDefault="002839AD" w:rsidP="007658DB">
            <w:pPr>
              <w:pStyle w:val="Text"/>
              <w:spacing w:before="60" w:after="60" w:line="240" w:lineRule="auto"/>
              <w:ind w:left="0"/>
              <w:jc w:val="left"/>
            </w:pPr>
            <w:r w:rsidRPr="00D33B70">
              <w:t>Overflow weir crest length</w:t>
            </w:r>
          </w:p>
        </w:tc>
        <w:tc>
          <w:tcPr>
            <w:tcW w:w="1474" w:type="dxa"/>
            <w:vAlign w:val="center"/>
          </w:tcPr>
          <w:p w:rsidR="002839AD" w:rsidRPr="00D33B70" w:rsidRDefault="002839AD" w:rsidP="007658DB">
            <w:pPr>
              <w:pStyle w:val="Text"/>
              <w:spacing w:before="60" w:after="60" w:line="240" w:lineRule="auto"/>
              <w:ind w:left="0"/>
              <w:jc w:val="center"/>
            </w:pPr>
            <w:r w:rsidRPr="00D33B70">
              <w:t xml:space="preserve">6 m </w:t>
            </w:r>
          </w:p>
        </w:tc>
        <w:tc>
          <w:tcPr>
            <w:tcW w:w="1474" w:type="dxa"/>
            <w:vAlign w:val="center"/>
          </w:tcPr>
          <w:p w:rsidR="002839AD" w:rsidRPr="00D33B70" w:rsidRDefault="002839AD" w:rsidP="007658DB">
            <w:pPr>
              <w:pStyle w:val="Text"/>
              <w:spacing w:before="60" w:after="60" w:line="240" w:lineRule="auto"/>
              <w:ind w:left="0"/>
              <w:jc w:val="center"/>
            </w:pPr>
            <w:r w:rsidRPr="00D33B70">
              <w:t>10 m</w:t>
            </w:r>
          </w:p>
        </w:tc>
        <w:tc>
          <w:tcPr>
            <w:tcW w:w="1474" w:type="dxa"/>
            <w:vAlign w:val="center"/>
          </w:tcPr>
          <w:p w:rsidR="002839AD" w:rsidRPr="00D33B70" w:rsidRDefault="002839AD" w:rsidP="007658DB">
            <w:pPr>
              <w:pStyle w:val="Text"/>
              <w:spacing w:before="60" w:after="60" w:line="240" w:lineRule="auto"/>
              <w:ind w:left="0"/>
              <w:jc w:val="center"/>
            </w:pPr>
            <w:r w:rsidRPr="00D33B70">
              <w:t>20 m</w:t>
            </w:r>
          </w:p>
        </w:tc>
        <w:tc>
          <w:tcPr>
            <w:tcW w:w="1474" w:type="dxa"/>
            <w:vAlign w:val="center"/>
          </w:tcPr>
          <w:p w:rsidR="002839AD" w:rsidRPr="00D33B70" w:rsidRDefault="002839AD" w:rsidP="007658DB">
            <w:pPr>
              <w:pStyle w:val="Text"/>
              <w:spacing w:before="60" w:after="60" w:line="240" w:lineRule="auto"/>
              <w:ind w:left="0"/>
              <w:jc w:val="center"/>
            </w:pPr>
            <w:r w:rsidRPr="00D33B70">
              <w:t>50 m</w:t>
            </w:r>
          </w:p>
        </w:tc>
        <w:tc>
          <w:tcPr>
            <w:tcW w:w="1475" w:type="dxa"/>
            <w:vAlign w:val="center"/>
          </w:tcPr>
          <w:p w:rsidR="002839AD" w:rsidRPr="00D33B70" w:rsidRDefault="002839AD" w:rsidP="007658DB">
            <w:pPr>
              <w:pStyle w:val="Text"/>
              <w:spacing w:before="60" w:after="60" w:line="240" w:lineRule="auto"/>
              <w:ind w:left="0"/>
              <w:jc w:val="center"/>
            </w:pPr>
            <w:r w:rsidRPr="00D33B70">
              <w:t>50 m</w:t>
            </w:r>
          </w:p>
        </w:tc>
      </w:tr>
      <w:tr w:rsidR="002839AD" w:rsidRPr="00D33B70" w:rsidTr="00275AC1">
        <w:trPr>
          <w:trHeight w:val="406"/>
        </w:trPr>
        <w:tc>
          <w:tcPr>
            <w:tcW w:w="1417" w:type="dxa"/>
            <w:vAlign w:val="center"/>
          </w:tcPr>
          <w:p w:rsidR="002839AD" w:rsidRPr="00D33B70" w:rsidRDefault="002839AD" w:rsidP="007658DB">
            <w:pPr>
              <w:pStyle w:val="Text"/>
              <w:spacing w:before="60" w:after="60" w:line="240" w:lineRule="auto"/>
              <w:ind w:left="0"/>
              <w:jc w:val="left"/>
            </w:pPr>
            <w:r w:rsidRPr="00D33B70">
              <w:t>Pipe outlet diameter</w:t>
            </w:r>
          </w:p>
        </w:tc>
        <w:tc>
          <w:tcPr>
            <w:tcW w:w="1474" w:type="dxa"/>
            <w:vAlign w:val="center"/>
          </w:tcPr>
          <w:p w:rsidR="002839AD" w:rsidRPr="00D33B70" w:rsidRDefault="002839AD" w:rsidP="007658DB">
            <w:pPr>
              <w:pStyle w:val="Text"/>
              <w:spacing w:before="60" w:after="60" w:line="240" w:lineRule="auto"/>
              <w:ind w:left="0"/>
              <w:jc w:val="center"/>
            </w:pPr>
            <w:r w:rsidRPr="00D33B70">
              <w:t>1 x 450 mm</w:t>
            </w:r>
          </w:p>
        </w:tc>
        <w:tc>
          <w:tcPr>
            <w:tcW w:w="1474" w:type="dxa"/>
            <w:vAlign w:val="center"/>
          </w:tcPr>
          <w:p w:rsidR="002839AD" w:rsidRPr="00D33B70" w:rsidRDefault="002839AD" w:rsidP="007658DB">
            <w:pPr>
              <w:pStyle w:val="Text"/>
              <w:spacing w:before="60" w:after="60" w:line="240" w:lineRule="auto"/>
              <w:ind w:left="0"/>
              <w:jc w:val="center"/>
            </w:pPr>
            <w:r w:rsidRPr="00D33B70">
              <w:t>1 x 450 mm</w:t>
            </w:r>
          </w:p>
        </w:tc>
        <w:tc>
          <w:tcPr>
            <w:tcW w:w="1474" w:type="dxa"/>
            <w:vAlign w:val="center"/>
          </w:tcPr>
          <w:p w:rsidR="002839AD" w:rsidRPr="00D33B70" w:rsidRDefault="002839AD" w:rsidP="007658DB">
            <w:pPr>
              <w:pStyle w:val="Text"/>
              <w:spacing w:before="60" w:after="60" w:line="240" w:lineRule="auto"/>
              <w:ind w:left="0"/>
              <w:jc w:val="center"/>
            </w:pPr>
            <w:r w:rsidRPr="00D33B70">
              <w:t>1 x 675 mm RCP &amp; 2 x 900x900 mm RCB</w:t>
            </w:r>
            <w:r w:rsidR="00164093" w:rsidRPr="00D33B70">
              <w:t>C</w:t>
            </w:r>
          </w:p>
        </w:tc>
        <w:tc>
          <w:tcPr>
            <w:tcW w:w="1474" w:type="dxa"/>
            <w:vAlign w:val="center"/>
          </w:tcPr>
          <w:p w:rsidR="002839AD" w:rsidRPr="00D33B70" w:rsidRDefault="002839AD" w:rsidP="007658DB">
            <w:pPr>
              <w:pStyle w:val="Text"/>
              <w:spacing w:before="60" w:after="60" w:line="240" w:lineRule="auto"/>
              <w:ind w:left="0"/>
              <w:jc w:val="center"/>
            </w:pPr>
            <w:r w:rsidRPr="00D33B70">
              <w:t>1 x 1050 mm</w:t>
            </w:r>
          </w:p>
        </w:tc>
        <w:tc>
          <w:tcPr>
            <w:tcW w:w="1475" w:type="dxa"/>
            <w:vAlign w:val="center"/>
          </w:tcPr>
          <w:p w:rsidR="002839AD" w:rsidRPr="00D33B70" w:rsidRDefault="002839AD" w:rsidP="007658DB">
            <w:pPr>
              <w:pStyle w:val="Text"/>
              <w:spacing w:before="60" w:after="60" w:line="240" w:lineRule="auto"/>
              <w:ind w:left="0"/>
              <w:jc w:val="center"/>
            </w:pPr>
            <w:r w:rsidRPr="00D33B70">
              <w:t>5 x 525 mm</w:t>
            </w:r>
          </w:p>
        </w:tc>
      </w:tr>
      <w:tr w:rsidR="002839AD" w:rsidRPr="00D33B70" w:rsidTr="00275AC1">
        <w:trPr>
          <w:trHeight w:val="406"/>
        </w:trPr>
        <w:tc>
          <w:tcPr>
            <w:tcW w:w="1417" w:type="dxa"/>
            <w:vAlign w:val="center"/>
          </w:tcPr>
          <w:p w:rsidR="002839AD" w:rsidRPr="00D33B70" w:rsidRDefault="002839AD" w:rsidP="007658DB">
            <w:pPr>
              <w:pStyle w:val="Text"/>
              <w:spacing w:before="60" w:after="60" w:line="240" w:lineRule="auto"/>
              <w:ind w:left="0"/>
              <w:jc w:val="left"/>
            </w:pPr>
            <w:r w:rsidRPr="00D33B70">
              <w:t>Pipe outlet length</w:t>
            </w:r>
          </w:p>
        </w:tc>
        <w:tc>
          <w:tcPr>
            <w:tcW w:w="1474" w:type="dxa"/>
            <w:vAlign w:val="center"/>
          </w:tcPr>
          <w:p w:rsidR="002839AD" w:rsidRPr="00D33B70" w:rsidRDefault="008D636D" w:rsidP="007658DB">
            <w:pPr>
              <w:pStyle w:val="Text"/>
              <w:spacing w:before="60" w:after="60" w:line="240" w:lineRule="auto"/>
              <w:ind w:left="0"/>
              <w:jc w:val="center"/>
            </w:pPr>
            <w:r w:rsidRPr="00D33B70">
              <w:t>20 m</w:t>
            </w:r>
          </w:p>
        </w:tc>
        <w:tc>
          <w:tcPr>
            <w:tcW w:w="1474" w:type="dxa"/>
            <w:vAlign w:val="center"/>
          </w:tcPr>
          <w:p w:rsidR="002839AD" w:rsidRPr="00D33B70" w:rsidRDefault="002839AD" w:rsidP="007658DB">
            <w:pPr>
              <w:pStyle w:val="Text"/>
              <w:spacing w:before="60" w:after="60" w:line="240" w:lineRule="auto"/>
              <w:ind w:left="0"/>
              <w:jc w:val="center"/>
            </w:pPr>
            <w:r w:rsidRPr="00D33B70">
              <w:t>30</w:t>
            </w:r>
            <w:r w:rsidR="00E51074" w:rsidRPr="00D33B70">
              <w:t xml:space="preserve"> </w:t>
            </w:r>
            <w:r w:rsidRPr="00D33B70">
              <w:t>m</w:t>
            </w:r>
          </w:p>
        </w:tc>
        <w:tc>
          <w:tcPr>
            <w:tcW w:w="1474" w:type="dxa"/>
            <w:vAlign w:val="center"/>
          </w:tcPr>
          <w:p w:rsidR="002839AD" w:rsidRPr="00D33B70" w:rsidRDefault="002839AD" w:rsidP="007658DB">
            <w:pPr>
              <w:pStyle w:val="Text"/>
              <w:spacing w:before="60" w:after="60" w:line="240" w:lineRule="auto"/>
              <w:ind w:left="0"/>
              <w:jc w:val="center"/>
            </w:pPr>
            <w:r w:rsidRPr="00D33B70">
              <w:t>30</w:t>
            </w:r>
            <w:r w:rsidR="00E51074" w:rsidRPr="00D33B70">
              <w:t xml:space="preserve"> </w:t>
            </w:r>
            <w:r w:rsidRPr="00D33B70">
              <w:t>m</w:t>
            </w:r>
          </w:p>
        </w:tc>
        <w:tc>
          <w:tcPr>
            <w:tcW w:w="1474" w:type="dxa"/>
            <w:vAlign w:val="center"/>
          </w:tcPr>
          <w:p w:rsidR="002839AD" w:rsidRPr="00D33B70" w:rsidRDefault="002839AD" w:rsidP="007658DB">
            <w:pPr>
              <w:pStyle w:val="Text"/>
              <w:spacing w:before="60" w:after="60" w:line="240" w:lineRule="auto"/>
              <w:ind w:left="0"/>
              <w:jc w:val="center"/>
            </w:pPr>
            <w:r w:rsidRPr="00D33B70">
              <w:t xml:space="preserve">75 m </w:t>
            </w:r>
          </w:p>
        </w:tc>
        <w:tc>
          <w:tcPr>
            <w:tcW w:w="1475" w:type="dxa"/>
            <w:vAlign w:val="center"/>
          </w:tcPr>
          <w:p w:rsidR="002839AD" w:rsidRPr="00D33B70" w:rsidRDefault="002839AD" w:rsidP="007658DB">
            <w:pPr>
              <w:pStyle w:val="Text"/>
              <w:spacing w:before="60" w:after="60" w:line="240" w:lineRule="auto"/>
              <w:ind w:left="0"/>
              <w:jc w:val="center"/>
            </w:pPr>
            <w:r w:rsidRPr="00D33B70">
              <w:t>45 m</w:t>
            </w:r>
          </w:p>
        </w:tc>
      </w:tr>
      <w:tr w:rsidR="002839AD" w:rsidRPr="00D33B70" w:rsidTr="00275AC1">
        <w:trPr>
          <w:trHeight w:val="406"/>
        </w:trPr>
        <w:tc>
          <w:tcPr>
            <w:tcW w:w="1417" w:type="dxa"/>
            <w:vAlign w:val="center"/>
          </w:tcPr>
          <w:p w:rsidR="002839AD" w:rsidRPr="00D33B70" w:rsidRDefault="002839AD" w:rsidP="007658DB">
            <w:pPr>
              <w:pStyle w:val="Text"/>
              <w:spacing w:before="60" w:after="60" w:line="240" w:lineRule="auto"/>
              <w:ind w:left="0"/>
              <w:jc w:val="left"/>
            </w:pPr>
            <w:r w:rsidRPr="00D33B70">
              <w:t xml:space="preserve">Pipe outlet invert </w:t>
            </w:r>
          </w:p>
        </w:tc>
        <w:tc>
          <w:tcPr>
            <w:tcW w:w="1474" w:type="dxa"/>
            <w:vAlign w:val="center"/>
          </w:tcPr>
          <w:p w:rsidR="002839AD" w:rsidRPr="00D33B70" w:rsidRDefault="008D636D" w:rsidP="007658DB">
            <w:pPr>
              <w:pStyle w:val="Text"/>
              <w:spacing w:before="60" w:after="60" w:line="240" w:lineRule="auto"/>
              <w:ind w:left="0"/>
              <w:jc w:val="center"/>
            </w:pPr>
            <w:r w:rsidRPr="00D33B70">
              <w:t>96.96 m AHD</w:t>
            </w:r>
          </w:p>
        </w:tc>
        <w:tc>
          <w:tcPr>
            <w:tcW w:w="1474" w:type="dxa"/>
            <w:vAlign w:val="center"/>
          </w:tcPr>
          <w:p w:rsidR="002839AD" w:rsidRPr="00D33B70" w:rsidRDefault="002839AD" w:rsidP="007658DB">
            <w:pPr>
              <w:pStyle w:val="Text"/>
              <w:spacing w:before="60" w:after="60" w:line="240" w:lineRule="auto"/>
              <w:ind w:left="0"/>
              <w:jc w:val="center"/>
            </w:pPr>
            <w:r w:rsidRPr="00D33B70">
              <w:t>50.44 m AHD</w:t>
            </w:r>
          </w:p>
        </w:tc>
        <w:tc>
          <w:tcPr>
            <w:tcW w:w="1474" w:type="dxa"/>
            <w:vAlign w:val="center"/>
          </w:tcPr>
          <w:p w:rsidR="002839AD" w:rsidRPr="00D33B70" w:rsidRDefault="002839AD" w:rsidP="007658DB">
            <w:pPr>
              <w:pStyle w:val="Text"/>
              <w:spacing w:before="60" w:after="60" w:line="240" w:lineRule="auto"/>
              <w:ind w:left="0"/>
              <w:jc w:val="center"/>
            </w:pPr>
            <w:r w:rsidRPr="00D33B70">
              <w:t>50.44 m AHD</w:t>
            </w:r>
          </w:p>
        </w:tc>
        <w:tc>
          <w:tcPr>
            <w:tcW w:w="1474" w:type="dxa"/>
            <w:vAlign w:val="center"/>
          </w:tcPr>
          <w:p w:rsidR="002839AD" w:rsidRPr="00D33B70" w:rsidRDefault="002839AD" w:rsidP="007658DB">
            <w:pPr>
              <w:pStyle w:val="Text"/>
              <w:spacing w:before="60" w:after="60" w:line="240" w:lineRule="auto"/>
              <w:ind w:left="0"/>
              <w:jc w:val="center"/>
            </w:pPr>
            <w:r w:rsidRPr="00D33B70">
              <w:t>42.00 m AHD</w:t>
            </w:r>
          </w:p>
        </w:tc>
        <w:tc>
          <w:tcPr>
            <w:tcW w:w="1475" w:type="dxa"/>
            <w:vAlign w:val="center"/>
          </w:tcPr>
          <w:p w:rsidR="002839AD" w:rsidRPr="00D33B70" w:rsidRDefault="002839AD" w:rsidP="007658DB">
            <w:pPr>
              <w:pStyle w:val="Text"/>
              <w:spacing w:before="60" w:after="60" w:line="240" w:lineRule="auto"/>
              <w:ind w:left="0"/>
              <w:jc w:val="center"/>
            </w:pPr>
            <w:r w:rsidRPr="00D33B70">
              <w:t>38.10 m AHD</w:t>
            </w:r>
          </w:p>
        </w:tc>
      </w:tr>
      <w:tr w:rsidR="002839AD" w:rsidRPr="00D33B70" w:rsidTr="00275AC1">
        <w:trPr>
          <w:trHeight w:val="423"/>
        </w:trPr>
        <w:tc>
          <w:tcPr>
            <w:tcW w:w="1417" w:type="dxa"/>
            <w:vAlign w:val="center"/>
          </w:tcPr>
          <w:p w:rsidR="002839AD" w:rsidRPr="00D33B70" w:rsidRDefault="002839AD" w:rsidP="007658DB">
            <w:pPr>
              <w:pStyle w:val="Text"/>
              <w:spacing w:before="60" w:after="60" w:line="240" w:lineRule="auto"/>
              <w:ind w:left="0"/>
              <w:jc w:val="left"/>
            </w:pPr>
            <w:r w:rsidRPr="00D33B70">
              <w:t>Pipe outlet grade</w:t>
            </w:r>
          </w:p>
        </w:tc>
        <w:tc>
          <w:tcPr>
            <w:tcW w:w="1474" w:type="dxa"/>
            <w:vAlign w:val="center"/>
          </w:tcPr>
          <w:p w:rsidR="002839AD" w:rsidRPr="00D33B70" w:rsidRDefault="002839AD" w:rsidP="007658DB">
            <w:pPr>
              <w:pStyle w:val="Text"/>
              <w:spacing w:before="60" w:after="60" w:line="240" w:lineRule="auto"/>
              <w:ind w:left="0"/>
              <w:jc w:val="center"/>
            </w:pPr>
            <w:r w:rsidRPr="00D33B70">
              <w:t>2.0 %</w:t>
            </w:r>
          </w:p>
        </w:tc>
        <w:tc>
          <w:tcPr>
            <w:tcW w:w="1474" w:type="dxa"/>
            <w:vAlign w:val="center"/>
          </w:tcPr>
          <w:p w:rsidR="002839AD" w:rsidRPr="00D33B70" w:rsidRDefault="002839AD" w:rsidP="007658DB">
            <w:pPr>
              <w:pStyle w:val="Text"/>
              <w:spacing w:before="60" w:after="60" w:line="240" w:lineRule="auto"/>
              <w:ind w:left="0"/>
              <w:jc w:val="center"/>
            </w:pPr>
            <w:r w:rsidRPr="00D33B70">
              <w:t xml:space="preserve">0.6% </w:t>
            </w:r>
          </w:p>
        </w:tc>
        <w:tc>
          <w:tcPr>
            <w:tcW w:w="1474" w:type="dxa"/>
            <w:vAlign w:val="center"/>
          </w:tcPr>
          <w:p w:rsidR="002839AD" w:rsidRPr="00D33B70" w:rsidRDefault="002839AD" w:rsidP="007658DB">
            <w:pPr>
              <w:pStyle w:val="Text"/>
              <w:spacing w:before="60" w:after="60" w:line="240" w:lineRule="auto"/>
              <w:ind w:left="0"/>
              <w:jc w:val="center"/>
            </w:pPr>
            <w:r w:rsidRPr="00D33B70">
              <w:t>1.3 %</w:t>
            </w:r>
          </w:p>
        </w:tc>
        <w:tc>
          <w:tcPr>
            <w:tcW w:w="1474" w:type="dxa"/>
            <w:vAlign w:val="center"/>
          </w:tcPr>
          <w:p w:rsidR="002839AD" w:rsidRPr="00D33B70" w:rsidRDefault="002839AD" w:rsidP="007658DB">
            <w:pPr>
              <w:pStyle w:val="Text"/>
              <w:spacing w:before="60" w:after="60" w:line="240" w:lineRule="auto"/>
              <w:ind w:left="0"/>
              <w:jc w:val="center"/>
            </w:pPr>
            <w:r w:rsidRPr="00D33B70">
              <w:t>2.0 %</w:t>
            </w:r>
          </w:p>
        </w:tc>
        <w:tc>
          <w:tcPr>
            <w:tcW w:w="1475" w:type="dxa"/>
            <w:vAlign w:val="center"/>
          </w:tcPr>
          <w:p w:rsidR="002839AD" w:rsidRPr="00D33B70" w:rsidRDefault="002839AD" w:rsidP="007658DB">
            <w:pPr>
              <w:pStyle w:val="Text"/>
              <w:spacing w:before="60" w:after="60" w:line="240" w:lineRule="auto"/>
              <w:ind w:left="0"/>
              <w:jc w:val="center"/>
            </w:pPr>
            <w:r w:rsidRPr="00D33B70">
              <w:t>5.5 %</w:t>
            </w:r>
          </w:p>
        </w:tc>
      </w:tr>
    </w:tbl>
    <w:p w:rsidR="00D36FAE" w:rsidRPr="00D33B70" w:rsidRDefault="00D36FAE" w:rsidP="00E86295">
      <w:pPr>
        <w:pStyle w:val="Heading5"/>
      </w:pPr>
      <w:r w:rsidRPr="00D33B70">
        <w:t>Geelong Ring Road Hydraulic Assessment</w:t>
      </w:r>
    </w:p>
    <w:p w:rsidR="00046074" w:rsidRPr="00D33B70" w:rsidRDefault="00D82EEF" w:rsidP="00430B8C">
      <w:pPr>
        <w:pStyle w:val="Text"/>
      </w:pPr>
      <w:r w:rsidRPr="00D33B70">
        <w:t>Details for the Geelong Ring Road R</w:t>
      </w:r>
      <w:r w:rsidR="006D5F65" w:rsidRPr="00D33B70">
        <w:t xml:space="preserve">etarding Basin were provided by the City of Greater Geelong as an excerpt </w:t>
      </w:r>
      <w:r w:rsidR="00546F41" w:rsidRPr="00D33B70">
        <w:t>of</w:t>
      </w:r>
      <w:r w:rsidR="006D5F65" w:rsidRPr="00D33B70">
        <w:t xml:space="preserve"> the </w:t>
      </w:r>
      <w:r w:rsidRPr="00D33B70">
        <w:t>Wandana Drive Retard</w:t>
      </w:r>
      <w:r w:rsidR="006D5F65" w:rsidRPr="00D33B70">
        <w:t>ing Basi</w:t>
      </w:r>
      <w:r w:rsidR="00522363" w:rsidRPr="00D33B70">
        <w:t>n</w:t>
      </w:r>
      <w:r w:rsidR="00546F41" w:rsidRPr="00D33B70">
        <w:t xml:space="preserve"> Report</w:t>
      </w:r>
      <w:r w:rsidR="006D5F65" w:rsidRPr="00D33B70">
        <w:t xml:space="preserve"> </w:t>
      </w:r>
      <w:r w:rsidR="00522363" w:rsidRPr="00D33B70">
        <w:t>(</w:t>
      </w:r>
      <w:r w:rsidR="006D5F65" w:rsidRPr="00D33B70">
        <w:t>referred to as Ring Road Retarding Ba</w:t>
      </w:r>
      <w:r w:rsidR="00447376" w:rsidRPr="00D33B70">
        <w:t>s</w:t>
      </w:r>
      <w:r w:rsidR="006D5F65" w:rsidRPr="00D33B70">
        <w:t>in in this report</w:t>
      </w:r>
      <w:r w:rsidR="00522363" w:rsidRPr="00D33B70">
        <w:t>)</w:t>
      </w:r>
      <w:r w:rsidR="00546F41" w:rsidRPr="00D33B70">
        <w:t xml:space="preserve"> undertaken by </w:t>
      </w:r>
      <w:r w:rsidR="00164093" w:rsidRPr="00D33B70">
        <w:t>SKM</w:t>
      </w:r>
      <w:r w:rsidR="00546F41" w:rsidRPr="00D33B70">
        <w:t>(</w:t>
      </w:r>
      <w:r w:rsidR="00164093" w:rsidRPr="00D33B70">
        <w:t>2008</w:t>
      </w:r>
      <w:r w:rsidR="00546F41" w:rsidRPr="00D33B70">
        <w:t>)</w:t>
      </w:r>
      <w:r w:rsidR="00522363" w:rsidRPr="00D33B70">
        <w:t>.</w:t>
      </w:r>
      <w:r w:rsidR="006D5F65" w:rsidRPr="00D33B70">
        <w:t xml:space="preserve">  </w:t>
      </w:r>
      <w:r w:rsidR="00522363" w:rsidRPr="00D33B70">
        <w:t>The storage discharge table was then used to represent the basin in RORB.  The retarding basin stage-storage-discharge relationship provided</w:t>
      </w:r>
      <w:r w:rsidR="00463DB9" w:rsidRPr="00D33B70">
        <w:t xml:space="preserve"> by CoGG</w:t>
      </w:r>
      <w:r w:rsidR="00522363" w:rsidRPr="00D33B70">
        <w:t xml:space="preserve"> has been reproduced in </w:t>
      </w:r>
      <w:r w:rsidR="00F21A4E" w:rsidRPr="00D33B70">
        <w:fldChar w:fldCharType="begin"/>
      </w:r>
      <w:r w:rsidR="00522363" w:rsidRPr="00D33B70">
        <w:instrText xml:space="preserve"> REF _Ref289949919 \h </w:instrText>
      </w:r>
      <w:r w:rsidR="00F21A4E" w:rsidRPr="00D33B70">
        <w:fldChar w:fldCharType="separate"/>
      </w:r>
      <w:r w:rsidR="00AC6986" w:rsidRPr="00D33B70">
        <w:t xml:space="preserve">Table </w:t>
      </w:r>
      <w:r w:rsidR="00AC6986">
        <w:rPr>
          <w:noProof/>
        </w:rPr>
        <w:t>4</w:t>
      </w:r>
      <w:r w:rsidR="00AC6986" w:rsidRPr="00D33B70">
        <w:noBreakHyphen/>
      </w:r>
      <w:r w:rsidR="00AC6986">
        <w:rPr>
          <w:noProof/>
        </w:rPr>
        <w:t>6</w:t>
      </w:r>
      <w:r w:rsidR="00F21A4E" w:rsidRPr="00D33B70">
        <w:fldChar w:fldCharType="end"/>
      </w:r>
      <w:r w:rsidR="00522363" w:rsidRPr="00D33B70">
        <w:t xml:space="preserve">.  </w:t>
      </w:r>
    </w:p>
    <w:p w:rsidR="00046074" w:rsidRPr="00D33B70" w:rsidRDefault="00046074">
      <w:pPr>
        <w:overflowPunct/>
        <w:autoSpaceDE/>
        <w:autoSpaceDN/>
        <w:adjustRightInd/>
        <w:jc w:val="left"/>
        <w:textAlignment w:val="auto"/>
      </w:pPr>
      <w:r w:rsidRPr="00D33B70">
        <w:br w:type="page"/>
      </w:r>
    </w:p>
    <w:p w:rsidR="006D5F65" w:rsidRPr="00D33B70" w:rsidRDefault="006D5F65" w:rsidP="00430B8C">
      <w:pPr>
        <w:pStyle w:val="Caption"/>
        <w:keepNext/>
      </w:pPr>
      <w:bookmarkStart w:id="146" w:name="_Ref289949919"/>
      <w:bookmarkStart w:id="147" w:name="_Toc387308977"/>
      <w:r w:rsidRPr="00D33B70">
        <w:lastRenderedPageBreak/>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4</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6</w:t>
      </w:r>
      <w:r w:rsidR="00FF3C04" w:rsidRPr="00D33B70">
        <w:fldChar w:fldCharType="end"/>
      </w:r>
      <w:bookmarkEnd w:id="146"/>
      <w:r w:rsidR="00430B8C" w:rsidRPr="00D33B70">
        <w:tab/>
      </w:r>
      <w:r w:rsidRPr="00D33B70">
        <w:t>Geelong Ring Road Stage-Storage-Discharge Relationship</w:t>
      </w:r>
      <w:bookmarkEnd w:id="147"/>
    </w:p>
    <w:tbl>
      <w:tblPr>
        <w:tblW w:w="0" w:type="auto"/>
        <w:tblInd w:w="2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3"/>
        <w:gridCol w:w="1843"/>
        <w:gridCol w:w="1783"/>
      </w:tblGrid>
      <w:tr w:rsidR="006D5F65" w:rsidRPr="00D33B70" w:rsidTr="00D90785">
        <w:trPr>
          <w:trHeight w:val="569"/>
          <w:tblHeader/>
        </w:trPr>
        <w:tc>
          <w:tcPr>
            <w:tcW w:w="1963" w:type="dxa"/>
            <w:shd w:val="pct10" w:color="auto" w:fill="FFFFFF" w:themeFill="background1"/>
            <w:vAlign w:val="center"/>
          </w:tcPr>
          <w:p w:rsidR="006D5F65" w:rsidRPr="00D33B70" w:rsidRDefault="006D5F65" w:rsidP="00430B8C">
            <w:pPr>
              <w:pStyle w:val="ListContinue2"/>
              <w:keepNext/>
              <w:tabs>
                <w:tab w:val="clear" w:pos="-720"/>
              </w:tabs>
              <w:suppressAutoHyphens w:val="0"/>
              <w:spacing w:before="40" w:after="40"/>
              <w:jc w:val="center"/>
              <w:rPr>
                <w:rFonts w:cs="Arial"/>
                <w:b/>
              </w:rPr>
            </w:pPr>
            <w:r w:rsidRPr="00D33B70">
              <w:rPr>
                <w:rFonts w:cs="Arial"/>
                <w:b/>
              </w:rPr>
              <w:t>Elevation (m AHD)</w:t>
            </w:r>
          </w:p>
        </w:tc>
        <w:tc>
          <w:tcPr>
            <w:tcW w:w="1843" w:type="dxa"/>
            <w:shd w:val="pct10" w:color="auto" w:fill="FFFFFF" w:themeFill="background1"/>
            <w:vAlign w:val="center"/>
          </w:tcPr>
          <w:p w:rsidR="006D5F65" w:rsidRPr="00D33B70" w:rsidRDefault="006D5F65" w:rsidP="00430B8C">
            <w:pPr>
              <w:pStyle w:val="ListContinue2"/>
              <w:keepNext/>
              <w:tabs>
                <w:tab w:val="clear" w:pos="-720"/>
              </w:tabs>
              <w:suppressAutoHyphens w:val="0"/>
              <w:spacing w:before="40" w:after="40"/>
              <w:jc w:val="center"/>
              <w:rPr>
                <w:rFonts w:cs="Arial"/>
                <w:b/>
              </w:rPr>
            </w:pPr>
            <w:r w:rsidRPr="00D33B70">
              <w:rPr>
                <w:rFonts w:cs="Arial"/>
                <w:b/>
              </w:rPr>
              <w:t>Discharge (m</w:t>
            </w:r>
            <w:r w:rsidRPr="00D33B70">
              <w:rPr>
                <w:rFonts w:cs="Arial"/>
                <w:b/>
                <w:vertAlign w:val="superscript"/>
              </w:rPr>
              <w:t>3</w:t>
            </w:r>
            <w:r w:rsidRPr="00D33B70">
              <w:rPr>
                <w:rFonts w:cs="Arial"/>
                <w:b/>
              </w:rPr>
              <w:t>/s)</w:t>
            </w:r>
          </w:p>
        </w:tc>
        <w:tc>
          <w:tcPr>
            <w:tcW w:w="1783" w:type="dxa"/>
            <w:shd w:val="pct10" w:color="auto" w:fill="FFFFFF" w:themeFill="background1"/>
            <w:vAlign w:val="center"/>
          </w:tcPr>
          <w:p w:rsidR="006D5F65" w:rsidRPr="00D33B70" w:rsidRDefault="006D5F65" w:rsidP="00430B8C">
            <w:pPr>
              <w:pStyle w:val="ListContinue2"/>
              <w:keepNext/>
              <w:tabs>
                <w:tab w:val="clear" w:pos="-720"/>
              </w:tabs>
              <w:suppressAutoHyphens w:val="0"/>
              <w:spacing w:before="40" w:after="40"/>
              <w:jc w:val="center"/>
              <w:rPr>
                <w:rFonts w:cs="Arial"/>
                <w:b/>
              </w:rPr>
            </w:pPr>
            <w:r w:rsidRPr="00D33B70">
              <w:rPr>
                <w:rFonts w:cs="Arial"/>
                <w:b/>
              </w:rPr>
              <w:t>Storage (m</w:t>
            </w:r>
            <w:r w:rsidRPr="00D33B70">
              <w:rPr>
                <w:rFonts w:cs="Arial"/>
                <w:b/>
                <w:vertAlign w:val="superscript"/>
              </w:rPr>
              <w:t>3</w:t>
            </w:r>
            <w:r w:rsidRPr="00D33B70">
              <w:rPr>
                <w:rFonts w:cs="Arial"/>
                <w:b/>
              </w:rPr>
              <w:t>)</w:t>
            </w:r>
          </w:p>
        </w:tc>
      </w:tr>
      <w:tr w:rsidR="006D5F65" w:rsidRPr="00D33B70" w:rsidTr="00E16583">
        <w:tc>
          <w:tcPr>
            <w:tcW w:w="1963" w:type="dxa"/>
            <w:vAlign w:val="center"/>
          </w:tcPr>
          <w:p w:rsidR="006D5F65" w:rsidRPr="00D33B70" w:rsidRDefault="006D5F65" w:rsidP="00430B8C">
            <w:pPr>
              <w:spacing w:line="300" w:lineRule="atLeast"/>
              <w:jc w:val="center"/>
              <w:rPr>
                <w:rFonts w:eastAsia="Arial Unicode MS" w:cs="Arial"/>
              </w:rPr>
            </w:pPr>
            <w:r w:rsidRPr="00D33B70">
              <w:rPr>
                <w:rFonts w:eastAsia="Arial Unicode MS" w:cs="Arial"/>
              </w:rPr>
              <w:t>55.90</w:t>
            </w:r>
          </w:p>
        </w:tc>
        <w:tc>
          <w:tcPr>
            <w:tcW w:w="1843" w:type="dxa"/>
            <w:vAlign w:val="center"/>
          </w:tcPr>
          <w:p w:rsidR="006D5F65" w:rsidRPr="00D33B70" w:rsidRDefault="006D5F65" w:rsidP="00430B8C">
            <w:pPr>
              <w:spacing w:line="300" w:lineRule="atLeast"/>
              <w:jc w:val="center"/>
              <w:rPr>
                <w:rFonts w:cs="Arial"/>
              </w:rPr>
            </w:pPr>
            <w:r w:rsidRPr="00D33B70">
              <w:rPr>
                <w:rFonts w:cs="Arial"/>
              </w:rPr>
              <w:t>0.00</w:t>
            </w:r>
          </w:p>
        </w:tc>
        <w:tc>
          <w:tcPr>
            <w:tcW w:w="1783" w:type="dxa"/>
            <w:vAlign w:val="center"/>
          </w:tcPr>
          <w:p w:rsidR="006D5F65" w:rsidRPr="00D33B70" w:rsidRDefault="006D5F65" w:rsidP="00430B8C">
            <w:pPr>
              <w:spacing w:line="300" w:lineRule="atLeast"/>
              <w:jc w:val="center"/>
              <w:rPr>
                <w:rFonts w:eastAsia="Arial Unicode MS" w:cs="Arial"/>
              </w:rPr>
            </w:pPr>
            <w:r w:rsidRPr="00D33B70">
              <w:rPr>
                <w:rFonts w:eastAsia="Arial Unicode MS" w:cs="Arial"/>
              </w:rPr>
              <w:t>0</w:t>
            </w:r>
          </w:p>
        </w:tc>
      </w:tr>
      <w:tr w:rsidR="006D5F65" w:rsidRPr="00D33B70" w:rsidTr="00E16583">
        <w:tc>
          <w:tcPr>
            <w:tcW w:w="1963" w:type="dxa"/>
            <w:vAlign w:val="center"/>
          </w:tcPr>
          <w:p w:rsidR="006D5F65" w:rsidRPr="00D33B70" w:rsidRDefault="006D5F65" w:rsidP="00430B8C">
            <w:pPr>
              <w:spacing w:line="300" w:lineRule="atLeast"/>
              <w:jc w:val="center"/>
              <w:rPr>
                <w:rFonts w:eastAsia="Arial Unicode MS" w:cs="Arial"/>
              </w:rPr>
            </w:pPr>
            <w:r w:rsidRPr="00D33B70">
              <w:rPr>
                <w:rFonts w:eastAsia="Arial Unicode MS" w:cs="Arial"/>
              </w:rPr>
              <w:t>56.90</w:t>
            </w:r>
          </w:p>
        </w:tc>
        <w:tc>
          <w:tcPr>
            <w:tcW w:w="1843" w:type="dxa"/>
            <w:vAlign w:val="center"/>
          </w:tcPr>
          <w:p w:rsidR="006D5F65" w:rsidRPr="00D33B70" w:rsidRDefault="006D5F65" w:rsidP="00430B8C">
            <w:pPr>
              <w:pStyle w:val="ListContinue2"/>
              <w:tabs>
                <w:tab w:val="clear" w:pos="-720"/>
              </w:tabs>
              <w:suppressAutoHyphens w:val="0"/>
              <w:spacing w:line="300" w:lineRule="atLeast"/>
              <w:jc w:val="center"/>
              <w:rPr>
                <w:rFonts w:cs="Arial"/>
              </w:rPr>
            </w:pPr>
            <w:r w:rsidRPr="00D33B70">
              <w:rPr>
                <w:rFonts w:cs="Arial"/>
              </w:rPr>
              <w:t>1.35</w:t>
            </w:r>
          </w:p>
        </w:tc>
        <w:tc>
          <w:tcPr>
            <w:tcW w:w="1783" w:type="dxa"/>
            <w:vAlign w:val="center"/>
          </w:tcPr>
          <w:p w:rsidR="006D5F65" w:rsidRPr="00D33B70" w:rsidRDefault="006D5F65" w:rsidP="00430B8C">
            <w:pPr>
              <w:pStyle w:val="ListContinue2"/>
              <w:tabs>
                <w:tab w:val="clear" w:pos="-720"/>
              </w:tabs>
              <w:suppressAutoHyphens w:val="0"/>
              <w:spacing w:line="300" w:lineRule="atLeast"/>
              <w:jc w:val="center"/>
              <w:rPr>
                <w:rFonts w:eastAsia="Arial Unicode MS" w:cs="Arial"/>
              </w:rPr>
            </w:pPr>
            <w:r w:rsidRPr="00D33B70">
              <w:rPr>
                <w:rFonts w:eastAsia="Arial Unicode MS" w:cs="Arial"/>
              </w:rPr>
              <w:t>126</w:t>
            </w:r>
          </w:p>
        </w:tc>
      </w:tr>
      <w:tr w:rsidR="006D5F65" w:rsidRPr="00D33B70" w:rsidTr="00E16583">
        <w:tc>
          <w:tcPr>
            <w:tcW w:w="1963" w:type="dxa"/>
            <w:vAlign w:val="center"/>
          </w:tcPr>
          <w:p w:rsidR="006D5F65" w:rsidRPr="00D33B70" w:rsidRDefault="006D5F65" w:rsidP="00430B8C">
            <w:pPr>
              <w:spacing w:line="300" w:lineRule="atLeast"/>
              <w:jc w:val="center"/>
              <w:rPr>
                <w:rFonts w:eastAsia="Arial Unicode MS" w:cs="Arial"/>
              </w:rPr>
            </w:pPr>
            <w:r w:rsidRPr="00D33B70">
              <w:rPr>
                <w:rFonts w:eastAsia="Arial Unicode MS" w:cs="Arial"/>
              </w:rPr>
              <w:t>57.90</w:t>
            </w:r>
          </w:p>
        </w:tc>
        <w:tc>
          <w:tcPr>
            <w:tcW w:w="1843" w:type="dxa"/>
            <w:vAlign w:val="center"/>
          </w:tcPr>
          <w:p w:rsidR="006D5F65" w:rsidRPr="00D33B70" w:rsidRDefault="006D5F65" w:rsidP="00430B8C">
            <w:pPr>
              <w:spacing w:line="300" w:lineRule="atLeast"/>
              <w:jc w:val="center"/>
              <w:rPr>
                <w:rFonts w:cs="Arial"/>
              </w:rPr>
            </w:pPr>
            <w:r w:rsidRPr="00D33B70">
              <w:rPr>
                <w:rFonts w:cs="Arial"/>
              </w:rPr>
              <w:t>2.23</w:t>
            </w:r>
          </w:p>
        </w:tc>
        <w:tc>
          <w:tcPr>
            <w:tcW w:w="1783" w:type="dxa"/>
            <w:vAlign w:val="center"/>
          </w:tcPr>
          <w:p w:rsidR="006D5F65" w:rsidRPr="00D33B70" w:rsidRDefault="006D5F65" w:rsidP="00430B8C">
            <w:pPr>
              <w:spacing w:line="300" w:lineRule="atLeast"/>
              <w:jc w:val="center"/>
              <w:rPr>
                <w:rFonts w:eastAsia="Arial Unicode MS" w:cs="Arial"/>
              </w:rPr>
            </w:pPr>
            <w:r w:rsidRPr="00D33B70">
              <w:rPr>
                <w:rFonts w:eastAsia="Arial Unicode MS" w:cs="Arial"/>
              </w:rPr>
              <w:t>1840</w:t>
            </w:r>
          </w:p>
        </w:tc>
      </w:tr>
      <w:tr w:rsidR="006D5F65" w:rsidRPr="00D33B70" w:rsidTr="00E16583">
        <w:tc>
          <w:tcPr>
            <w:tcW w:w="1963" w:type="dxa"/>
            <w:vAlign w:val="center"/>
          </w:tcPr>
          <w:p w:rsidR="006D5F65" w:rsidRPr="00D33B70" w:rsidRDefault="006D5F65" w:rsidP="00430B8C">
            <w:pPr>
              <w:spacing w:line="300" w:lineRule="atLeast"/>
              <w:jc w:val="center"/>
              <w:rPr>
                <w:rFonts w:eastAsia="Arial Unicode MS" w:cs="Arial"/>
              </w:rPr>
            </w:pPr>
            <w:r w:rsidRPr="00D33B70">
              <w:rPr>
                <w:rFonts w:eastAsia="Arial Unicode MS" w:cs="Arial"/>
              </w:rPr>
              <w:t>58.90</w:t>
            </w:r>
          </w:p>
        </w:tc>
        <w:tc>
          <w:tcPr>
            <w:tcW w:w="1843" w:type="dxa"/>
            <w:vAlign w:val="center"/>
          </w:tcPr>
          <w:p w:rsidR="006D5F65" w:rsidRPr="00D33B70" w:rsidRDefault="006D5F65" w:rsidP="00430B8C">
            <w:pPr>
              <w:spacing w:line="300" w:lineRule="atLeast"/>
              <w:jc w:val="center"/>
              <w:rPr>
                <w:rFonts w:cs="Arial"/>
              </w:rPr>
            </w:pPr>
            <w:r w:rsidRPr="00D33B70">
              <w:rPr>
                <w:rFonts w:cs="Arial"/>
              </w:rPr>
              <w:t>2.68</w:t>
            </w:r>
          </w:p>
        </w:tc>
        <w:tc>
          <w:tcPr>
            <w:tcW w:w="1783" w:type="dxa"/>
            <w:vAlign w:val="center"/>
          </w:tcPr>
          <w:p w:rsidR="006D5F65" w:rsidRPr="00D33B70" w:rsidRDefault="006D5F65" w:rsidP="00430B8C">
            <w:pPr>
              <w:spacing w:line="300" w:lineRule="atLeast"/>
              <w:jc w:val="center"/>
              <w:rPr>
                <w:rFonts w:eastAsia="Arial Unicode MS" w:cs="Arial"/>
              </w:rPr>
            </w:pPr>
            <w:r w:rsidRPr="00D33B70">
              <w:rPr>
                <w:rFonts w:eastAsia="Arial Unicode MS" w:cs="Arial"/>
              </w:rPr>
              <w:t>7284</w:t>
            </w:r>
          </w:p>
        </w:tc>
      </w:tr>
      <w:tr w:rsidR="006D5F65" w:rsidRPr="00D33B70" w:rsidTr="00E16583">
        <w:tc>
          <w:tcPr>
            <w:tcW w:w="1963" w:type="dxa"/>
            <w:vAlign w:val="center"/>
          </w:tcPr>
          <w:p w:rsidR="006D5F65" w:rsidRPr="00D33B70" w:rsidRDefault="006D5F65" w:rsidP="00430B8C">
            <w:pPr>
              <w:spacing w:line="300" w:lineRule="atLeast"/>
              <w:jc w:val="center"/>
              <w:rPr>
                <w:rFonts w:eastAsia="Arial Unicode MS" w:cs="Arial"/>
              </w:rPr>
            </w:pPr>
            <w:r w:rsidRPr="00D33B70">
              <w:rPr>
                <w:rFonts w:eastAsia="Arial Unicode MS" w:cs="Arial"/>
              </w:rPr>
              <w:t>59.90</w:t>
            </w:r>
          </w:p>
        </w:tc>
        <w:tc>
          <w:tcPr>
            <w:tcW w:w="1843" w:type="dxa"/>
            <w:vAlign w:val="center"/>
          </w:tcPr>
          <w:p w:rsidR="006D5F65" w:rsidRPr="00D33B70" w:rsidRDefault="006D5F65" w:rsidP="00430B8C">
            <w:pPr>
              <w:spacing w:line="300" w:lineRule="atLeast"/>
              <w:jc w:val="center"/>
              <w:rPr>
                <w:rFonts w:cs="Arial"/>
              </w:rPr>
            </w:pPr>
            <w:r w:rsidRPr="00D33B70">
              <w:rPr>
                <w:rFonts w:cs="Arial"/>
              </w:rPr>
              <w:t>3.08</w:t>
            </w:r>
          </w:p>
        </w:tc>
        <w:tc>
          <w:tcPr>
            <w:tcW w:w="1783" w:type="dxa"/>
            <w:vAlign w:val="center"/>
          </w:tcPr>
          <w:p w:rsidR="006D5F65" w:rsidRPr="00D33B70" w:rsidRDefault="006D5F65" w:rsidP="00430B8C">
            <w:pPr>
              <w:spacing w:line="300" w:lineRule="atLeast"/>
              <w:jc w:val="center"/>
              <w:rPr>
                <w:rFonts w:eastAsia="Arial Unicode MS" w:cs="Arial"/>
              </w:rPr>
            </w:pPr>
            <w:r w:rsidRPr="00D33B70">
              <w:rPr>
                <w:rFonts w:eastAsia="Arial Unicode MS" w:cs="Arial"/>
              </w:rPr>
              <w:t>16466</w:t>
            </w:r>
          </w:p>
        </w:tc>
      </w:tr>
      <w:tr w:rsidR="006D5F65" w:rsidRPr="00D33B70" w:rsidTr="00E16583">
        <w:tc>
          <w:tcPr>
            <w:tcW w:w="1963" w:type="dxa"/>
            <w:vAlign w:val="center"/>
          </w:tcPr>
          <w:p w:rsidR="006D5F65" w:rsidRPr="00D33B70" w:rsidRDefault="006D5F65" w:rsidP="00430B8C">
            <w:pPr>
              <w:spacing w:line="300" w:lineRule="atLeast"/>
              <w:jc w:val="center"/>
              <w:rPr>
                <w:rFonts w:eastAsia="Arial Unicode MS" w:cs="Arial"/>
              </w:rPr>
            </w:pPr>
            <w:r w:rsidRPr="00D33B70">
              <w:rPr>
                <w:rFonts w:eastAsia="Arial Unicode MS" w:cs="Arial"/>
              </w:rPr>
              <w:t>60.90</w:t>
            </w:r>
          </w:p>
        </w:tc>
        <w:tc>
          <w:tcPr>
            <w:tcW w:w="1843" w:type="dxa"/>
            <w:vAlign w:val="center"/>
          </w:tcPr>
          <w:p w:rsidR="006D5F65" w:rsidRPr="00D33B70" w:rsidRDefault="006D5F65" w:rsidP="00430B8C">
            <w:pPr>
              <w:spacing w:line="300" w:lineRule="atLeast"/>
              <w:jc w:val="center"/>
              <w:rPr>
                <w:rFonts w:cs="Arial"/>
              </w:rPr>
            </w:pPr>
            <w:r w:rsidRPr="00D33B70">
              <w:rPr>
                <w:rFonts w:cs="Arial"/>
              </w:rPr>
              <w:t>3.43</w:t>
            </w:r>
          </w:p>
        </w:tc>
        <w:tc>
          <w:tcPr>
            <w:tcW w:w="1783" w:type="dxa"/>
            <w:vAlign w:val="center"/>
          </w:tcPr>
          <w:p w:rsidR="006D5F65" w:rsidRPr="00D33B70" w:rsidRDefault="006D5F65" w:rsidP="00430B8C">
            <w:pPr>
              <w:spacing w:line="300" w:lineRule="atLeast"/>
              <w:jc w:val="center"/>
              <w:rPr>
                <w:rFonts w:eastAsia="Arial Unicode MS" w:cs="Arial"/>
              </w:rPr>
            </w:pPr>
            <w:r w:rsidRPr="00D33B70">
              <w:rPr>
                <w:rFonts w:eastAsia="Arial Unicode MS" w:cs="Arial"/>
              </w:rPr>
              <w:t>30872</w:t>
            </w:r>
          </w:p>
        </w:tc>
      </w:tr>
      <w:tr w:rsidR="006D5F65" w:rsidRPr="00D33B70" w:rsidTr="00E16583">
        <w:tc>
          <w:tcPr>
            <w:tcW w:w="1963" w:type="dxa"/>
            <w:vAlign w:val="center"/>
          </w:tcPr>
          <w:p w:rsidR="006D5F65" w:rsidRPr="00D33B70" w:rsidRDefault="006D5F65" w:rsidP="00430B8C">
            <w:pPr>
              <w:spacing w:line="300" w:lineRule="atLeast"/>
              <w:jc w:val="center"/>
              <w:rPr>
                <w:rFonts w:eastAsia="Arial Unicode MS" w:cs="Arial"/>
              </w:rPr>
            </w:pPr>
            <w:r w:rsidRPr="00D33B70">
              <w:rPr>
                <w:rFonts w:eastAsia="Arial Unicode MS" w:cs="Arial"/>
              </w:rPr>
              <w:t>61.40</w:t>
            </w:r>
          </w:p>
        </w:tc>
        <w:tc>
          <w:tcPr>
            <w:tcW w:w="1843" w:type="dxa"/>
            <w:vAlign w:val="center"/>
          </w:tcPr>
          <w:p w:rsidR="006D5F65" w:rsidRPr="00D33B70" w:rsidRDefault="006D5F65" w:rsidP="00430B8C">
            <w:pPr>
              <w:spacing w:line="300" w:lineRule="atLeast"/>
              <w:jc w:val="center"/>
              <w:rPr>
                <w:rFonts w:eastAsia="Arial Unicode MS" w:cs="Arial"/>
              </w:rPr>
            </w:pPr>
            <w:r w:rsidRPr="00D33B70">
              <w:rPr>
                <w:rFonts w:eastAsia="Arial Unicode MS" w:cs="Arial"/>
              </w:rPr>
              <w:t>3.59</w:t>
            </w:r>
          </w:p>
        </w:tc>
        <w:tc>
          <w:tcPr>
            <w:tcW w:w="1783" w:type="dxa"/>
            <w:vAlign w:val="center"/>
          </w:tcPr>
          <w:p w:rsidR="006D5F65" w:rsidRPr="00D33B70" w:rsidRDefault="006D5F65" w:rsidP="00430B8C">
            <w:pPr>
              <w:spacing w:line="300" w:lineRule="atLeast"/>
              <w:jc w:val="center"/>
              <w:rPr>
                <w:rFonts w:eastAsia="Arial Unicode MS" w:cs="Arial"/>
              </w:rPr>
            </w:pPr>
            <w:r w:rsidRPr="00D33B70">
              <w:rPr>
                <w:rFonts w:eastAsia="Arial Unicode MS" w:cs="Arial"/>
              </w:rPr>
              <w:t>40494</w:t>
            </w:r>
          </w:p>
        </w:tc>
      </w:tr>
      <w:tr w:rsidR="006D5F65" w:rsidRPr="00D33B70" w:rsidTr="00E16583">
        <w:tc>
          <w:tcPr>
            <w:tcW w:w="1963" w:type="dxa"/>
            <w:vAlign w:val="center"/>
          </w:tcPr>
          <w:p w:rsidR="006D5F65" w:rsidRPr="00D33B70" w:rsidRDefault="006D5F65" w:rsidP="00430B8C">
            <w:pPr>
              <w:spacing w:line="300" w:lineRule="atLeast"/>
              <w:jc w:val="center"/>
              <w:rPr>
                <w:rFonts w:cs="Arial"/>
              </w:rPr>
            </w:pPr>
            <w:r w:rsidRPr="00D33B70">
              <w:rPr>
                <w:rFonts w:cs="Arial"/>
              </w:rPr>
              <w:t>61.90</w:t>
            </w:r>
          </w:p>
        </w:tc>
        <w:tc>
          <w:tcPr>
            <w:tcW w:w="1843" w:type="dxa"/>
            <w:vAlign w:val="center"/>
          </w:tcPr>
          <w:p w:rsidR="006D5F65" w:rsidRPr="00D33B70" w:rsidRDefault="006D5F65" w:rsidP="00430B8C">
            <w:pPr>
              <w:spacing w:line="300" w:lineRule="atLeast"/>
              <w:jc w:val="center"/>
              <w:rPr>
                <w:rFonts w:cs="Arial"/>
              </w:rPr>
            </w:pPr>
            <w:r w:rsidRPr="00D33B70">
              <w:rPr>
                <w:rFonts w:cs="Arial"/>
              </w:rPr>
              <w:t>3.75</w:t>
            </w:r>
          </w:p>
        </w:tc>
        <w:tc>
          <w:tcPr>
            <w:tcW w:w="1783" w:type="dxa"/>
            <w:vAlign w:val="center"/>
          </w:tcPr>
          <w:p w:rsidR="006D5F65" w:rsidRPr="00D33B70" w:rsidRDefault="006D5F65" w:rsidP="00430B8C">
            <w:pPr>
              <w:spacing w:line="300" w:lineRule="atLeast"/>
              <w:jc w:val="center"/>
              <w:rPr>
                <w:rFonts w:cs="Arial"/>
              </w:rPr>
            </w:pPr>
            <w:r w:rsidRPr="00D33B70">
              <w:rPr>
                <w:rFonts w:cs="Arial"/>
              </w:rPr>
              <w:t>51568</w:t>
            </w:r>
          </w:p>
        </w:tc>
      </w:tr>
      <w:tr w:rsidR="006D5F65" w:rsidRPr="00D33B70" w:rsidTr="00E16583">
        <w:tc>
          <w:tcPr>
            <w:tcW w:w="1963" w:type="dxa"/>
            <w:vAlign w:val="center"/>
          </w:tcPr>
          <w:p w:rsidR="006D5F65" w:rsidRPr="00D33B70" w:rsidRDefault="006D5F65" w:rsidP="00430B8C">
            <w:pPr>
              <w:spacing w:line="300" w:lineRule="atLeast"/>
              <w:jc w:val="center"/>
              <w:rPr>
                <w:rFonts w:cs="Arial"/>
              </w:rPr>
            </w:pPr>
            <w:r w:rsidRPr="00D33B70">
              <w:rPr>
                <w:rFonts w:cs="Arial"/>
              </w:rPr>
              <w:t>62.40</w:t>
            </w:r>
          </w:p>
        </w:tc>
        <w:tc>
          <w:tcPr>
            <w:tcW w:w="1843" w:type="dxa"/>
            <w:vAlign w:val="center"/>
          </w:tcPr>
          <w:p w:rsidR="006D5F65" w:rsidRPr="00D33B70" w:rsidRDefault="006D5F65" w:rsidP="00430B8C">
            <w:pPr>
              <w:spacing w:line="300" w:lineRule="atLeast"/>
              <w:jc w:val="center"/>
              <w:rPr>
                <w:rFonts w:cs="Arial"/>
              </w:rPr>
            </w:pPr>
            <w:r w:rsidRPr="00D33B70">
              <w:rPr>
                <w:rFonts w:cs="Arial"/>
              </w:rPr>
              <w:t>3.90</w:t>
            </w:r>
          </w:p>
        </w:tc>
        <w:tc>
          <w:tcPr>
            <w:tcW w:w="1783" w:type="dxa"/>
            <w:vAlign w:val="center"/>
          </w:tcPr>
          <w:p w:rsidR="006D5F65" w:rsidRPr="00D33B70" w:rsidRDefault="006D5F65" w:rsidP="00430B8C">
            <w:pPr>
              <w:spacing w:line="300" w:lineRule="atLeast"/>
              <w:jc w:val="center"/>
              <w:rPr>
                <w:rFonts w:cs="Arial"/>
              </w:rPr>
            </w:pPr>
            <w:r w:rsidRPr="00D33B70">
              <w:rPr>
                <w:rFonts w:cs="Arial"/>
              </w:rPr>
              <w:t>64410</w:t>
            </w:r>
          </w:p>
        </w:tc>
      </w:tr>
      <w:tr w:rsidR="006D5F65" w:rsidRPr="00D33B70" w:rsidTr="00E16583">
        <w:tc>
          <w:tcPr>
            <w:tcW w:w="1963" w:type="dxa"/>
            <w:vAlign w:val="center"/>
          </w:tcPr>
          <w:p w:rsidR="006D5F65" w:rsidRPr="00D33B70" w:rsidRDefault="006D5F65" w:rsidP="00430B8C">
            <w:pPr>
              <w:spacing w:line="300" w:lineRule="atLeast"/>
              <w:jc w:val="center"/>
              <w:rPr>
                <w:rFonts w:cs="Arial"/>
              </w:rPr>
            </w:pPr>
            <w:r w:rsidRPr="00D33B70">
              <w:rPr>
                <w:rFonts w:cs="Arial"/>
              </w:rPr>
              <w:t>62.75</w:t>
            </w:r>
          </w:p>
        </w:tc>
        <w:tc>
          <w:tcPr>
            <w:tcW w:w="1843" w:type="dxa"/>
            <w:vAlign w:val="center"/>
          </w:tcPr>
          <w:p w:rsidR="006D5F65" w:rsidRPr="00D33B70" w:rsidRDefault="006D5F65" w:rsidP="00430B8C">
            <w:pPr>
              <w:spacing w:line="300" w:lineRule="atLeast"/>
              <w:jc w:val="center"/>
              <w:rPr>
                <w:rFonts w:cs="Arial"/>
              </w:rPr>
            </w:pPr>
            <w:r w:rsidRPr="00D33B70">
              <w:rPr>
                <w:rFonts w:cs="Arial"/>
              </w:rPr>
              <w:t>4.00</w:t>
            </w:r>
          </w:p>
        </w:tc>
        <w:tc>
          <w:tcPr>
            <w:tcW w:w="1783" w:type="dxa"/>
            <w:vAlign w:val="center"/>
          </w:tcPr>
          <w:p w:rsidR="006D5F65" w:rsidRPr="00D33B70" w:rsidRDefault="006D5F65" w:rsidP="00430B8C">
            <w:pPr>
              <w:spacing w:line="300" w:lineRule="atLeast"/>
              <w:jc w:val="center"/>
              <w:rPr>
                <w:rFonts w:cs="Arial"/>
              </w:rPr>
            </w:pPr>
            <w:r w:rsidRPr="00D33B70">
              <w:rPr>
                <w:rFonts w:cs="Arial"/>
              </w:rPr>
              <w:t>74506</w:t>
            </w:r>
          </w:p>
        </w:tc>
      </w:tr>
      <w:tr w:rsidR="006D5F65" w:rsidRPr="00D33B70" w:rsidTr="00E16583">
        <w:tc>
          <w:tcPr>
            <w:tcW w:w="1963" w:type="dxa"/>
            <w:vAlign w:val="center"/>
          </w:tcPr>
          <w:p w:rsidR="006D5F65" w:rsidRPr="00D33B70" w:rsidRDefault="006D5F65" w:rsidP="00430B8C">
            <w:pPr>
              <w:spacing w:line="300" w:lineRule="atLeast"/>
              <w:jc w:val="center"/>
              <w:rPr>
                <w:rFonts w:eastAsia="Arial Unicode MS" w:cs="Arial"/>
              </w:rPr>
            </w:pPr>
            <w:r w:rsidRPr="00D33B70">
              <w:rPr>
                <w:rFonts w:eastAsia="Arial Unicode MS" w:cs="Arial"/>
              </w:rPr>
              <w:t>62.90</w:t>
            </w:r>
          </w:p>
        </w:tc>
        <w:tc>
          <w:tcPr>
            <w:tcW w:w="1843" w:type="dxa"/>
            <w:vAlign w:val="center"/>
          </w:tcPr>
          <w:p w:rsidR="006D5F65" w:rsidRPr="00D33B70" w:rsidRDefault="006D5F65" w:rsidP="00430B8C">
            <w:pPr>
              <w:spacing w:line="300" w:lineRule="atLeast"/>
              <w:jc w:val="center"/>
              <w:rPr>
                <w:rFonts w:cs="Arial"/>
              </w:rPr>
            </w:pPr>
            <w:r w:rsidRPr="00D33B70">
              <w:rPr>
                <w:rFonts w:cs="Arial"/>
              </w:rPr>
              <w:t>4.04</w:t>
            </w:r>
          </w:p>
        </w:tc>
        <w:tc>
          <w:tcPr>
            <w:tcW w:w="1783" w:type="dxa"/>
            <w:vAlign w:val="center"/>
          </w:tcPr>
          <w:p w:rsidR="006D5F65" w:rsidRPr="00D33B70" w:rsidRDefault="006D5F65" w:rsidP="00430B8C">
            <w:pPr>
              <w:spacing w:line="300" w:lineRule="atLeast"/>
              <w:jc w:val="center"/>
              <w:rPr>
                <w:rFonts w:eastAsia="Arial Unicode MS" w:cs="Arial"/>
              </w:rPr>
            </w:pPr>
            <w:r w:rsidRPr="00D33B70">
              <w:rPr>
                <w:rFonts w:eastAsia="Arial Unicode MS" w:cs="Arial"/>
              </w:rPr>
              <w:t>79071</w:t>
            </w:r>
          </w:p>
        </w:tc>
      </w:tr>
      <w:tr w:rsidR="006D5F65" w:rsidRPr="00D33B70" w:rsidTr="00E16583">
        <w:tc>
          <w:tcPr>
            <w:tcW w:w="1963" w:type="dxa"/>
            <w:vAlign w:val="center"/>
          </w:tcPr>
          <w:p w:rsidR="006D5F65" w:rsidRPr="00D33B70" w:rsidRDefault="006D5F65" w:rsidP="00430B8C">
            <w:pPr>
              <w:spacing w:line="300" w:lineRule="atLeast"/>
              <w:jc w:val="center"/>
              <w:rPr>
                <w:rFonts w:cs="Arial"/>
              </w:rPr>
            </w:pPr>
            <w:r w:rsidRPr="00D33B70">
              <w:rPr>
                <w:rFonts w:cs="Arial"/>
              </w:rPr>
              <w:t>62.97</w:t>
            </w:r>
          </w:p>
        </w:tc>
        <w:tc>
          <w:tcPr>
            <w:tcW w:w="1843" w:type="dxa"/>
            <w:vAlign w:val="center"/>
          </w:tcPr>
          <w:p w:rsidR="006D5F65" w:rsidRPr="00D33B70" w:rsidRDefault="006D5F65" w:rsidP="00430B8C">
            <w:pPr>
              <w:spacing w:line="300" w:lineRule="atLeast"/>
              <w:jc w:val="center"/>
              <w:rPr>
                <w:rFonts w:cs="Arial"/>
              </w:rPr>
            </w:pPr>
            <w:r w:rsidRPr="00D33B70">
              <w:rPr>
                <w:rFonts w:cs="Arial"/>
              </w:rPr>
              <w:t>4.06</w:t>
            </w:r>
          </w:p>
        </w:tc>
        <w:tc>
          <w:tcPr>
            <w:tcW w:w="1783" w:type="dxa"/>
            <w:vAlign w:val="center"/>
          </w:tcPr>
          <w:p w:rsidR="006D5F65" w:rsidRPr="00D33B70" w:rsidRDefault="006D5F65" w:rsidP="00430B8C">
            <w:pPr>
              <w:spacing w:line="300" w:lineRule="atLeast"/>
              <w:jc w:val="center"/>
              <w:rPr>
                <w:rFonts w:cs="Arial"/>
              </w:rPr>
            </w:pPr>
            <w:r w:rsidRPr="00D33B70">
              <w:rPr>
                <w:rFonts w:cs="Arial"/>
              </w:rPr>
              <w:t>81250</w:t>
            </w:r>
          </w:p>
        </w:tc>
      </w:tr>
      <w:tr w:rsidR="006D5F65" w:rsidRPr="00D33B70" w:rsidTr="00E16583">
        <w:tc>
          <w:tcPr>
            <w:tcW w:w="1963" w:type="dxa"/>
            <w:vAlign w:val="center"/>
          </w:tcPr>
          <w:p w:rsidR="006D5F65" w:rsidRPr="00D33B70" w:rsidRDefault="006D5F65" w:rsidP="00430B8C">
            <w:pPr>
              <w:spacing w:line="300" w:lineRule="atLeast"/>
              <w:jc w:val="center"/>
              <w:rPr>
                <w:rFonts w:eastAsia="Arial Unicode MS" w:cs="Arial"/>
              </w:rPr>
            </w:pPr>
            <w:r w:rsidRPr="00D33B70">
              <w:rPr>
                <w:rFonts w:eastAsia="Arial Unicode MS" w:cs="Arial"/>
              </w:rPr>
              <w:t>63.10</w:t>
            </w:r>
          </w:p>
        </w:tc>
        <w:tc>
          <w:tcPr>
            <w:tcW w:w="1843" w:type="dxa"/>
            <w:vAlign w:val="center"/>
          </w:tcPr>
          <w:p w:rsidR="006D5F65" w:rsidRPr="00D33B70" w:rsidRDefault="006D5F65" w:rsidP="00430B8C">
            <w:pPr>
              <w:spacing w:line="300" w:lineRule="atLeast"/>
              <w:jc w:val="center"/>
              <w:rPr>
                <w:rFonts w:eastAsia="Arial Unicode MS" w:cs="Arial"/>
              </w:rPr>
            </w:pPr>
            <w:r w:rsidRPr="00D33B70">
              <w:rPr>
                <w:rFonts w:eastAsia="Arial Unicode MS" w:cs="Arial"/>
              </w:rPr>
              <w:t>4.10</w:t>
            </w:r>
          </w:p>
        </w:tc>
        <w:tc>
          <w:tcPr>
            <w:tcW w:w="1783" w:type="dxa"/>
            <w:vAlign w:val="center"/>
          </w:tcPr>
          <w:p w:rsidR="006D5F65" w:rsidRPr="00D33B70" w:rsidRDefault="006D5F65" w:rsidP="00430B8C">
            <w:pPr>
              <w:spacing w:line="300" w:lineRule="atLeast"/>
              <w:jc w:val="center"/>
              <w:rPr>
                <w:rFonts w:eastAsia="Arial Unicode MS" w:cs="Arial"/>
              </w:rPr>
            </w:pPr>
            <w:r w:rsidRPr="00D33B70">
              <w:rPr>
                <w:rFonts w:eastAsia="Arial Unicode MS" w:cs="Arial"/>
              </w:rPr>
              <w:t>85379</w:t>
            </w:r>
          </w:p>
        </w:tc>
      </w:tr>
      <w:tr w:rsidR="006D5F65" w:rsidRPr="00D33B70" w:rsidTr="00E16583">
        <w:tc>
          <w:tcPr>
            <w:tcW w:w="1963" w:type="dxa"/>
            <w:vAlign w:val="center"/>
          </w:tcPr>
          <w:p w:rsidR="006D5F65" w:rsidRPr="00D33B70" w:rsidRDefault="006D5F65" w:rsidP="00430B8C">
            <w:pPr>
              <w:spacing w:line="300" w:lineRule="atLeast"/>
              <w:jc w:val="center"/>
              <w:rPr>
                <w:rFonts w:cs="Arial"/>
              </w:rPr>
            </w:pPr>
            <w:r w:rsidRPr="00D33B70">
              <w:rPr>
                <w:rFonts w:cs="Arial"/>
              </w:rPr>
              <w:t>63.40</w:t>
            </w:r>
          </w:p>
        </w:tc>
        <w:tc>
          <w:tcPr>
            <w:tcW w:w="1843" w:type="dxa"/>
            <w:vAlign w:val="center"/>
          </w:tcPr>
          <w:p w:rsidR="006D5F65" w:rsidRPr="00D33B70" w:rsidRDefault="006D5F65" w:rsidP="00430B8C">
            <w:pPr>
              <w:spacing w:line="300" w:lineRule="atLeast"/>
              <w:jc w:val="center"/>
              <w:rPr>
                <w:rFonts w:eastAsia="Arial Unicode MS" w:cs="Arial"/>
              </w:rPr>
            </w:pPr>
            <w:r w:rsidRPr="00D33B70">
              <w:rPr>
                <w:rFonts w:eastAsia="Arial Unicode MS" w:cs="Arial"/>
              </w:rPr>
              <w:t>4.18</w:t>
            </w:r>
          </w:p>
        </w:tc>
        <w:tc>
          <w:tcPr>
            <w:tcW w:w="1783" w:type="dxa"/>
            <w:vAlign w:val="center"/>
          </w:tcPr>
          <w:p w:rsidR="006D5F65" w:rsidRPr="00D33B70" w:rsidRDefault="006D5F65" w:rsidP="00430B8C">
            <w:pPr>
              <w:spacing w:line="300" w:lineRule="atLeast"/>
              <w:jc w:val="center"/>
              <w:rPr>
                <w:rFonts w:eastAsia="Arial Unicode MS" w:cs="Arial"/>
              </w:rPr>
            </w:pPr>
            <w:r w:rsidRPr="00D33B70">
              <w:rPr>
                <w:rFonts w:eastAsia="Arial Unicode MS" w:cs="Arial"/>
              </w:rPr>
              <w:t>95321</w:t>
            </w:r>
          </w:p>
        </w:tc>
      </w:tr>
      <w:tr w:rsidR="006D5F65" w:rsidRPr="00D33B70" w:rsidTr="00E16583">
        <w:tc>
          <w:tcPr>
            <w:tcW w:w="1963" w:type="dxa"/>
            <w:vAlign w:val="center"/>
          </w:tcPr>
          <w:p w:rsidR="006D5F65" w:rsidRPr="00D33B70" w:rsidRDefault="006D5F65" w:rsidP="00430B8C">
            <w:pPr>
              <w:spacing w:line="300" w:lineRule="atLeast"/>
              <w:jc w:val="center"/>
              <w:rPr>
                <w:rFonts w:cs="Arial"/>
              </w:rPr>
            </w:pPr>
            <w:r w:rsidRPr="00D33B70">
              <w:rPr>
                <w:rFonts w:cs="Arial"/>
              </w:rPr>
              <w:t>63.50</w:t>
            </w:r>
          </w:p>
        </w:tc>
        <w:tc>
          <w:tcPr>
            <w:tcW w:w="1843" w:type="dxa"/>
            <w:vAlign w:val="center"/>
          </w:tcPr>
          <w:p w:rsidR="006D5F65" w:rsidRPr="00D33B70" w:rsidRDefault="006D5F65" w:rsidP="00430B8C">
            <w:pPr>
              <w:spacing w:line="300" w:lineRule="atLeast"/>
              <w:jc w:val="center"/>
              <w:rPr>
                <w:rFonts w:eastAsia="Arial Unicode MS" w:cs="Arial"/>
              </w:rPr>
            </w:pPr>
            <w:r w:rsidRPr="00D33B70">
              <w:rPr>
                <w:rFonts w:eastAsia="Arial Unicode MS" w:cs="Arial"/>
              </w:rPr>
              <w:t>4.21</w:t>
            </w:r>
          </w:p>
        </w:tc>
        <w:tc>
          <w:tcPr>
            <w:tcW w:w="1783" w:type="dxa"/>
            <w:vAlign w:val="center"/>
          </w:tcPr>
          <w:p w:rsidR="006D5F65" w:rsidRPr="00D33B70" w:rsidRDefault="006D5F65" w:rsidP="00430B8C">
            <w:pPr>
              <w:spacing w:line="300" w:lineRule="atLeast"/>
              <w:jc w:val="center"/>
              <w:rPr>
                <w:rFonts w:eastAsia="Arial Unicode MS" w:cs="Arial"/>
              </w:rPr>
            </w:pPr>
            <w:r w:rsidRPr="00D33B70">
              <w:rPr>
                <w:rFonts w:eastAsia="Arial Unicode MS" w:cs="Arial"/>
              </w:rPr>
              <w:t>98760</w:t>
            </w:r>
          </w:p>
        </w:tc>
      </w:tr>
    </w:tbl>
    <w:p w:rsidR="00D36FAE" w:rsidRPr="00D33B70" w:rsidRDefault="00D36FAE" w:rsidP="00E86295">
      <w:pPr>
        <w:pStyle w:val="Heading5"/>
      </w:pPr>
      <w:r w:rsidRPr="00D33B70">
        <w:t>Internal CoGG Hydraulic Assessment</w:t>
      </w:r>
    </w:p>
    <w:p w:rsidR="00463DB9" w:rsidRPr="00D33B70" w:rsidRDefault="00463DB9" w:rsidP="00430B8C">
      <w:pPr>
        <w:pStyle w:val="Text"/>
      </w:pPr>
      <w:r w:rsidRPr="00D33B70">
        <w:t>The City of Greater Geelong provided a</w:t>
      </w:r>
      <w:r w:rsidR="00546F41" w:rsidRPr="00D33B70">
        <w:t>n</w:t>
      </w:r>
      <w:r w:rsidRPr="00D33B70">
        <w:t xml:space="preserve"> XP-RAFTS model containing pipe outlet data and stage-discharge equations for </w:t>
      </w:r>
      <w:r w:rsidR="00B37279" w:rsidRPr="00D33B70">
        <w:t xml:space="preserve">the </w:t>
      </w:r>
      <w:r w:rsidR="006A7F44" w:rsidRPr="00D33B70">
        <w:t>Barrabool Road</w:t>
      </w:r>
      <w:r w:rsidR="00C25661" w:rsidRPr="00D33B70">
        <w:t xml:space="preserve"> Upper</w:t>
      </w:r>
      <w:r w:rsidR="006A7F44" w:rsidRPr="00D33B70">
        <w:t xml:space="preserve"> </w:t>
      </w:r>
      <w:r w:rsidRPr="00D33B70">
        <w:t xml:space="preserve">and </w:t>
      </w:r>
      <w:r w:rsidR="00C25661" w:rsidRPr="00D33B70">
        <w:t>Barrabool Road Lower</w:t>
      </w:r>
      <w:r w:rsidRPr="00D33B70">
        <w:t xml:space="preserve"> Retarding Basin</w:t>
      </w:r>
      <w:r w:rsidR="006A7F44" w:rsidRPr="00D33B70">
        <w:t>s</w:t>
      </w:r>
      <w:r w:rsidRPr="00D33B70">
        <w:t xml:space="preserve">.  The pipe outlet data was taken </w:t>
      </w:r>
      <w:r w:rsidR="00B37279" w:rsidRPr="00D33B70">
        <w:t>from</w:t>
      </w:r>
      <w:r w:rsidRPr="00D33B70">
        <w:t xml:space="preserve"> the XP-RAFTS model and applied to the Highton RORB model using the weir and pipe formula method.</w:t>
      </w:r>
      <w:r w:rsidR="00B37279" w:rsidRPr="00D33B70">
        <w:t xml:space="preserve">  </w:t>
      </w:r>
      <w:r w:rsidR="006C189D" w:rsidRPr="00D33B70">
        <w:t xml:space="preserve">Ground elevation and outlet invert data was converted meters AHD from the supplied </w:t>
      </w:r>
      <w:r w:rsidR="00546F41" w:rsidRPr="00D33B70">
        <w:t>photogrammetry</w:t>
      </w:r>
      <w:r w:rsidR="006C189D" w:rsidRPr="00D33B70">
        <w:t xml:space="preserve"> DEM</w:t>
      </w:r>
      <w:r w:rsidR="00824C1D" w:rsidRPr="00D33B70">
        <w:t>, using the top of bank for each retarding basin as reference</w:t>
      </w:r>
      <w:r w:rsidR="006C189D" w:rsidRPr="00D33B70">
        <w:t xml:space="preserve">.  </w:t>
      </w:r>
      <w:r w:rsidR="00F21A4E" w:rsidRPr="00D33B70">
        <w:fldChar w:fldCharType="begin"/>
      </w:r>
      <w:r w:rsidR="006C189D" w:rsidRPr="00D33B70">
        <w:instrText xml:space="preserve"> REF _Ref289954509 \h </w:instrText>
      </w:r>
      <w:r w:rsidR="00F21A4E" w:rsidRPr="00D33B70">
        <w:fldChar w:fldCharType="separate"/>
      </w:r>
      <w:r w:rsidR="00AC6986" w:rsidRPr="00D33B70">
        <w:t xml:space="preserve">Table </w:t>
      </w:r>
      <w:r w:rsidR="00AC6986">
        <w:rPr>
          <w:noProof/>
        </w:rPr>
        <w:t>4</w:t>
      </w:r>
      <w:r w:rsidR="00AC6986" w:rsidRPr="00D33B70">
        <w:noBreakHyphen/>
      </w:r>
      <w:r w:rsidR="00AC6986">
        <w:rPr>
          <w:noProof/>
        </w:rPr>
        <w:t>7</w:t>
      </w:r>
      <w:r w:rsidR="00F21A4E" w:rsidRPr="00D33B70">
        <w:fldChar w:fldCharType="end"/>
      </w:r>
      <w:r w:rsidR="006C189D" w:rsidRPr="00D33B70">
        <w:t xml:space="preserve"> </w:t>
      </w:r>
      <w:r w:rsidR="00B37279" w:rsidRPr="00D33B70">
        <w:t>provides the adopted basin details.</w:t>
      </w:r>
    </w:p>
    <w:p w:rsidR="0055338D" w:rsidRPr="00D33B70" w:rsidRDefault="0055338D" w:rsidP="00430B8C">
      <w:pPr>
        <w:pStyle w:val="Caption"/>
        <w:keepNext/>
      </w:pPr>
      <w:bookmarkStart w:id="148" w:name="_Ref289954509"/>
      <w:bookmarkStart w:id="149" w:name="_Toc387308978"/>
      <w:r w:rsidRPr="00D33B70">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4</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7</w:t>
      </w:r>
      <w:r w:rsidR="00FF3C04" w:rsidRPr="00D33B70">
        <w:fldChar w:fldCharType="end"/>
      </w:r>
      <w:bookmarkEnd w:id="148"/>
      <w:r w:rsidR="00430B8C" w:rsidRPr="00D33B70">
        <w:tab/>
      </w:r>
      <w:r w:rsidR="00C25661" w:rsidRPr="00D33B70">
        <w:t>Barrabool Road Upper</w:t>
      </w:r>
      <w:r w:rsidRPr="00D33B70">
        <w:t xml:space="preserve"> and </w:t>
      </w:r>
      <w:r w:rsidR="002C39D3" w:rsidRPr="00D33B70">
        <w:t>Barrabool</w:t>
      </w:r>
      <w:r w:rsidR="006A7F44" w:rsidRPr="00D33B70">
        <w:t xml:space="preserve"> Road</w:t>
      </w:r>
      <w:r w:rsidR="00C25661" w:rsidRPr="00D33B70">
        <w:t xml:space="preserve"> Lower</w:t>
      </w:r>
      <w:r w:rsidRPr="00D33B70">
        <w:t xml:space="preserve"> Retarding Basin Details</w:t>
      </w:r>
      <w:bookmarkEnd w:id="149"/>
    </w:p>
    <w:tbl>
      <w:tblPr>
        <w:tblW w:w="878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1"/>
        <w:gridCol w:w="2859"/>
        <w:gridCol w:w="3108"/>
      </w:tblGrid>
      <w:tr w:rsidR="00E467C7" w:rsidRPr="00D33B70" w:rsidTr="00D90785">
        <w:trPr>
          <w:trHeight w:val="406"/>
        </w:trPr>
        <w:tc>
          <w:tcPr>
            <w:tcW w:w="2821" w:type="dxa"/>
            <w:shd w:val="pct10" w:color="auto" w:fill="FFFFFF" w:themeFill="background1"/>
            <w:vAlign w:val="center"/>
          </w:tcPr>
          <w:bookmarkEnd w:id="87"/>
          <w:bookmarkEnd w:id="88"/>
          <w:bookmarkEnd w:id="100"/>
          <w:bookmarkEnd w:id="101"/>
          <w:bookmarkEnd w:id="102"/>
          <w:p w:rsidR="0055338D" w:rsidRPr="00D33B70" w:rsidRDefault="0055338D" w:rsidP="00D90785">
            <w:pPr>
              <w:pStyle w:val="ListContinue2"/>
              <w:keepNext/>
              <w:tabs>
                <w:tab w:val="clear" w:pos="-720"/>
              </w:tabs>
              <w:suppressAutoHyphens w:val="0"/>
              <w:spacing w:before="40" w:after="40"/>
              <w:jc w:val="center"/>
              <w:rPr>
                <w:rFonts w:cs="Arial"/>
                <w:b/>
              </w:rPr>
            </w:pPr>
            <w:r w:rsidRPr="00D33B70">
              <w:rPr>
                <w:rFonts w:cs="Arial"/>
                <w:b/>
              </w:rPr>
              <w:t>Parameter</w:t>
            </w:r>
          </w:p>
        </w:tc>
        <w:tc>
          <w:tcPr>
            <w:tcW w:w="2859" w:type="dxa"/>
            <w:shd w:val="pct10" w:color="auto" w:fill="FFFFFF" w:themeFill="background1"/>
          </w:tcPr>
          <w:p w:rsidR="0055338D" w:rsidRPr="00D33B70" w:rsidRDefault="008E0FBA" w:rsidP="00C25661">
            <w:pPr>
              <w:pStyle w:val="ListContinue2"/>
              <w:keepNext/>
              <w:tabs>
                <w:tab w:val="clear" w:pos="-720"/>
              </w:tabs>
              <w:suppressAutoHyphens w:val="0"/>
              <w:spacing w:before="40" w:after="40"/>
              <w:jc w:val="center"/>
              <w:rPr>
                <w:rFonts w:cs="Arial"/>
                <w:b/>
              </w:rPr>
            </w:pPr>
            <w:r w:rsidRPr="00D33B70">
              <w:rPr>
                <w:rFonts w:cs="Arial"/>
                <w:b/>
              </w:rPr>
              <w:t>Barrabool Road</w:t>
            </w:r>
            <w:r w:rsidR="00E16583" w:rsidRPr="00D33B70">
              <w:rPr>
                <w:rFonts w:cs="Arial"/>
                <w:b/>
              </w:rPr>
              <w:t xml:space="preserve"> </w:t>
            </w:r>
            <w:r w:rsidR="00C25661" w:rsidRPr="00D33B70">
              <w:rPr>
                <w:rFonts w:cs="Arial"/>
                <w:b/>
              </w:rPr>
              <w:t xml:space="preserve">Upper </w:t>
            </w:r>
            <w:r w:rsidR="0055338D" w:rsidRPr="00D33B70">
              <w:rPr>
                <w:rFonts w:cs="Arial"/>
                <w:b/>
              </w:rPr>
              <w:t>RB</w:t>
            </w:r>
          </w:p>
        </w:tc>
        <w:tc>
          <w:tcPr>
            <w:tcW w:w="3108" w:type="dxa"/>
            <w:shd w:val="pct10" w:color="auto" w:fill="FFFFFF" w:themeFill="background1"/>
          </w:tcPr>
          <w:p w:rsidR="0055338D" w:rsidRPr="00D33B70" w:rsidRDefault="002C39D3" w:rsidP="00C25661">
            <w:pPr>
              <w:pStyle w:val="ListContinue2"/>
              <w:keepNext/>
              <w:tabs>
                <w:tab w:val="clear" w:pos="-720"/>
              </w:tabs>
              <w:suppressAutoHyphens w:val="0"/>
              <w:spacing w:before="40" w:after="40"/>
              <w:jc w:val="center"/>
              <w:rPr>
                <w:rFonts w:cs="Arial"/>
                <w:b/>
              </w:rPr>
            </w:pPr>
            <w:r w:rsidRPr="00D33B70">
              <w:rPr>
                <w:rFonts w:cs="Arial"/>
                <w:b/>
              </w:rPr>
              <w:t>Barrabool</w:t>
            </w:r>
            <w:r w:rsidR="008E0FBA" w:rsidRPr="00D33B70">
              <w:rPr>
                <w:rFonts w:cs="Arial"/>
                <w:b/>
              </w:rPr>
              <w:t xml:space="preserve"> Road</w:t>
            </w:r>
            <w:r w:rsidR="00E16583" w:rsidRPr="00D33B70">
              <w:rPr>
                <w:rFonts w:cs="Arial"/>
                <w:b/>
              </w:rPr>
              <w:t xml:space="preserve"> </w:t>
            </w:r>
            <w:r w:rsidR="00C25661" w:rsidRPr="00D33B70">
              <w:rPr>
                <w:rFonts w:cs="Arial"/>
                <w:b/>
              </w:rPr>
              <w:t xml:space="preserve">Lower </w:t>
            </w:r>
            <w:r w:rsidR="0055338D" w:rsidRPr="00D33B70">
              <w:rPr>
                <w:rFonts w:cs="Arial"/>
                <w:b/>
              </w:rPr>
              <w:t>RB</w:t>
            </w:r>
          </w:p>
        </w:tc>
      </w:tr>
      <w:tr w:rsidR="00E467C7" w:rsidRPr="00D33B70" w:rsidTr="00E16583">
        <w:trPr>
          <w:trHeight w:val="408"/>
        </w:trPr>
        <w:tc>
          <w:tcPr>
            <w:tcW w:w="2821" w:type="dxa"/>
            <w:vAlign w:val="center"/>
          </w:tcPr>
          <w:p w:rsidR="009F228A" w:rsidRPr="00D33B70" w:rsidRDefault="0055338D" w:rsidP="00430B8C">
            <w:pPr>
              <w:pStyle w:val="Text"/>
              <w:spacing w:before="60" w:after="60" w:line="240" w:lineRule="auto"/>
              <w:ind w:left="0"/>
              <w:jc w:val="left"/>
            </w:pPr>
            <w:r w:rsidRPr="00D33B70">
              <w:t>Peak storage at weir crest</w:t>
            </w:r>
          </w:p>
        </w:tc>
        <w:tc>
          <w:tcPr>
            <w:tcW w:w="2859" w:type="dxa"/>
            <w:vAlign w:val="center"/>
          </w:tcPr>
          <w:p w:rsidR="009F228A" w:rsidRPr="00D33B70" w:rsidRDefault="0055338D" w:rsidP="00430B8C">
            <w:pPr>
              <w:pStyle w:val="Text"/>
              <w:spacing w:before="60" w:after="60" w:line="240" w:lineRule="auto"/>
              <w:ind w:left="0"/>
              <w:jc w:val="center"/>
            </w:pPr>
            <w:r w:rsidRPr="00D33B70">
              <w:t>5469 m</w:t>
            </w:r>
            <w:r w:rsidRPr="00D33B70">
              <w:rPr>
                <w:vertAlign w:val="superscript"/>
              </w:rPr>
              <w:t>3</w:t>
            </w:r>
          </w:p>
        </w:tc>
        <w:tc>
          <w:tcPr>
            <w:tcW w:w="3108" w:type="dxa"/>
            <w:vAlign w:val="center"/>
          </w:tcPr>
          <w:p w:rsidR="009F228A" w:rsidRPr="00D33B70" w:rsidRDefault="00E16583" w:rsidP="00430B8C">
            <w:pPr>
              <w:pStyle w:val="Text"/>
              <w:spacing w:before="60" w:after="60" w:line="240" w:lineRule="auto"/>
              <w:ind w:left="0"/>
              <w:jc w:val="center"/>
            </w:pPr>
            <w:r w:rsidRPr="00D33B70">
              <w:t>21469</w:t>
            </w:r>
            <w:r w:rsidR="0055338D" w:rsidRPr="00D33B70">
              <w:t xml:space="preserve"> m</w:t>
            </w:r>
            <w:r w:rsidR="0055338D" w:rsidRPr="00D33B70">
              <w:rPr>
                <w:vertAlign w:val="superscript"/>
              </w:rPr>
              <w:t>3</w:t>
            </w:r>
          </w:p>
        </w:tc>
      </w:tr>
      <w:tr w:rsidR="00E467C7" w:rsidRPr="00D33B70" w:rsidTr="00E16583">
        <w:trPr>
          <w:trHeight w:val="408"/>
        </w:trPr>
        <w:tc>
          <w:tcPr>
            <w:tcW w:w="2821" w:type="dxa"/>
            <w:vAlign w:val="center"/>
          </w:tcPr>
          <w:p w:rsidR="009F228A" w:rsidRPr="00D33B70" w:rsidRDefault="0055338D" w:rsidP="00430B8C">
            <w:pPr>
              <w:pStyle w:val="Text"/>
              <w:spacing w:before="60" w:after="60" w:line="240" w:lineRule="auto"/>
              <w:ind w:left="0"/>
              <w:jc w:val="left"/>
            </w:pPr>
            <w:r w:rsidRPr="00D33B70">
              <w:t>Overflow weir crest</w:t>
            </w:r>
          </w:p>
        </w:tc>
        <w:tc>
          <w:tcPr>
            <w:tcW w:w="2859" w:type="dxa"/>
            <w:vAlign w:val="center"/>
          </w:tcPr>
          <w:p w:rsidR="009F228A" w:rsidRPr="00D33B70" w:rsidRDefault="0055338D" w:rsidP="00430B8C">
            <w:pPr>
              <w:pStyle w:val="Text"/>
              <w:spacing w:before="60" w:after="60" w:line="240" w:lineRule="auto"/>
              <w:ind w:left="0"/>
              <w:jc w:val="center"/>
            </w:pPr>
            <w:r w:rsidRPr="00D33B70">
              <w:t>84.49m AHD</w:t>
            </w:r>
          </w:p>
        </w:tc>
        <w:tc>
          <w:tcPr>
            <w:tcW w:w="3108" w:type="dxa"/>
            <w:vAlign w:val="center"/>
          </w:tcPr>
          <w:p w:rsidR="009F228A" w:rsidRPr="00D33B70" w:rsidRDefault="0055338D" w:rsidP="00430B8C">
            <w:pPr>
              <w:pStyle w:val="Text"/>
              <w:spacing w:before="60" w:after="60" w:line="240" w:lineRule="auto"/>
              <w:ind w:left="0"/>
              <w:jc w:val="center"/>
            </w:pPr>
            <w:r w:rsidRPr="00D33B70">
              <w:t>71.04m AHD</w:t>
            </w:r>
          </w:p>
        </w:tc>
      </w:tr>
      <w:tr w:rsidR="00E467C7" w:rsidRPr="00D33B70" w:rsidTr="00E16583">
        <w:trPr>
          <w:trHeight w:val="408"/>
        </w:trPr>
        <w:tc>
          <w:tcPr>
            <w:tcW w:w="2821" w:type="dxa"/>
            <w:vAlign w:val="center"/>
          </w:tcPr>
          <w:p w:rsidR="009F228A" w:rsidRPr="00D33B70" w:rsidRDefault="0055338D" w:rsidP="00430B8C">
            <w:pPr>
              <w:pStyle w:val="Text"/>
              <w:spacing w:before="60" w:after="60" w:line="240" w:lineRule="auto"/>
              <w:ind w:left="0"/>
              <w:jc w:val="left"/>
            </w:pPr>
            <w:r w:rsidRPr="00D33B70">
              <w:t>Overflow weir crest length</w:t>
            </w:r>
          </w:p>
        </w:tc>
        <w:tc>
          <w:tcPr>
            <w:tcW w:w="2859" w:type="dxa"/>
            <w:vAlign w:val="center"/>
          </w:tcPr>
          <w:p w:rsidR="009F228A" w:rsidRPr="00D33B70" w:rsidRDefault="0055338D" w:rsidP="00430B8C">
            <w:pPr>
              <w:pStyle w:val="Text"/>
              <w:spacing w:before="60" w:after="60" w:line="240" w:lineRule="auto"/>
              <w:ind w:left="0"/>
              <w:jc w:val="center"/>
            </w:pPr>
            <w:r w:rsidRPr="00D33B70">
              <w:t xml:space="preserve">13 m </w:t>
            </w:r>
          </w:p>
        </w:tc>
        <w:tc>
          <w:tcPr>
            <w:tcW w:w="3108" w:type="dxa"/>
            <w:vAlign w:val="center"/>
          </w:tcPr>
          <w:p w:rsidR="009F228A" w:rsidRPr="00D33B70" w:rsidRDefault="0055338D" w:rsidP="00430B8C">
            <w:pPr>
              <w:pStyle w:val="Text"/>
              <w:spacing w:before="60" w:after="60" w:line="240" w:lineRule="auto"/>
              <w:ind w:left="0"/>
              <w:jc w:val="center"/>
            </w:pPr>
            <w:r w:rsidRPr="00D33B70">
              <w:t>30 m</w:t>
            </w:r>
          </w:p>
        </w:tc>
      </w:tr>
      <w:tr w:rsidR="00E467C7" w:rsidRPr="00D33B70" w:rsidTr="00E16583">
        <w:trPr>
          <w:trHeight w:val="408"/>
        </w:trPr>
        <w:tc>
          <w:tcPr>
            <w:tcW w:w="2821" w:type="dxa"/>
            <w:vAlign w:val="center"/>
          </w:tcPr>
          <w:p w:rsidR="009F228A" w:rsidRPr="00D33B70" w:rsidRDefault="0055338D" w:rsidP="00430B8C">
            <w:pPr>
              <w:pStyle w:val="Text"/>
              <w:spacing w:before="60" w:after="60" w:line="240" w:lineRule="auto"/>
              <w:ind w:left="0"/>
              <w:jc w:val="left"/>
            </w:pPr>
            <w:r w:rsidRPr="00D33B70">
              <w:t>Pipe outlet diameter</w:t>
            </w:r>
          </w:p>
        </w:tc>
        <w:tc>
          <w:tcPr>
            <w:tcW w:w="2859" w:type="dxa"/>
            <w:vAlign w:val="center"/>
          </w:tcPr>
          <w:p w:rsidR="009F228A" w:rsidRPr="00D33B70" w:rsidRDefault="0055338D" w:rsidP="00430B8C">
            <w:pPr>
              <w:pStyle w:val="Text"/>
              <w:spacing w:before="60" w:after="60" w:line="240" w:lineRule="auto"/>
              <w:ind w:left="0"/>
              <w:jc w:val="center"/>
            </w:pPr>
            <w:r w:rsidRPr="00D33B70">
              <w:t>1 x 1050 mm</w:t>
            </w:r>
          </w:p>
        </w:tc>
        <w:tc>
          <w:tcPr>
            <w:tcW w:w="3108" w:type="dxa"/>
            <w:vAlign w:val="center"/>
          </w:tcPr>
          <w:p w:rsidR="009F228A" w:rsidRPr="00D33B70" w:rsidRDefault="0055338D" w:rsidP="00430B8C">
            <w:pPr>
              <w:pStyle w:val="Text"/>
              <w:spacing w:before="60" w:after="60" w:line="240" w:lineRule="auto"/>
              <w:ind w:left="0"/>
              <w:jc w:val="center"/>
            </w:pPr>
            <w:r w:rsidRPr="00D33B70">
              <w:t>3 x 375 mm</w:t>
            </w:r>
          </w:p>
        </w:tc>
      </w:tr>
      <w:tr w:rsidR="00E467C7" w:rsidRPr="00D33B70" w:rsidTr="00E16583">
        <w:trPr>
          <w:trHeight w:val="408"/>
        </w:trPr>
        <w:tc>
          <w:tcPr>
            <w:tcW w:w="2821" w:type="dxa"/>
            <w:vAlign w:val="center"/>
          </w:tcPr>
          <w:p w:rsidR="009F228A" w:rsidRPr="00D33B70" w:rsidRDefault="0055338D" w:rsidP="00430B8C">
            <w:pPr>
              <w:pStyle w:val="Text"/>
              <w:spacing w:before="60" w:after="60" w:line="240" w:lineRule="auto"/>
              <w:ind w:left="0"/>
              <w:jc w:val="left"/>
            </w:pPr>
            <w:r w:rsidRPr="00D33B70">
              <w:t>Pipe outlet length</w:t>
            </w:r>
          </w:p>
        </w:tc>
        <w:tc>
          <w:tcPr>
            <w:tcW w:w="2859" w:type="dxa"/>
            <w:vAlign w:val="center"/>
          </w:tcPr>
          <w:p w:rsidR="009F228A" w:rsidRPr="00D33B70" w:rsidRDefault="00E51074" w:rsidP="00430B8C">
            <w:pPr>
              <w:pStyle w:val="Text"/>
              <w:spacing w:before="60" w:after="60" w:line="240" w:lineRule="auto"/>
              <w:ind w:left="0"/>
              <w:jc w:val="center"/>
            </w:pPr>
            <w:r w:rsidRPr="00D33B70">
              <w:t>80 m</w:t>
            </w:r>
          </w:p>
        </w:tc>
        <w:tc>
          <w:tcPr>
            <w:tcW w:w="3108" w:type="dxa"/>
            <w:vAlign w:val="center"/>
          </w:tcPr>
          <w:p w:rsidR="009F228A" w:rsidRPr="00D33B70" w:rsidRDefault="00336A61" w:rsidP="00430B8C">
            <w:pPr>
              <w:pStyle w:val="Text"/>
              <w:spacing w:before="60" w:after="60" w:line="240" w:lineRule="auto"/>
              <w:ind w:left="0"/>
              <w:jc w:val="center"/>
            </w:pPr>
            <w:r w:rsidRPr="00D33B70">
              <w:t xml:space="preserve">112 </w:t>
            </w:r>
            <w:r w:rsidR="0055338D" w:rsidRPr="00D33B70">
              <w:t>m</w:t>
            </w:r>
          </w:p>
        </w:tc>
      </w:tr>
      <w:tr w:rsidR="00E467C7" w:rsidRPr="00D33B70" w:rsidTr="00E16583">
        <w:trPr>
          <w:trHeight w:val="408"/>
        </w:trPr>
        <w:tc>
          <w:tcPr>
            <w:tcW w:w="2821" w:type="dxa"/>
            <w:vAlign w:val="center"/>
          </w:tcPr>
          <w:p w:rsidR="009F228A" w:rsidRPr="00D33B70" w:rsidRDefault="0055338D" w:rsidP="00430B8C">
            <w:pPr>
              <w:pStyle w:val="Text"/>
              <w:spacing w:before="60" w:after="60" w:line="240" w:lineRule="auto"/>
              <w:ind w:left="0"/>
              <w:jc w:val="left"/>
            </w:pPr>
            <w:r w:rsidRPr="00D33B70">
              <w:t xml:space="preserve">Pipe outlet invert </w:t>
            </w:r>
          </w:p>
        </w:tc>
        <w:tc>
          <w:tcPr>
            <w:tcW w:w="2859" w:type="dxa"/>
            <w:vAlign w:val="center"/>
          </w:tcPr>
          <w:p w:rsidR="009F228A" w:rsidRPr="00D33B70" w:rsidRDefault="00E51074" w:rsidP="00430B8C">
            <w:pPr>
              <w:pStyle w:val="Text"/>
              <w:spacing w:before="60" w:after="60" w:line="240" w:lineRule="auto"/>
              <w:ind w:left="0"/>
              <w:jc w:val="center"/>
            </w:pPr>
            <w:r w:rsidRPr="00D33B70">
              <w:t>29 m AHD</w:t>
            </w:r>
          </w:p>
        </w:tc>
        <w:tc>
          <w:tcPr>
            <w:tcW w:w="3108" w:type="dxa"/>
            <w:vAlign w:val="center"/>
          </w:tcPr>
          <w:p w:rsidR="009F228A" w:rsidRPr="00D33B70" w:rsidRDefault="00336A61" w:rsidP="00430B8C">
            <w:pPr>
              <w:pStyle w:val="Text"/>
              <w:spacing w:before="60" w:after="60" w:line="240" w:lineRule="auto"/>
              <w:ind w:left="0"/>
              <w:jc w:val="center"/>
            </w:pPr>
            <w:r w:rsidRPr="00D33B70">
              <w:t xml:space="preserve">64 </w:t>
            </w:r>
            <w:r w:rsidR="0055338D" w:rsidRPr="00D33B70">
              <w:t>m AHD</w:t>
            </w:r>
          </w:p>
        </w:tc>
      </w:tr>
      <w:tr w:rsidR="00E467C7" w:rsidRPr="00D33B70" w:rsidTr="00E16583">
        <w:trPr>
          <w:trHeight w:val="408"/>
        </w:trPr>
        <w:tc>
          <w:tcPr>
            <w:tcW w:w="2821" w:type="dxa"/>
            <w:vAlign w:val="center"/>
          </w:tcPr>
          <w:p w:rsidR="009F228A" w:rsidRPr="00D33B70" w:rsidRDefault="0055338D" w:rsidP="00430B8C">
            <w:pPr>
              <w:pStyle w:val="Text"/>
              <w:spacing w:before="60" w:after="60" w:line="240" w:lineRule="auto"/>
              <w:ind w:left="0"/>
              <w:jc w:val="left"/>
            </w:pPr>
            <w:r w:rsidRPr="00D33B70">
              <w:t>Pipe outlet grade</w:t>
            </w:r>
          </w:p>
        </w:tc>
        <w:tc>
          <w:tcPr>
            <w:tcW w:w="2859" w:type="dxa"/>
            <w:vAlign w:val="center"/>
          </w:tcPr>
          <w:p w:rsidR="009F228A" w:rsidRPr="00D33B70" w:rsidRDefault="00336A61" w:rsidP="00430B8C">
            <w:pPr>
              <w:pStyle w:val="Text"/>
              <w:spacing w:before="60" w:after="60" w:line="240" w:lineRule="auto"/>
              <w:ind w:left="0"/>
              <w:jc w:val="center"/>
            </w:pPr>
            <w:r w:rsidRPr="00D33B70">
              <w:t xml:space="preserve">0.55 </w:t>
            </w:r>
            <w:r w:rsidR="0055338D" w:rsidRPr="00D33B70">
              <w:t>%</w:t>
            </w:r>
          </w:p>
        </w:tc>
        <w:tc>
          <w:tcPr>
            <w:tcW w:w="3108" w:type="dxa"/>
            <w:vAlign w:val="center"/>
          </w:tcPr>
          <w:p w:rsidR="009F228A" w:rsidRPr="00D33B70" w:rsidRDefault="0055338D" w:rsidP="00430B8C">
            <w:pPr>
              <w:pStyle w:val="Text"/>
              <w:spacing w:before="60" w:after="60" w:line="240" w:lineRule="auto"/>
              <w:ind w:left="0"/>
              <w:jc w:val="center"/>
            </w:pPr>
            <w:r w:rsidRPr="00D33B70">
              <w:t xml:space="preserve">5.4% </w:t>
            </w:r>
          </w:p>
        </w:tc>
      </w:tr>
    </w:tbl>
    <w:p w:rsidR="00A83F38" w:rsidRPr="00D33B70" w:rsidRDefault="00A83F38" w:rsidP="00B26EF8">
      <w:pPr>
        <w:pStyle w:val="Heading3"/>
      </w:pPr>
      <w:bookmarkStart w:id="150" w:name="_Toc370269106"/>
      <w:bookmarkStart w:id="151" w:name="_Toc417779686"/>
      <w:bookmarkStart w:id="152" w:name="_Toc432216919"/>
      <w:bookmarkStart w:id="153" w:name="_Toc432301573"/>
      <w:bookmarkStart w:id="154" w:name="_Toc464530773"/>
      <w:bookmarkStart w:id="155" w:name="_Toc476721513"/>
      <w:bookmarkStart w:id="156" w:name="_Toc535914787"/>
      <w:bookmarkStart w:id="157" w:name="_Toc54070087"/>
      <w:bookmarkStart w:id="158" w:name="_Toc207788148"/>
      <w:bookmarkStart w:id="159" w:name="_Toc370269107"/>
      <w:bookmarkStart w:id="160" w:name="_Toc417779687"/>
      <w:bookmarkStart w:id="161" w:name="_Toc432216920"/>
      <w:bookmarkStart w:id="162" w:name="_Toc432301574"/>
      <w:bookmarkStart w:id="163" w:name="_Toc464530774"/>
      <w:bookmarkStart w:id="164" w:name="_Toc476721514"/>
      <w:bookmarkStart w:id="165" w:name="_Toc535914788"/>
      <w:bookmarkStart w:id="166" w:name="_Toc54070088"/>
      <w:bookmarkStart w:id="167" w:name="_Toc387308880"/>
      <w:bookmarkEnd w:id="89"/>
      <w:r w:rsidRPr="00D33B70">
        <w:t>Hydrological Model Verification</w:t>
      </w:r>
      <w:bookmarkEnd w:id="150"/>
      <w:bookmarkEnd w:id="151"/>
      <w:bookmarkEnd w:id="152"/>
      <w:bookmarkEnd w:id="153"/>
      <w:bookmarkEnd w:id="154"/>
      <w:bookmarkEnd w:id="155"/>
      <w:bookmarkEnd w:id="156"/>
      <w:bookmarkEnd w:id="157"/>
      <w:bookmarkEnd w:id="158"/>
      <w:bookmarkEnd w:id="167"/>
    </w:p>
    <w:p w:rsidR="00A83F38" w:rsidRPr="00D33B70" w:rsidRDefault="00A83F38" w:rsidP="00430B8C">
      <w:pPr>
        <w:pStyle w:val="Text"/>
        <w:ind w:right="-12"/>
      </w:pPr>
      <w:r w:rsidRPr="00D33B70">
        <w:t>Due to the lack of historical rainfall and flood height data, calibration of the model to re</w:t>
      </w:r>
      <w:r w:rsidR="00F134BB" w:rsidRPr="00D33B70">
        <w:t>corded</w:t>
      </w:r>
      <w:r w:rsidRPr="00D33B70">
        <w:t xml:space="preserve"> data was not possible</w:t>
      </w:r>
      <w:r w:rsidR="00CA4C7A" w:rsidRPr="00D33B70">
        <w:t xml:space="preserve">.  </w:t>
      </w:r>
      <w:r w:rsidR="0025036D" w:rsidRPr="00D33B70">
        <w:t>R</w:t>
      </w:r>
      <w:r w:rsidRPr="00D33B70">
        <w:t xml:space="preserve">esults from the hydrological model </w:t>
      </w:r>
      <w:r w:rsidR="0025036D" w:rsidRPr="00D33B70">
        <w:t xml:space="preserve">were verified against </w:t>
      </w:r>
      <w:r w:rsidR="004330E0" w:rsidRPr="00D33B70">
        <w:t xml:space="preserve">previous modelling of </w:t>
      </w:r>
      <w:r w:rsidR="00E467C7" w:rsidRPr="00D33B70">
        <w:t xml:space="preserve">the </w:t>
      </w:r>
      <w:r w:rsidR="00F134BB" w:rsidRPr="00D33B70">
        <w:t>portion</w:t>
      </w:r>
      <w:r w:rsidR="00E467C7" w:rsidRPr="00D33B70">
        <w:t xml:space="preserve"> of the catchment covered by the </w:t>
      </w:r>
      <w:r w:rsidR="00D36FAE" w:rsidRPr="00D33B70">
        <w:t>Thornhill Road Retarding Basin Assessment</w:t>
      </w:r>
      <w:r w:rsidR="004330E0" w:rsidRPr="00D33B70">
        <w:t xml:space="preserve"> (WBM 2004</w:t>
      </w:r>
      <w:r w:rsidR="0072577D" w:rsidRPr="00D33B70">
        <w:t>). Additional checks were undertaken</w:t>
      </w:r>
      <w:r w:rsidR="00647EA7" w:rsidRPr="00D33B70">
        <w:t xml:space="preserve"> by comparing the flows generated by the RORB model against </w:t>
      </w:r>
      <w:r w:rsidR="00647EA7" w:rsidRPr="00D33B70">
        <w:lastRenderedPageBreak/>
        <w:t>the flows calculated by</w:t>
      </w:r>
      <w:r w:rsidR="0072577D" w:rsidRPr="00D33B70">
        <w:t xml:space="preserve"> </w:t>
      </w:r>
      <w:r w:rsidR="00F134BB" w:rsidRPr="00D33B70">
        <w:t>the Ration</w:t>
      </w:r>
      <w:r w:rsidR="004109DB" w:rsidRPr="00D33B70">
        <w:t>al</w:t>
      </w:r>
      <w:r w:rsidR="00647EA7" w:rsidRPr="00D33B70">
        <w:t xml:space="preserve"> Method. The process undertaken to verify the results of the hydrological model are detailed </w:t>
      </w:r>
      <w:r w:rsidR="00BB6E60" w:rsidRPr="00D33B70">
        <w:t>below</w:t>
      </w:r>
      <w:r w:rsidR="00647EA7" w:rsidRPr="00D33B70">
        <w:t>.</w:t>
      </w:r>
    </w:p>
    <w:p w:rsidR="000A03FD" w:rsidRPr="00D33B70" w:rsidRDefault="008E3F5F" w:rsidP="00430B8C">
      <w:pPr>
        <w:pStyle w:val="Text"/>
        <w:ind w:right="-12"/>
      </w:pPr>
      <w:r w:rsidRPr="00D33B70">
        <w:t>T</w:t>
      </w:r>
      <w:r w:rsidR="0025036D" w:rsidRPr="00D33B70">
        <w:t xml:space="preserve">o verify the </w:t>
      </w:r>
      <w:r w:rsidRPr="00D33B70">
        <w:t xml:space="preserve">hydrologic </w:t>
      </w:r>
      <w:r w:rsidR="0025036D" w:rsidRPr="00D33B70">
        <w:t xml:space="preserve">model against the previous Thornhill Road Retarding Basin Assessment (WBM 2004) a RORB model </w:t>
      </w:r>
      <w:r w:rsidR="00EE30FF" w:rsidRPr="00D33B70">
        <w:t xml:space="preserve">of the Kardinia Creek catchment </w:t>
      </w:r>
      <w:r w:rsidR="00E467C7" w:rsidRPr="00D33B70">
        <w:t xml:space="preserve">was developed </w:t>
      </w:r>
      <w:r w:rsidR="0025036D" w:rsidRPr="00D33B70">
        <w:t>with the Geelong Ring Road Retarding Basin removed.</w:t>
      </w:r>
      <w:r w:rsidR="000A03FD" w:rsidRPr="00D33B70">
        <w:t xml:space="preserve">  The peak 1% AEP flows from the RORB model at the inflow of the Thornhill Road Upper Retarding Basin and at the inflow to the Vanessa Avenue Retarding Basin were compared against RORB results from the previous Thornhill Road Retarding Basin Assessment (WBM 2004) model, but with the IFD parameters adjusted to match the overall Kardinia Creek catchment.  The runs were completed using a k</w:t>
      </w:r>
      <w:r w:rsidR="000A03FD" w:rsidRPr="00D33B70">
        <w:rPr>
          <w:vertAlign w:val="subscript"/>
        </w:rPr>
        <w:t>c</w:t>
      </w:r>
      <w:r w:rsidR="000A03FD" w:rsidRPr="00D33B70">
        <w:t xml:space="preserve"> value of 4.94 that maintained the k</w:t>
      </w:r>
      <w:r w:rsidR="000A03FD" w:rsidRPr="00D33B70">
        <w:rPr>
          <w:vertAlign w:val="subscript"/>
        </w:rPr>
        <w:t>c</w:t>
      </w:r>
      <w:r w:rsidR="000A03FD" w:rsidRPr="00D33B70">
        <w:t>/d</w:t>
      </w:r>
      <w:r w:rsidR="000A03FD" w:rsidRPr="00D33B70">
        <w:rPr>
          <w:vertAlign w:val="subscript"/>
        </w:rPr>
        <w:t>av</w:t>
      </w:r>
      <w:r w:rsidR="000A03FD" w:rsidRPr="00D33B70">
        <w:t xml:space="preserve"> ratio of 1.52 from the previous modelling.  These results show</w:t>
      </w:r>
      <w:r w:rsidR="00B443B5" w:rsidRPr="00D33B70">
        <w:t>ed</w:t>
      </w:r>
      <w:r w:rsidR="000A03FD" w:rsidRPr="00D33B70">
        <w:t xml:space="preserve"> that by maintaining the k</w:t>
      </w:r>
      <w:r w:rsidR="000A03FD" w:rsidRPr="00D33B70">
        <w:rPr>
          <w:vertAlign w:val="subscript"/>
        </w:rPr>
        <w:t>c</w:t>
      </w:r>
      <w:r w:rsidR="000A03FD" w:rsidRPr="00D33B70">
        <w:t>/d</w:t>
      </w:r>
      <w:r w:rsidR="000A03FD" w:rsidRPr="00D33B70">
        <w:rPr>
          <w:vertAlign w:val="subscript"/>
        </w:rPr>
        <w:t>av</w:t>
      </w:r>
      <w:r w:rsidR="000A03FD" w:rsidRPr="00D33B70">
        <w:t xml:space="preserve"> ratio, the discharges from the Highton modelling were very similar to those of the Thornhill Road Retarding Basin Assessment modelling, as shown in </w:t>
      </w:r>
      <w:r w:rsidR="00F21A4E" w:rsidRPr="00D33B70">
        <w:fldChar w:fldCharType="begin"/>
      </w:r>
      <w:r w:rsidR="000A03FD" w:rsidRPr="00D33B70">
        <w:instrText xml:space="preserve"> REF _Ref296349968 \h </w:instrText>
      </w:r>
      <w:r w:rsidR="00F21A4E" w:rsidRPr="00D33B70">
        <w:fldChar w:fldCharType="separate"/>
      </w:r>
      <w:r w:rsidR="00AC6986" w:rsidRPr="00D33B70">
        <w:t xml:space="preserve">Table </w:t>
      </w:r>
      <w:r w:rsidR="00AC6986">
        <w:rPr>
          <w:noProof/>
        </w:rPr>
        <w:t>4</w:t>
      </w:r>
      <w:r w:rsidR="00AC6986" w:rsidRPr="00D33B70">
        <w:noBreakHyphen/>
      </w:r>
      <w:r w:rsidR="00AC6986">
        <w:rPr>
          <w:noProof/>
        </w:rPr>
        <w:t>8</w:t>
      </w:r>
      <w:r w:rsidR="00F21A4E" w:rsidRPr="00D33B70">
        <w:fldChar w:fldCharType="end"/>
      </w:r>
      <w:r w:rsidR="000A03FD" w:rsidRPr="00D33B70">
        <w:t>.</w:t>
      </w:r>
      <w:r w:rsidR="007C0ACF" w:rsidRPr="00D33B70">
        <w:t xml:space="preserve">  As a result of this comparison a k</w:t>
      </w:r>
      <w:r w:rsidR="007C0ACF" w:rsidRPr="00D33B70">
        <w:rPr>
          <w:vertAlign w:val="subscript"/>
        </w:rPr>
        <w:t>c</w:t>
      </w:r>
      <w:r w:rsidR="007C0ACF" w:rsidRPr="00D33B70">
        <w:t xml:space="preserve"> value of 4.94 has been adopted for the Highton Drainage/Flood Study.</w:t>
      </w:r>
    </w:p>
    <w:p w:rsidR="000A03FD" w:rsidRPr="00D33B70" w:rsidRDefault="000A03FD" w:rsidP="00430B8C">
      <w:pPr>
        <w:pStyle w:val="Caption"/>
        <w:keepNext/>
      </w:pPr>
      <w:bookmarkStart w:id="168" w:name="_Ref296349968"/>
      <w:bookmarkStart w:id="169" w:name="_Toc387308979"/>
      <w:r w:rsidRPr="00D33B70">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4</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8</w:t>
      </w:r>
      <w:r w:rsidR="00FF3C04" w:rsidRPr="00D33B70">
        <w:fldChar w:fldCharType="end"/>
      </w:r>
      <w:bookmarkEnd w:id="168"/>
      <w:r w:rsidR="00430B8C" w:rsidRPr="00D33B70">
        <w:tab/>
      </w:r>
      <w:r w:rsidRPr="00D33B70">
        <w:t>Comparison of Highton RORB model and Thornhill Road Assessment results</w:t>
      </w:r>
      <w:bookmarkEnd w:id="169"/>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6"/>
        <w:gridCol w:w="2299"/>
        <w:gridCol w:w="2299"/>
        <w:gridCol w:w="1559"/>
      </w:tblGrid>
      <w:tr w:rsidR="000A03FD" w:rsidRPr="00D33B70" w:rsidTr="00D90785">
        <w:trPr>
          <w:trHeight w:val="1050"/>
        </w:trPr>
        <w:tc>
          <w:tcPr>
            <w:tcW w:w="2626" w:type="dxa"/>
            <w:shd w:val="pct10" w:color="auto" w:fill="FFFFFF" w:themeFill="background1"/>
            <w:vAlign w:val="center"/>
          </w:tcPr>
          <w:p w:rsidR="000A03FD" w:rsidRPr="00D33B70" w:rsidRDefault="000A03FD" w:rsidP="00430B8C">
            <w:pPr>
              <w:pStyle w:val="ListContinue2"/>
              <w:keepNext/>
              <w:tabs>
                <w:tab w:val="clear" w:pos="-720"/>
              </w:tabs>
              <w:suppressAutoHyphens w:val="0"/>
              <w:spacing w:before="40" w:after="40"/>
              <w:jc w:val="center"/>
              <w:rPr>
                <w:rFonts w:cs="Arial"/>
                <w:b/>
              </w:rPr>
            </w:pPr>
            <w:r w:rsidRPr="00D33B70">
              <w:rPr>
                <w:rFonts w:cs="Arial"/>
                <w:b/>
              </w:rPr>
              <w:t>Location</w:t>
            </w:r>
          </w:p>
        </w:tc>
        <w:tc>
          <w:tcPr>
            <w:tcW w:w="2299" w:type="dxa"/>
            <w:shd w:val="pct10" w:color="auto" w:fill="FFFFFF" w:themeFill="background1"/>
            <w:vAlign w:val="center"/>
          </w:tcPr>
          <w:p w:rsidR="000A03FD" w:rsidRPr="00D33B70" w:rsidRDefault="000A03FD" w:rsidP="00430B8C">
            <w:pPr>
              <w:pStyle w:val="ListContinue2"/>
              <w:keepNext/>
              <w:tabs>
                <w:tab w:val="clear" w:pos="-720"/>
              </w:tabs>
              <w:suppressAutoHyphens w:val="0"/>
              <w:spacing w:before="40" w:after="40"/>
              <w:jc w:val="center"/>
              <w:rPr>
                <w:rFonts w:cs="Arial"/>
                <w:b/>
              </w:rPr>
            </w:pPr>
            <w:r w:rsidRPr="00D33B70">
              <w:rPr>
                <w:rFonts w:cs="Arial"/>
                <w:b/>
              </w:rPr>
              <w:t>Peak Flow (m</w:t>
            </w:r>
            <w:r w:rsidRPr="00D33B70">
              <w:rPr>
                <w:rFonts w:cs="Arial"/>
                <w:b/>
                <w:vertAlign w:val="superscript"/>
              </w:rPr>
              <w:t>3</w:t>
            </w:r>
            <w:r w:rsidRPr="00D33B70">
              <w:rPr>
                <w:rFonts w:cs="Arial"/>
                <w:b/>
              </w:rPr>
              <w:t>/s) RORB Model</w:t>
            </w:r>
          </w:p>
        </w:tc>
        <w:tc>
          <w:tcPr>
            <w:tcW w:w="2299" w:type="dxa"/>
            <w:shd w:val="pct10" w:color="auto" w:fill="FFFFFF" w:themeFill="background1"/>
            <w:vAlign w:val="center"/>
          </w:tcPr>
          <w:p w:rsidR="000A03FD" w:rsidRPr="00D33B70" w:rsidRDefault="000A03FD" w:rsidP="00430B8C">
            <w:pPr>
              <w:pStyle w:val="ListContinue2"/>
              <w:keepNext/>
              <w:tabs>
                <w:tab w:val="clear" w:pos="-720"/>
              </w:tabs>
              <w:suppressAutoHyphens w:val="0"/>
              <w:spacing w:before="40" w:after="40"/>
              <w:jc w:val="center"/>
              <w:rPr>
                <w:rFonts w:cs="Arial"/>
                <w:b/>
              </w:rPr>
            </w:pPr>
            <w:r w:rsidRPr="00D33B70">
              <w:rPr>
                <w:rFonts w:cs="Arial"/>
                <w:b/>
              </w:rPr>
              <w:t xml:space="preserve">Peak Flow (m3/s)  Thornhill Road </w:t>
            </w:r>
            <w:r w:rsidR="007C0ACF" w:rsidRPr="00D33B70">
              <w:rPr>
                <w:rFonts w:cs="Arial"/>
                <w:b/>
              </w:rPr>
              <w:t xml:space="preserve">Retarding Basin </w:t>
            </w:r>
            <w:r w:rsidRPr="00D33B70">
              <w:rPr>
                <w:rFonts w:cs="Arial"/>
                <w:b/>
              </w:rPr>
              <w:t>Assessment RORB Model (WBM 2004)</w:t>
            </w:r>
          </w:p>
        </w:tc>
        <w:tc>
          <w:tcPr>
            <w:tcW w:w="1559" w:type="dxa"/>
            <w:shd w:val="pct10" w:color="auto" w:fill="FFFFFF" w:themeFill="background1"/>
            <w:vAlign w:val="center"/>
          </w:tcPr>
          <w:p w:rsidR="000A03FD" w:rsidRPr="00D33B70" w:rsidRDefault="000A03FD" w:rsidP="00430B8C">
            <w:pPr>
              <w:pStyle w:val="ListContinue2"/>
              <w:keepNext/>
              <w:tabs>
                <w:tab w:val="clear" w:pos="-720"/>
              </w:tabs>
              <w:suppressAutoHyphens w:val="0"/>
              <w:spacing w:before="40" w:after="40"/>
              <w:jc w:val="center"/>
              <w:rPr>
                <w:rFonts w:cs="Arial"/>
                <w:b/>
              </w:rPr>
            </w:pPr>
            <w:r w:rsidRPr="00D33B70">
              <w:rPr>
                <w:rFonts w:cs="Arial"/>
                <w:b/>
              </w:rPr>
              <w:t xml:space="preserve">% Difference </w:t>
            </w:r>
          </w:p>
        </w:tc>
      </w:tr>
      <w:tr w:rsidR="000A03FD" w:rsidRPr="00D33B70" w:rsidTr="00C775DF">
        <w:tc>
          <w:tcPr>
            <w:tcW w:w="2626" w:type="dxa"/>
            <w:vAlign w:val="center"/>
          </w:tcPr>
          <w:p w:rsidR="000A03FD" w:rsidRPr="00D33B70" w:rsidRDefault="000A03FD" w:rsidP="00430B8C">
            <w:pPr>
              <w:pStyle w:val="Text"/>
              <w:spacing w:before="60" w:after="60" w:line="240" w:lineRule="auto"/>
              <w:ind w:left="0"/>
              <w:jc w:val="left"/>
              <w:rPr>
                <w:smallCaps/>
              </w:rPr>
            </w:pPr>
            <w:r w:rsidRPr="00D33B70">
              <w:t>Upper Thornhill R</w:t>
            </w:r>
            <w:r w:rsidR="00B443B5" w:rsidRPr="00D33B70">
              <w:t>oa</w:t>
            </w:r>
            <w:r w:rsidRPr="00D33B70">
              <w:t>d Retarding Basin Inflow</w:t>
            </w:r>
          </w:p>
        </w:tc>
        <w:tc>
          <w:tcPr>
            <w:tcW w:w="2299" w:type="dxa"/>
            <w:vAlign w:val="center"/>
          </w:tcPr>
          <w:p w:rsidR="000A03FD" w:rsidRPr="00D33B70" w:rsidRDefault="000A03FD" w:rsidP="00430B8C">
            <w:pPr>
              <w:pStyle w:val="Text"/>
              <w:spacing w:before="60" w:after="60" w:line="240" w:lineRule="auto"/>
              <w:ind w:left="0"/>
              <w:jc w:val="center"/>
              <w:rPr>
                <w:smallCaps/>
              </w:rPr>
            </w:pPr>
            <w:r w:rsidRPr="00D33B70">
              <w:t>25.8</w:t>
            </w:r>
          </w:p>
        </w:tc>
        <w:tc>
          <w:tcPr>
            <w:tcW w:w="2299" w:type="dxa"/>
            <w:vAlign w:val="center"/>
          </w:tcPr>
          <w:p w:rsidR="000A03FD" w:rsidRPr="00D33B70" w:rsidRDefault="000A03FD" w:rsidP="00430B8C">
            <w:pPr>
              <w:pStyle w:val="Text"/>
              <w:spacing w:before="60" w:after="60" w:line="240" w:lineRule="auto"/>
              <w:ind w:left="0"/>
              <w:jc w:val="center"/>
              <w:rPr>
                <w:smallCaps/>
              </w:rPr>
            </w:pPr>
            <w:r w:rsidRPr="00D33B70">
              <w:t>25.3</w:t>
            </w:r>
          </w:p>
        </w:tc>
        <w:tc>
          <w:tcPr>
            <w:tcW w:w="1559" w:type="dxa"/>
            <w:vAlign w:val="center"/>
          </w:tcPr>
          <w:p w:rsidR="000A03FD" w:rsidRPr="00D33B70" w:rsidRDefault="000A03FD" w:rsidP="00430B8C">
            <w:pPr>
              <w:pStyle w:val="Text"/>
              <w:spacing w:before="60" w:after="60" w:line="240" w:lineRule="auto"/>
              <w:ind w:left="0"/>
              <w:jc w:val="center"/>
              <w:rPr>
                <w:smallCaps/>
              </w:rPr>
            </w:pPr>
            <w:r w:rsidRPr="00D33B70">
              <w:t>1.9%</w:t>
            </w:r>
          </w:p>
        </w:tc>
      </w:tr>
      <w:tr w:rsidR="000A03FD" w:rsidRPr="00D33B70" w:rsidTr="00C775DF">
        <w:tc>
          <w:tcPr>
            <w:tcW w:w="2626" w:type="dxa"/>
            <w:vAlign w:val="center"/>
          </w:tcPr>
          <w:p w:rsidR="000A03FD" w:rsidRPr="00D33B70" w:rsidRDefault="000A03FD" w:rsidP="00430B8C">
            <w:pPr>
              <w:pStyle w:val="Text"/>
              <w:spacing w:before="60" w:after="60" w:line="240" w:lineRule="auto"/>
              <w:ind w:left="0"/>
              <w:jc w:val="left"/>
            </w:pPr>
            <w:r w:rsidRPr="00D33B70">
              <w:t>Dunsmore R</w:t>
            </w:r>
            <w:r w:rsidR="00B443B5" w:rsidRPr="00D33B70">
              <w:t>oa</w:t>
            </w:r>
            <w:r w:rsidRPr="00D33B70">
              <w:t xml:space="preserve">d Drainage Reserve Inflow </w:t>
            </w:r>
          </w:p>
        </w:tc>
        <w:tc>
          <w:tcPr>
            <w:tcW w:w="2299" w:type="dxa"/>
            <w:vAlign w:val="center"/>
          </w:tcPr>
          <w:p w:rsidR="000A03FD" w:rsidRPr="00D33B70" w:rsidRDefault="000A03FD" w:rsidP="00430B8C">
            <w:pPr>
              <w:pStyle w:val="Text"/>
              <w:spacing w:before="60" w:after="60" w:line="240" w:lineRule="auto"/>
              <w:ind w:left="0"/>
              <w:jc w:val="center"/>
            </w:pPr>
            <w:r w:rsidRPr="00D33B70">
              <w:t>11.0</w:t>
            </w:r>
          </w:p>
        </w:tc>
        <w:tc>
          <w:tcPr>
            <w:tcW w:w="2299" w:type="dxa"/>
            <w:vAlign w:val="center"/>
          </w:tcPr>
          <w:p w:rsidR="000A03FD" w:rsidRPr="00D33B70" w:rsidRDefault="000A03FD" w:rsidP="00430B8C">
            <w:pPr>
              <w:pStyle w:val="Text"/>
              <w:spacing w:before="60" w:after="60" w:line="240" w:lineRule="auto"/>
              <w:ind w:left="0"/>
              <w:jc w:val="center"/>
            </w:pPr>
            <w:r w:rsidRPr="00D33B70">
              <w:t>10.9</w:t>
            </w:r>
          </w:p>
        </w:tc>
        <w:tc>
          <w:tcPr>
            <w:tcW w:w="1559" w:type="dxa"/>
            <w:vAlign w:val="center"/>
          </w:tcPr>
          <w:p w:rsidR="000A03FD" w:rsidRPr="00D33B70" w:rsidRDefault="000A03FD" w:rsidP="00430B8C">
            <w:pPr>
              <w:pStyle w:val="Text"/>
              <w:spacing w:before="60" w:after="60" w:line="240" w:lineRule="auto"/>
              <w:ind w:left="0"/>
              <w:jc w:val="center"/>
            </w:pPr>
            <w:r w:rsidRPr="00D33B70">
              <w:t>0.9%</w:t>
            </w:r>
          </w:p>
        </w:tc>
      </w:tr>
    </w:tbl>
    <w:p w:rsidR="0043368E" w:rsidRPr="00D33B70" w:rsidRDefault="008E3F5F" w:rsidP="00430B8C">
      <w:pPr>
        <w:pStyle w:val="Text"/>
        <w:ind w:right="-12"/>
      </w:pPr>
      <w:r w:rsidRPr="00D33B70">
        <w:t>To ensure t</w:t>
      </w:r>
      <w:r w:rsidR="0043368E" w:rsidRPr="00D33B70">
        <w:t>he validity of the comparison between the two hydraulic models</w:t>
      </w:r>
      <w:r w:rsidR="00152016" w:rsidRPr="00D33B70">
        <w:t>,</w:t>
      </w:r>
      <w:r w:rsidR="0043368E" w:rsidRPr="00D33B70">
        <w:t xml:space="preserve"> a region inspection of the contributing catchment area and fraction impervious values of the Thornhill Road Retarding Basin Assessment RORB model and the equivalent area of the Highton RORB model was performed.  As shown in </w:t>
      </w:r>
      <w:r w:rsidR="00F21A4E" w:rsidRPr="00D33B70">
        <w:fldChar w:fldCharType="begin"/>
      </w:r>
      <w:r w:rsidR="0043368E" w:rsidRPr="00D33B70">
        <w:instrText xml:space="preserve"> REF _Ref296349275 \h </w:instrText>
      </w:r>
      <w:r w:rsidR="00F21A4E" w:rsidRPr="00D33B70">
        <w:fldChar w:fldCharType="separate"/>
      </w:r>
      <w:r w:rsidR="00AC6986" w:rsidRPr="00D33B70">
        <w:t xml:space="preserve">Table </w:t>
      </w:r>
      <w:r w:rsidR="00AC6986">
        <w:rPr>
          <w:noProof/>
        </w:rPr>
        <w:t>4</w:t>
      </w:r>
      <w:r w:rsidR="00AC6986" w:rsidRPr="00D33B70">
        <w:noBreakHyphen/>
      </w:r>
      <w:r w:rsidR="00AC6986">
        <w:rPr>
          <w:noProof/>
        </w:rPr>
        <w:t>9</w:t>
      </w:r>
      <w:r w:rsidR="00F21A4E" w:rsidRPr="00D33B70">
        <w:fldChar w:fldCharType="end"/>
      </w:r>
      <w:r w:rsidR="0043368E" w:rsidRPr="00D33B70">
        <w:t xml:space="preserve"> there is a slight increase in catchment area and a minor decrease in the area weighted fraction impervious to the Vanessa Avenue Retarding Basin.  This indicated that there ha</w:t>
      </w:r>
      <w:r w:rsidR="000A03FD" w:rsidRPr="00D33B70">
        <w:t>ve</w:t>
      </w:r>
      <w:r w:rsidR="0043368E" w:rsidRPr="00D33B70">
        <w:t xml:space="preserve"> been no significant changes in the fraction impervious which would create differences in flows between the two RORB models.</w:t>
      </w:r>
    </w:p>
    <w:p w:rsidR="0043368E" w:rsidRPr="00D33B70" w:rsidRDefault="0043368E" w:rsidP="00430B8C">
      <w:pPr>
        <w:pStyle w:val="Caption"/>
        <w:keepNext/>
      </w:pPr>
      <w:bookmarkStart w:id="170" w:name="_Ref296349275"/>
      <w:bookmarkStart w:id="171" w:name="_Ref296349266"/>
      <w:bookmarkStart w:id="172" w:name="_Toc387308980"/>
      <w:r w:rsidRPr="00D33B70">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4</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9</w:t>
      </w:r>
      <w:r w:rsidR="00FF3C04" w:rsidRPr="00D33B70">
        <w:fldChar w:fldCharType="end"/>
      </w:r>
      <w:bookmarkEnd w:id="170"/>
      <w:r w:rsidR="00430B8C" w:rsidRPr="00D33B70">
        <w:tab/>
      </w:r>
      <w:r w:rsidRPr="00D33B70">
        <w:t>Fraction Impervious Comparison for Thornhill R</w:t>
      </w:r>
      <w:r w:rsidR="007C0ACF" w:rsidRPr="00D33B70">
        <w:t>oad Retarding Basin Assessment</w:t>
      </w:r>
      <w:r w:rsidRPr="00D33B70">
        <w:t xml:space="preserve"> Catchment and Highton Catchment of Equivalent Area</w:t>
      </w:r>
      <w:bookmarkEnd w:id="171"/>
      <w:bookmarkEnd w:id="172"/>
    </w:p>
    <w:tbl>
      <w:tblPr>
        <w:tblStyle w:val="TableGrid"/>
        <w:tblW w:w="0" w:type="auto"/>
        <w:tblInd w:w="964" w:type="dxa"/>
        <w:tblLook w:val="04A0" w:firstRow="1" w:lastRow="0" w:firstColumn="1" w:lastColumn="0" w:noHBand="0" w:noVBand="1"/>
      </w:tblPr>
      <w:tblGrid>
        <w:gridCol w:w="3046"/>
        <w:gridCol w:w="2868"/>
        <w:gridCol w:w="2869"/>
      </w:tblGrid>
      <w:tr w:rsidR="0043368E" w:rsidRPr="00D33B70" w:rsidTr="00D90785">
        <w:tc>
          <w:tcPr>
            <w:tcW w:w="3046" w:type="dxa"/>
            <w:shd w:val="pct10" w:color="auto" w:fill="FFFFFF" w:themeFill="background1"/>
            <w:vAlign w:val="center"/>
          </w:tcPr>
          <w:p w:rsidR="0043368E" w:rsidRPr="00D33B70" w:rsidRDefault="00F20457" w:rsidP="00430B8C">
            <w:pPr>
              <w:pStyle w:val="ListContinue2"/>
              <w:keepNext/>
              <w:tabs>
                <w:tab w:val="clear" w:pos="-720"/>
              </w:tabs>
              <w:suppressAutoHyphens w:val="0"/>
              <w:spacing w:before="40" w:after="40"/>
              <w:jc w:val="center"/>
              <w:rPr>
                <w:rFonts w:cs="Arial"/>
                <w:b/>
              </w:rPr>
            </w:pPr>
            <w:r w:rsidRPr="00D33B70">
              <w:rPr>
                <w:rFonts w:cs="Arial"/>
                <w:b/>
              </w:rPr>
              <w:t>Model</w:t>
            </w:r>
          </w:p>
        </w:tc>
        <w:tc>
          <w:tcPr>
            <w:tcW w:w="2868" w:type="dxa"/>
            <w:shd w:val="pct10" w:color="auto" w:fill="FFFFFF" w:themeFill="background1"/>
          </w:tcPr>
          <w:p w:rsidR="0043368E" w:rsidRPr="00D33B70" w:rsidRDefault="0043368E" w:rsidP="00430B8C">
            <w:pPr>
              <w:pStyle w:val="ListContinue2"/>
              <w:keepNext/>
              <w:tabs>
                <w:tab w:val="clear" w:pos="-720"/>
              </w:tabs>
              <w:suppressAutoHyphens w:val="0"/>
              <w:spacing w:before="40" w:after="40"/>
              <w:jc w:val="center"/>
              <w:rPr>
                <w:rFonts w:cs="Arial"/>
                <w:b/>
              </w:rPr>
            </w:pPr>
            <w:r w:rsidRPr="00D33B70">
              <w:rPr>
                <w:rFonts w:cs="Arial"/>
                <w:b/>
              </w:rPr>
              <w:t>Contributing Catchment Area (km2)</w:t>
            </w:r>
          </w:p>
        </w:tc>
        <w:tc>
          <w:tcPr>
            <w:tcW w:w="2869" w:type="dxa"/>
            <w:shd w:val="pct10" w:color="auto" w:fill="FFFFFF" w:themeFill="background1"/>
            <w:vAlign w:val="center"/>
          </w:tcPr>
          <w:p w:rsidR="0043368E" w:rsidRPr="00D33B70" w:rsidRDefault="0043368E" w:rsidP="00430B8C">
            <w:pPr>
              <w:pStyle w:val="ListContinue2"/>
              <w:keepNext/>
              <w:tabs>
                <w:tab w:val="clear" w:pos="-720"/>
              </w:tabs>
              <w:suppressAutoHyphens w:val="0"/>
              <w:spacing w:before="40" w:after="40"/>
              <w:jc w:val="center"/>
              <w:rPr>
                <w:rFonts w:cs="Arial"/>
                <w:b/>
              </w:rPr>
            </w:pPr>
            <w:r w:rsidRPr="00D33B70">
              <w:rPr>
                <w:rFonts w:cs="Arial"/>
                <w:b/>
              </w:rPr>
              <w:t>Fraction Impervious (area weighted average)</w:t>
            </w:r>
          </w:p>
        </w:tc>
      </w:tr>
      <w:tr w:rsidR="0043368E" w:rsidRPr="00D33B70" w:rsidTr="00E07410">
        <w:tc>
          <w:tcPr>
            <w:tcW w:w="3046" w:type="dxa"/>
            <w:vAlign w:val="center"/>
          </w:tcPr>
          <w:p w:rsidR="0043368E" w:rsidRPr="00D33B70" w:rsidRDefault="0043368E" w:rsidP="00430B8C">
            <w:pPr>
              <w:pStyle w:val="Text"/>
              <w:spacing w:before="60" w:after="60" w:line="240" w:lineRule="auto"/>
              <w:ind w:left="0" w:right="-12"/>
              <w:jc w:val="left"/>
            </w:pPr>
            <w:r w:rsidRPr="00D33B70">
              <w:t>Thornhill R</w:t>
            </w:r>
            <w:r w:rsidR="007C0ACF" w:rsidRPr="00D33B70">
              <w:t>oad Retarding</w:t>
            </w:r>
            <w:r w:rsidRPr="00D33B70">
              <w:t xml:space="preserve"> Basin Assessment</w:t>
            </w:r>
          </w:p>
        </w:tc>
        <w:tc>
          <w:tcPr>
            <w:tcW w:w="2868" w:type="dxa"/>
            <w:vAlign w:val="center"/>
          </w:tcPr>
          <w:p w:rsidR="0043368E" w:rsidRPr="00D33B70" w:rsidRDefault="0043368E" w:rsidP="00430B8C">
            <w:pPr>
              <w:spacing w:before="60" w:after="60"/>
              <w:jc w:val="center"/>
              <w:rPr>
                <w:rFonts w:ascii="Calibri" w:hAnsi="Calibri" w:cs="Calibri"/>
                <w:b/>
                <w:bCs/>
                <w:color w:val="000000"/>
                <w:sz w:val="22"/>
                <w:szCs w:val="22"/>
              </w:rPr>
            </w:pPr>
            <w:r w:rsidRPr="00D33B70">
              <w:rPr>
                <w:rFonts w:ascii="Calibri" w:hAnsi="Calibri" w:cs="Calibri"/>
                <w:b/>
                <w:bCs/>
                <w:color w:val="000000"/>
                <w:sz w:val="22"/>
                <w:szCs w:val="22"/>
              </w:rPr>
              <w:t>5.88</w:t>
            </w:r>
          </w:p>
        </w:tc>
        <w:tc>
          <w:tcPr>
            <w:tcW w:w="2869" w:type="dxa"/>
            <w:vAlign w:val="center"/>
          </w:tcPr>
          <w:p w:rsidR="0043368E" w:rsidRPr="00D33B70" w:rsidRDefault="0043368E" w:rsidP="00430B8C">
            <w:pPr>
              <w:spacing w:before="60" w:after="60"/>
              <w:jc w:val="center"/>
              <w:rPr>
                <w:rFonts w:ascii="Calibri" w:hAnsi="Calibri" w:cs="Calibri"/>
                <w:b/>
                <w:bCs/>
                <w:color w:val="000000"/>
                <w:sz w:val="22"/>
                <w:szCs w:val="22"/>
              </w:rPr>
            </w:pPr>
            <w:r w:rsidRPr="00D33B70">
              <w:rPr>
                <w:rFonts w:ascii="Calibri" w:hAnsi="Calibri" w:cs="Calibri"/>
                <w:b/>
                <w:bCs/>
                <w:color w:val="000000"/>
                <w:sz w:val="22"/>
                <w:szCs w:val="22"/>
              </w:rPr>
              <w:t>18.9%</w:t>
            </w:r>
          </w:p>
        </w:tc>
      </w:tr>
      <w:tr w:rsidR="00152016" w:rsidRPr="00D33B70" w:rsidTr="00E07410">
        <w:tc>
          <w:tcPr>
            <w:tcW w:w="3046" w:type="dxa"/>
            <w:vAlign w:val="center"/>
          </w:tcPr>
          <w:p w:rsidR="00152016" w:rsidRPr="00D33B70" w:rsidRDefault="00152016" w:rsidP="00430B8C">
            <w:pPr>
              <w:pStyle w:val="Text"/>
              <w:spacing w:before="60" w:after="60" w:line="240" w:lineRule="auto"/>
              <w:ind w:left="0" w:right="-12"/>
              <w:jc w:val="left"/>
            </w:pPr>
            <w:r w:rsidRPr="00D33B70">
              <w:t xml:space="preserve">Highton </w:t>
            </w:r>
            <w:r w:rsidR="00B443B5" w:rsidRPr="00D33B70">
              <w:t>(</w:t>
            </w:r>
            <w:r w:rsidRPr="00D33B70">
              <w:t>Equivalent Area</w:t>
            </w:r>
            <w:r w:rsidR="00B443B5" w:rsidRPr="00D33B70">
              <w:t>)</w:t>
            </w:r>
          </w:p>
        </w:tc>
        <w:tc>
          <w:tcPr>
            <w:tcW w:w="2868" w:type="dxa"/>
            <w:vAlign w:val="center"/>
          </w:tcPr>
          <w:p w:rsidR="00152016" w:rsidRPr="00D33B70" w:rsidRDefault="0072577D" w:rsidP="00430B8C">
            <w:pPr>
              <w:spacing w:before="60" w:after="60"/>
              <w:jc w:val="center"/>
              <w:rPr>
                <w:rFonts w:ascii="Calibri" w:hAnsi="Calibri" w:cs="Calibri"/>
                <w:b/>
                <w:bCs/>
                <w:color w:val="000000"/>
                <w:sz w:val="22"/>
                <w:szCs w:val="22"/>
              </w:rPr>
            </w:pPr>
            <w:r w:rsidRPr="00D33B70">
              <w:rPr>
                <w:rFonts w:ascii="Calibri" w:hAnsi="Calibri" w:cs="Calibri"/>
                <w:b/>
                <w:bCs/>
                <w:color w:val="000000"/>
                <w:sz w:val="22"/>
                <w:szCs w:val="22"/>
              </w:rPr>
              <w:t>5.89</w:t>
            </w:r>
          </w:p>
        </w:tc>
        <w:tc>
          <w:tcPr>
            <w:tcW w:w="2869" w:type="dxa"/>
            <w:vAlign w:val="center"/>
          </w:tcPr>
          <w:p w:rsidR="00152016" w:rsidRPr="00D33B70" w:rsidRDefault="00152016" w:rsidP="00430B8C">
            <w:pPr>
              <w:spacing w:before="60" w:after="60"/>
              <w:jc w:val="center"/>
              <w:rPr>
                <w:rFonts w:ascii="Calibri" w:hAnsi="Calibri" w:cs="Calibri"/>
                <w:b/>
                <w:bCs/>
                <w:color w:val="000000"/>
                <w:sz w:val="22"/>
                <w:szCs w:val="22"/>
              </w:rPr>
            </w:pPr>
            <w:r w:rsidRPr="00D33B70">
              <w:rPr>
                <w:rFonts w:ascii="Calibri" w:hAnsi="Calibri" w:cs="Calibri"/>
                <w:b/>
                <w:bCs/>
                <w:color w:val="000000"/>
                <w:sz w:val="22"/>
                <w:szCs w:val="22"/>
              </w:rPr>
              <w:t>18.4%</w:t>
            </w:r>
          </w:p>
        </w:tc>
      </w:tr>
    </w:tbl>
    <w:p w:rsidR="00544E8F" w:rsidRPr="00D33B70" w:rsidRDefault="00AC5452" w:rsidP="00046074">
      <w:pPr>
        <w:pStyle w:val="Text"/>
        <w:ind w:right="-12"/>
      </w:pPr>
      <w:r w:rsidRPr="00D33B70">
        <w:t xml:space="preserve">In order to </w:t>
      </w:r>
      <w:r w:rsidR="00E07410" w:rsidRPr="00D33B70">
        <w:t xml:space="preserve">further </w:t>
      </w:r>
      <w:r w:rsidRPr="00D33B70">
        <w:t xml:space="preserve">verify that the adopted </w:t>
      </w:r>
      <w:r w:rsidR="00B11FCF" w:rsidRPr="00D33B70">
        <w:t>k</w:t>
      </w:r>
      <w:r w:rsidRPr="00D33B70">
        <w:rPr>
          <w:vertAlign w:val="subscript"/>
        </w:rPr>
        <w:t>c</w:t>
      </w:r>
      <w:r w:rsidRPr="00D33B70">
        <w:t xml:space="preserve"> value of 4.</w:t>
      </w:r>
      <w:r w:rsidR="007C0ACF" w:rsidRPr="00D33B70">
        <w:t>94</w:t>
      </w:r>
      <w:r w:rsidRPr="00D33B70">
        <w:t xml:space="preserve"> was appropriate to be applied over the entire catchment</w:t>
      </w:r>
      <w:r w:rsidR="00E07410" w:rsidRPr="00D33B70">
        <w:t>,</w:t>
      </w:r>
      <w:r w:rsidRPr="00D33B70">
        <w:t xml:space="preserve"> the peak </w:t>
      </w:r>
      <w:r w:rsidR="008E3F5F" w:rsidRPr="00D33B70">
        <w:t>flows at other locations within the catchment were</w:t>
      </w:r>
      <w:r w:rsidRPr="00D33B70">
        <w:t xml:space="preserve"> compared to </w:t>
      </w:r>
      <w:r w:rsidR="00226762" w:rsidRPr="00D33B70">
        <w:t>a Rational Method calculation</w:t>
      </w:r>
      <w:r w:rsidR="00CA4C7A" w:rsidRPr="00D33B70">
        <w:t xml:space="preserve">.  </w:t>
      </w:r>
      <w:r w:rsidR="00226762" w:rsidRPr="00D33B70">
        <w:t xml:space="preserve">The differences between the Rational Method and the RORB model </w:t>
      </w:r>
      <w:r w:rsidR="00A1768F" w:rsidRPr="00D33B70">
        <w:t xml:space="preserve">(without retarding basins) </w:t>
      </w:r>
      <w:r w:rsidR="00226762" w:rsidRPr="00D33B70">
        <w:t xml:space="preserve">results at </w:t>
      </w:r>
      <w:r w:rsidR="005B02B0" w:rsidRPr="00D33B70">
        <w:t>the outlet of the three main drainage system branches</w:t>
      </w:r>
      <w:r w:rsidR="00226762" w:rsidRPr="00D33B70">
        <w:t xml:space="preserve"> </w:t>
      </w:r>
      <w:r w:rsidR="005B02B0" w:rsidRPr="00D33B70">
        <w:t>were</w:t>
      </w:r>
      <w:r w:rsidR="00226762" w:rsidRPr="00D33B70">
        <w:t xml:space="preserve"> </w:t>
      </w:r>
      <w:r w:rsidR="00850B65" w:rsidRPr="00D33B70">
        <w:t xml:space="preserve">of the same order of magnitude </w:t>
      </w:r>
      <w:r w:rsidR="00A926A2" w:rsidRPr="00D33B70">
        <w:t>and are considered acceptable</w:t>
      </w:r>
      <w:r w:rsidR="00850B65" w:rsidRPr="00D33B70">
        <w:t>.</w:t>
      </w:r>
      <w:r w:rsidR="00E07410" w:rsidRPr="00D33B70">
        <w:t xml:space="preserve">  The results of the comparison are summarised in </w:t>
      </w:r>
      <w:r w:rsidR="008F1E39" w:rsidRPr="00D33B70">
        <w:lastRenderedPageBreak/>
        <w:fldChar w:fldCharType="begin"/>
      </w:r>
      <w:r w:rsidR="008F1E39" w:rsidRPr="00D33B70">
        <w:instrText xml:space="preserve"> REF _Ref297662975 \h  \* MERGEFORMAT </w:instrText>
      </w:r>
      <w:r w:rsidR="008F1E39" w:rsidRPr="00D33B70">
        <w:fldChar w:fldCharType="separate"/>
      </w:r>
      <w:r w:rsidR="00AC6986" w:rsidRPr="00D33B70">
        <w:t xml:space="preserve">Table </w:t>
      </w:r>
      <w:r w:rsidR="00AC6986">
        <w:rPr>
          <w:noProof/>
        </w:rPr>
        <w:t>4</w:t>
      </w:r>
      <w:r w:rsidR="00AC6986" w:rsidRPr="00D33B70">
        <w:rPr>
          <w:noProof/>
        </w:rPr>
        <w:noBreakHyphen/>
      </w:r>
      <w:r w:rsidR="00AC6986">
        <w:rPr>
          <w:noProof/>
        </w:rPr>
        <w:t>10</w:t>
      </w:r>
      <w:r w:rsidR="008F1E39" w:rsidRPr="00D33B70">
        <w:fldChar w:fldCharType="end"/>
      </w:r>
      <w:r w:rsidR="00E07410" w:rsidRPr="00D33B70">
        <w:t>.</w:t>
      </w:r>
      <w:r w:rsidR="00E87B8F" w:rsidRPr="00D33B70">
        <w:t xml:space="preserve"> These results show that adopting a k</w:t>
      </w:r>
      <w:r w:rsidR="00E87B8F" w:rsidRPr="00D33B70">
        <w:rPr>
          <w:vertAlign w:val="subscript"/>
        </w:rPr>
        <w:t>c</w:t>
      </w:r>
      <w:r w:rsidR="00E87B8F" w:rsidRPr="00D33B70">
        <w:t xml:space="preserve"> value of 4.94 is appropriate for the entire </w:t>
      </w:r>
      <w:r w:rsidR="00F4776E" w:rsidRPr="00D33B70">
        <w:t>Kardinia Creek</w:t>
      </w:r>
      <w:r w:rsidR="00E87B8F" w:rsidRPr="00D33B70">
        <w:t xml:space="preserve"> catchment.</w:t>
      </w:r>
    </w:p>
    <w:p w:rsidR="00E07410" w:rsidRPr="00D33B70" w:rsidRDefault="00E07410" w:rsidP="00430B8C">
      <w:pPr>
        <w:pStyle w:val="Caption"/>
        <w:keepNext/>
      </w:pPr>
      <w:bookmarkStart w:id="173" w:name="_Ref297662975"/>
      <w:bookmarkStart w:id="174" w:name="_Toc387308981"/>
      <w:r w:rsidRPr="00D33B70">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4</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10</w:t>
      </w:r>
      <w:r w:rsidR="00FF3C04" w:rsidRPr="00D33B70">
        <w:fldChar w:fldCharType="end"/>
      </w:r>
      <w:bookmarkEnd w:id="173"/>
      <w:r w:rsidR="00430B8C" w:rsidRPr="00D33B70">
        <w:tab/>
      </w:r>
      <w:r w:rsidRPr="00D33B70">
        <w:t xml:space="preserve">Comparison of </w:t>
      </w:r>
      <w:r w:rsidR="00F4776E" w:rsidRPr="00D33B70">
        <w:t>Highton</w:t>
      </w:r>
      <w:r w:rsidRPr="00D33B70">
        <w:t xml:space="preserve"> RORB model and Rational Method results</w:t>
      </w:r>
      <w:bookmarkEnd w:id="174"/>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6"/>
        <w:gridCol w:w="2299"/>
        <w:gridCol w:w="2299"/>
        <w:gridCol w:w="1559"/>
      </w:tblGrid>
      <w:tr w:rsidR="00E07410" w:rsidRPr="00D33B70" w:rsidTr="00D90785">
        <w:trPr>
          <w:trHeight w:val="1050"/>
        </w:trPr>
        <w:tc>
          <w:tcPr>
            <w:tcW w:w="2626" w:type="dxa"/>
            <w:shd w:val="pct10" w:color="auto" w:fill="FFFFFF" w:themeFill="background1"/>
            <w:vAlign w:val="center"/>
          </w:tcPr>
          <w:p w:rsidR="00E07410" w:rsidRPr="00D33B70" w:rsidRDefault="00E07410" w:rsidP="00430B8C">
            <w:pPr>
              <w:pStyle w:val="ListContinue2"/>
              <w:keepNext/>
              <w:tabs>
                <w:tab w:val="clear" w:pos="-720"/>
              </w:tabs>
              <w:suppressAutoHyphens w:val="0"/>
              <w:spacing w:before="40" w:after="40"/>
              <w:jc w:val="center"/>
              <w:rPr>
                <w:rFonts w:cs="Arial"/>
                <w:b/>
              </w:rPr>
            </w:pPr>
            <w:r w:rsidRPr="00D33B70">
              <w:rPr>
                <w:rFonts w:cs="Arial"/>
                <w:b/>
              </w:rPr>
              <w:t>Location</w:t>
            </w:r>
          </w:p>
        </w:tc>
        <w:tc>
          <w:tcPr>
            <w:tcW w:w="2299" w:type="dxa"/>
            <w:shd w:val="pct10" w:color="auto" w:fill="FFFFFF" w:themeFill="background1"/>
            <w:vAlign w:val="center"/>
          </w:tcPr>
          <w:p w:rsidR="00E07410" w:rsidRPr="00D33B70" w:rsidRDefault="00E07410" w:rsidP="00430B8C">
            <w:pPr>
              <w:pStyle w:val="ListContinue2"/>
              <w:keepNext/>
              <w:tabs>
                <w:tab w:val="clear" w:pos="-720"/>
              </w:tabs>
              <w:suppressAutoHyphens w:val="0"/>
              <w:spacing w:before="40" w:after="40"/>
              <w:jc w:val="center"/>
              <w:rPr>
                <w:rFonts w:cs="Arial"/>
                <w:b/>
              </w:rPr>
            </w:pPr>
            <w:r w:rsidRPr="00D33B70">
              <w:rPr>
                <w:rFonts w:cs="Arial"/>
                <w:b/>
              </w:rPr>
              <w:t>Peak Flow (m</w:t>
            </w:r>
            <w:r w:rsidRPr="00D33B70">
              <w:rPr>
                <w:rFonts w:cs="Arial"/>
                <w:b/>
                <w:vertAlign w:val="superscript"/>
              </w:rPr>
              <w:t>3</w:t>
            </w:r>
            <w:r w:rsidRPr="00D33B70">
              <w:rPr>
                <w:rFonts w:cs="Arial"/>
                <w:b/>
              </w:rPr>
              <w:t>/s) RORB Model</w:t>
            </w:r>
          </w:p>
        </w:tc>
        <w:tc>
          <w:tcPr>
            <w:tcW w:w="2299" w:type="dxa"/>
            <w:shd w:val="pct10" w:color="auto" w:fill="FFFFFF" w:themeFill="background1"/>
            <w:vAlign w:val="center"/>
          </w:tcPr>
          <w:p w:rsidR="00E07410" w:rsidRPr="00D33B70" w:rsidRDefault="00E07410" w:rsidP="00430B8C">
            <w:pPr>
              <w:pStyle w:val="ListContinue2"/>
              <w:keepNext/>
              <w:tabs>
                <w:tab w:val="clear" w:pos="-720"/>
              </w:tabs>
              <w:suppressAutoHyphens w:val="0"/>
              <w:spacing w:before="40" w:after="40"/>
              <w:jc w:val="center"/>
              <w:rPr>
                <w:rFonts w:cs="Arial"/>
                <w:b/>
              </w:rPr>
            </w:pPr>
            <w:r w:rsidRPr="00D33B70">
              <w:rPr>
                <w:rFonts w:cs="Arial"/>
                <w:b/>
              </w:rPr>
              <w:t>Peak Flow (m3/s)  Rational Method</w:t>
            </w:r>
          </w:p>
        </w:tc>
        <w:tc>
          <w:tcPr>
            <w:tcW w:w="1559" w:type="dxa"/>
            <w:shd w:val="pct10" w:color="auto" w:fill="FFFFFF" w:themeFill="background1"/>
            <w:vAlign w:val="center"/>
          </w:tcPr>
          <w:p w:rsidR="00E07410" w:rsidRPr="00D33B70" w:rsidRDefault="00E07410" w:rsidP="00430B8C">
            <w:pPr>
              <w:pStyle w:val="ListContinue2"/>
              <w:keepNext/>
              <w:tabs>
                <w:tab w:val="clear" w:pos="-720"/>
              </w:tabs>
              <w:suppressAutoHyphens w:val="0"/>
              <w:spacing w:before="40" w:after="40"/>
              <w:jc w:val="center"/>
              <w:rPr>
                <w:rFonts w:cs="Arial"/>
                <w:b/>
              </w:rPr>
            </w:pPr>
            <w:r w:rsidRPr="00D33B70">
              <w:rPr>
                <w:rFonts w:cs="Arial"/>
                <w:b/>
              </w:rPr>
              <w:t xml:space="preserve">% Difference </w:t>
            </w:r>
          </w:p>
        </w:tc>
      </w:tr>
      <w:tr w:rsidR="00E07410" w:rsidRPr="00D33B70" w:rsidTr="00024D48">
        <w:tc>
          <w:tcPr>
            <w:tcW w:w="2626" w:type="dxa"/>
            <w:vAlign w:val="center"/>
          </w:tcPr>
          <w:p w:rsidR="00E07410" w:rsidRPr="00D33B70" w:rsidRDefault="00E07410" w:rsidP="00430B8C">
            <w:pPr>
              <w:pStyle w:val="Text"/>
              <w:spacing w:before="60" w:after="60" w:line="240" w:lineRule="auto"/>
              <w:ind w:left="0"/>
              <w:jc w:val="left"/>
              <w:rPr>
                <w:smallCaps/>
              </w:rPr>
            </w:pPr>
            <w:r w:rsidRPr="00D33B70">
              <w:t>North Branch</w:t>
            </w:r>
          </w:p>
        </w:tc>
        <w:tc>
          <w:tcPr>
            <w:tcW w:w="2299" w:type="dxa"/>
            <w:vAlign w:val="center"/>
          </w:tcPr>
          <w:p w:rsidR="00E07410" w:rsidRPr="00D33B70" w:rsidRDefault="00917B74" w:rsidP="00415899">
            <w:pPr>
              <w:pStyle w:val="Text"/>
              <w:spacing w:before="60" w:after="60" w:line="240" w:lineRule="auto"/>
              <w:ind w:left="0"/>
              <w:jc w:val="center"/>
              <w:rPr>
                <w:smallCaps/>
              </w:rPr>
            </w:pPr>
            <w:r w:rsidRPr="00D33B70">
              <w:t>43.</w:t>
            </w:r>
            <w:r w:rsidR="00415899" w:rsidRPr="00D33B70">
              <w:t>6</w:t>
            </w:r>
          </w:p>
        </w:tc>
        <w:tc>
          <w:tcPr>
            <w:tcW w:w="2299" w:type="dxa"/>
            <w:vAlign w:val="center"/>
          </w:tcPr>
          <w:p w:rsidR="00E07410" w:rsidRPr="00D33B70" w:rsidRDefault="00415899" w:rsidP="00430B8C">
            <w:pPr>
              <w:pStyle w:val="Text"/>
              <w:spacing w:before="60" w:after="60" w:line="240" w:lineRule="auto"/>
              <w:ind w:left="0"/>
              <w:jc w:val="center"/>
              <w:rPr>
                <w:smallCaps/>
              </w:rPr>
            </w:pPr>
            <w:r w:rsidRPr="00D33B70">
              <w:t>45.3</w:t>
            </w:r>
          </w:p>
        </w:tc>
        <w:tc>
          <w:tcPr>
            <w:tcW w:w="1559" w:type="dxa"/>
            <w:vAlign w:val="center"/>
          </w:tcPr>
          <w:p w:rsidR="007635BE" w:rsidRPr="00D33B70" w:rsidRDefault="007635BE" w:rsidP="00064985">
            <w:pPr>
              <w:pStyle w:val="Text"/>
              <w:spacing w:before="60" w:after="60" w:line="240" w:lineRule="auto"/>
              <w:ind w:left="0"/>
              <w:jc w:val="center"/>
            </w:pPr>
            <w:r w:rsidRPr="00D33B70">
              <w:t>-</w:t>
            </w:r>
            <w:r w:rsidR="00064985" w:rsidRPr="00D33B70">
              <w:t xml:space="preserve">3.9 </w:t>
            </w:r>
            <w:r w:rsidRPr="00D33B70">
              <w:t>%</w:t>
            </w:r>
          </w:p>
        </w:tc>
      </w:tr>
      <w:tr w:rsidR="00544E8F" w:rsidRPr="00D33B70" w:rsidTr="00024D48">
        <w:tc>
          <w:tcPr>
            <w:tcW w:w="2626" w:type="dxa"/>
            <w:vAlign w:val="center"/>
          </w:tcPr>
          <w:p w:rsidR="00544E8F" w:rsidRPr="00D33B70" w:rsidRDefault="00544E8F" w:rsidP="00430B8C">
            <w:pPr>
              <w:pStyle w:val="Text"/>
              <w:spacing w:before="60" w:after="60" w:line="240" w:lineRule="auto"/>
              <w:ind w:left="0"/>
              <w:jc w:val="left"/>
              <w:rPr>
                <w:smallCaps/>
              </w:rPr>
            </w:pPr>
            <w:r w:rsidRPr="00D33B70">
              <w:t>South Branch</w:t>
            </w:r>
          </w:p>
        </w:tc>
        <w:tc>
          <w:tcPr>
            <w:tcW w:w="2299" w:type="dxa"/>
            <w:vAlign w:val="center"/>
          </w:tcPr>
          <w:p w:rsidR="00544E8F" w:rsidRPr="00D33B70" w:rsidRDefault="00415899" w:rsidP="00430B8C">
            <w:pPr>
              <w:pStyle w:val="Text"/>
              <w:spacing w:before="60" w:after="60" w:line="240" w:lineRule="auto"/>
              <w:ind w:left="0"/>
              <w:jc w:val="center"/>
              <w:rPr>
                <w:smallCaps/>
              </w:rPr>
            </w:pPr>
            <w:r w:rsidRPr="00D33B70">
              <w:t>29.0</w:t>
            </w:r>
          </w:p>
        </w:tc>
        <w:tc>
          <w:tcPr>
            <w:tcW w:w="2299" w:type="dxa"/>
            <w:vAlign w:val="center"/>
          </w:tcPr>
          <w:p w:rsidR="00415899" w:rsidRPr="00D33B70" w:rsidRDefault="00415899" w:rsidP="00430B8C">
            <w:pPr>
              <w:pStyle w:val="Text"/>
              <w:spacing w:before="60" w:after="60" w:line="240" w:lineRule="auto"/>
              <w:ind w:left="0"/>
              <w:jc w:val="center"/>
            </w:pPr>
            <w:r w:rsidRPr="00D33B70">
              <w:t>30.6</w:t>
            </w:r>
          </w:p>
        </w:tc>
        <w:tc>
          <w:tcPr>
            <w:tcW w:w="1559" w:type="dxa"/>
            <w:vAlign w:val="center"/>
          </w:tcPr>
          <w:p w:rsidR="00544E8F" w:rsidRPr="00D33B70" w:rsidRDefault="00064985" w:rsidP="00415899">
            <w:pPr>
              <w:pStyle w:val="Text"/>
              <w:spacing w:before="60" w:after="60" w:line="240" w:lineRule="auto"/>
              <w:ind w:left="0"/>
              <w:jc w:val="center"/>
              <w:rPr>
                <w:smallCaps/>
              </w:rPr>
            </w:pPr>
            <w:r w:rsidRPr="00D33B70">
              <w:t xml:space="preserve">-5.5 </w:t>
            </w:r>
            <w:r w:rsidR="00F11B97" w:rsidRPr="00D33B70">
              <w:t>%</w:t>
            </w:r>
          </w:p>
        </w:tc>
      </w:tr>
      <w:tr w:rsidR="00850B65" w:rsidRPr="00D33B70" w:rsidTr="00024D48">
        <w:tc>
          <w:tcPr>
            <w:tcW w:w="2626" w:type="dxa"/>
            <w:vAlign w:val="center"/>
          </w:tcPr>
          <w:p w:rsidR="00850B65" w:rsidRPr="00D33B70" w:rsidRDefault="00850B65" w:rsidP="00430B8C">
            <w:pPr>
              <w:pStyle w:val="Text"/>
              <w:spacing w:before="60" w:after="60" w:line="240" w:lineRule="auto"/>
              <w:ind w:left="0"/>
              <w:jc w:val="left"/>
            </w:pPr>
            <w:r w:rsidRPr="00D33B70">
              <w:t>Thornhill Road Branch</w:t>
            </w:r>
          </w:p>
        </w:tc>
        <w:tc>
          <w:tcPr>
            <w:tcW w:w="2299" w:type="dxa"/>
            <w:vAlign w:val="center"/>
          </w:tcPr>
          <w:p w:rsidR="00850B65" w:rsidRPr="00D33B70" w:rsidRDefault="00064985" w:rsidP="00430B8C">
            <w:pPr>
              <w:pStyle w:val="Text"/>
              <w:spacing w:before="60" w:after="60" w:line="240" w:lineRule="auto"/>
              <w:ind w:left="0"/>
              <w:jc w:val="center"/>
            </w:pPr>
            <w:r w:rsidRPr="00D33B70">
              <w:t>67.6</w:t>
            </w:r>
          </w:p>
        </w:tc>
        <w:tc>
          <w:tcPr>
            <w:tcW w:w="2299" w:type="dxa"/>
            <w:vAlign w:val="center"/>
          </w:tcPr>
          <w:p w:rsidR="00850B65" w:rsidRPr="00D33B70" w:rsidRDefault="00A926A2" w:rsidP="00430B8C">
            <w:pPr>
              <w:pStyle w:val="Text"/>
              <w:spacing w:before="60" w:after="60" w:line="240" w:lineRule="auto"/>
              <w:ind w:left="0"/>
              <w:jc w:val="center"/>
            </w:pPr>
            <w:r w:rsidRPr="00D33B70">
              <w:t>67.9</w:t>
            </w:r>
          </w:p>
        </w:tc>
        <w:tc>
          <w:tcPr>
            <w:tcW w:w="1559" w:type="dxa"/>
            <w:vAlign w:val="center"/>
          </w:tcPr>
          <w:p w:rsidR="00850B65" w:rsidRPr="00D33B70" w:rsidRDefault="00064985" w:rsidP="007635BE">
            <w:pPr>
              <w:pStyle w:val="Text"/>
              <w:spacing w:before="60" w:after="60" w:line="240" w:lineRule="auto"/>
              <w:ind w:left="0"/>
              <w:jc w:val="center"/>
            </w:pPr>
            <w:r w:rsidRPr="00D33B70">
              <w:t>-0.4 %</w:t>
            </w:r>
          </w:p>
        </w:tc>
      </w:tr>
    </w:tbl>
    <w:p w:rsidR="00A83F38" w:rsidRPr="00D33B70" w:rsidRDefault="00A83F38" w:rsidP="00B26EF8">
      <w:pPr>
        <w:pStyle w:val="Heading3"/>
      </w:pPr>
      <w:bookmarkStart w:id="175" w:name="_Toc207788150"/>
      <w:bookmarkStart w:id="176" w:name="_Toc387308881"/>
      <w:r w:rsidRPr="00D33B70">
        <w:t>Design Event Modelling</w:t>
      </w:r>
      <w:bookmarkEnd w:id="159"/>
      <w:bookmarkEnd w:id="160"/>
      <w:bookmarkEnd w:id="161"/>
      <w:bookmarkEnd w:id="162"/>
      <w:bookmarkEnd w:id="163"/>
      <w:bookmarkEnd w:id="164"/>
      <w:bookmarkEnd w:id="165"/>
      <w:bookmarkEnd w:id="166"/>
      <w:bookmarkEnd w:id="175"/>
      <w:bookmarkEnd w:id="176"/>
    </w:p>
    <w:p w:rsidR="00A83F38" w:rsidRPr="00D33B70" w:rsidRDefault="0027635A" w:rsidP="00B26EF8">
      <w:pPr>
        <w:pStyle w:val="Heading4"/>
      </w:pPr>
      <w:bookmarkStart w:id="177" w:name="_Toc387308882"/>
      <w:r w:rsidRPr="00D33B70">
        <w:t>Design Event Probabilities</w:t>
      </w:r>
      <w:bookmarkEnd w:id="177"/>
    </w:p>
    <w:p w:rsidR="00A83F38" w:rsidRPr="00D33B70" w:rsidRDefault="00A83F38" w:rsidP="00430B8C">
      <w:pPr>
        <w:pStyle w:val="Text"/>
      </w:pPr>
      <w:r w:rsidRPr="00D33B70">
        <w:t>Hydrological analysis was undertaken for the 1%, 5%</w:t>
      </w:r>
      <w:r w:rsidR="00B02ADF" w:rsidRPr="00D33B70">
        <w:t>, 10%</w:t>
      </w:r>
      <w:r w:rsidRPr="00D33B70">
        <w:t xml:space="preserve"> and 20% Average Exceedance Probability (AEP), i.e. the 100, 20</w:t>
      </w:r>
      <w:r w:rsidR="00B02ADF" w:rsidRPr="00D33B70">
        <w:t xml:space="preserve">, </w:t>
      </w:r>
      <w:r w:rsidR="0027635A" w:rsidRPr="00D33B70">
        <w:t>10</w:t>
      </w:r>
      <w:r w:rsidRPr="00D33B70">
        <w:t xml:space="preserve"> and 5 year Average Recurrence Interval (ARI) or return period, design storm events</w:t>
      </w:r>
      <w:r w:rsidR="00CA4C7A" w:rsidRPr="00D33B70">
        <w:t xml:space="preserve">.  </w:t>
      </w:r>
      <w:r w:rsidRPr="00D33B70">
        <w:t xml:space="preserve">Hydrographs were derived by RORB to provide external and internal boundary conditions to the hydraulic model at a number of locations throughout the catchment.  </w:t>
      </w:r>
    </w:p>
    <w:p w:rsidR="00A83F38" w:rsidRPr="00D33B70" w:rsidRDefault="00325257" w:rsidP="00B26EF8">
      <w:pPr>
        <w:pStyle w:val="Heading4"/>
      </w:pPr>
      <w:bookmarkStart w:id="178" w:name="_Toc387308883"/>
      <w:r w:rsidRPr="00D33B70">
        <w:t>Design Rainfall</w:t>
      </w:r>
      <w:bookmarkEnd w:id="178"/>
    </w:p>
    <w:p w:rsidR="00B02ADF" w:rsidRPr="00D33B70" w:rsidRDefault="00B02ADF" w:rsidP="00430B8C">
      <w:pPr>
        <w:pStyle w:val="Text"/>
      </w:pPr>
      <w:r w:rsidRPr="00D33B70">
        <w:t xml:space="preserve">Intensity Frequency Duration (IFD) parameters for the </w:t>
      </w:r>
      <w:r w:rsidR="0078144F" w:rsidRPr="00D33B70">
        <w:t>Kardinia Creek</w:t>
      </w:r>
      <w:r w:rsidRPr="00D33B70">
        <w:t xml:space="preserve"> </w:t>
      </w:r>
      <w:r w:rsidR="006F4862" w:rsidRPr="00D33B70">
        <w:t>c</w:t>
      </w:r>
      <w:r w:rsidRPr="00D33B70">
        <w:t>atchment were determined from the Bureau of Meteorology using a method based on the maps from Volume Two of Australia Rainfall and Runoff (AR&amp;R)</w:t>
      </w:r>
      <w:r w:rsidR="00CA4C7A" w:rsidRPr="00D33B70">
        <w:t xml:space="preserve">.  </w:t>
      </w:r>
      <w:r w:rsidRPr="00D33B70">
        <w:t xml:space="preserve">These IFD parameters are an input to RORB and are used to generate design rainfall intensities and depths using standard AR&amp;R procedures.  The IFD parameters are presented in </w:t>
      </w:r>
      <w:r w:rsidR="00F21A4E" w:rsidRPr="00D33B70">
        <w:fldChar w:fldCharType="begin"/>
      </w:r>
      <w:r w:rsidRPr="00D33B70">
        <w:instrText xml:space="preserve"> REF _Ref217445879 \h </w:instrText>
      </w:r>
      <w:r w:rsidR="00F21A4E" w:rsidRPr="00D33B70">
        <w:fldChar w:fldCharType="separate"/>
      </w:r>
      <w:r w:rsidR="00AC6986" w:rsidRPr="00D33B70">
        <w:t xml:space="preserve">Table </w:t>
      </w:r>
      <w:r w:rsidR="00AC6986">
        <w:rPr>
          <w:noProof/>
        </w:rPr>
        <w:t>4</w:t>
      </w:r>
      <w:r w:rsidR="00AC6986" w:rsidRPr="00D33B70">
        <w:noBreakHyphen/>
      </w:r>
      <w:r w:rsidR="00AC6986">
        <w:rPr>
          <w:noProof/>
        </w:rPr>
        <w:t>2</w:t>
      </w:r>
      <w:r w:rsidR="00F21A4E" w:rsidRPr="00D33B70">
        <w:fldChar w:fldCharType="end"/>
      </w:r>
      <w:r w:rsidRPr="00D33B70">
        <w:t>.</w:t>
      </w:r>
    </w:p>
    <w:p w:rsidR="00B02ADF" w:rsidRPr="00D33B70" w:rsidRDefault="00B02ADF" w:rsidP="00430B8C">
      <w:pPr>
        <w:pStyle w:val="Text"/>
      </w:pPr>
      <w:r w:rsidRPr="00D33B70">
        <w:t>Filtered temporal patterns were used to derive the design storm events.  Aerial Reduction Factors (ARF) were not applied due to the catchment’s small size.  The resulting design storms were run through the RORB model of the catchment and the results summarised to determine the critical durations.</w:t>
      </w:r>
    </w:p>
    <w:p w:rsidR="00A83F38" w:rsidRPr="00D33B70" w:rsidRDefault="00A83F38" w:rsidP="00B26EF8">
      <w:pPr>
        <w:pStyle w:val="Heading4"/>
      </w:pPr>
      <w:bookmarkStart w:id="179" w:name="_Toc387308884"/>
      <w:r w:rsidRPr="00D33B70">
        <w:t>Critical Duration</w:t>
      </w:r>
      <w:bookmarkEnd w:id="179"/>
    </w:p>
    <w:p w:rsidR="00A83F38" w:rsidRPr="00D33B70" w:rsidRDefault="00A83F38" w:rsidP="00430B8C">
      <w:pPr>
        <w:pStyle w:val="Text"/>
      </w:pPr>
      <w:r w:rsidRPr="00D33B70">
        <w:t xml:space="preserve">For each design probability, the peak discharge at various locations within the drainage system may be generated by </w:t>
      </w:r>
      <w:r w:rsidR="00556DD7" w:rsidRPr="00D33B70">
        <w:t xml:space="preserve">storm </w:t>
      </w:r>
      <w:r w:rsidRPr="00D33B70">
        <w:t>events of different durations.  Therefore, consideration of peak discharges for a range of durations is important.  For example, a 2 hour duration event may result in the peak discharge in the upper portion of a catchment, while a 9 hour duration event could result in the peak discharge at the bottom of a catchment</w:t>
      </w:r>
      <w:r w:rsidR="00CA4C7A" w:rsidRPr="00D33B70">
        <w:t xml:space="preserve">.  </w:t>
      </w:r>
      <w:r w:rsidRPr="00D33B70">
        <w:t>Alternatively, the peak flood level may be more related to volume than discharge, and a high volume event may be more appropriate for consideration</w:t>
      </w:r>
      <w:r w:rsidR="00CA4C7A" w:rsidRPr="00D33B70">
        <w:t xml:space="preserve">.  </w:t>
      </w:r>
      <w:r w:rsidRPr="00D33B70">
        <w:t xml:space="preserve">Accordingly, to assess the peak discharges and volumes over the catchment, events ranging </w:t>
      </w:r>
      <w:r w:rsidR="00023F1B" w:rsidRPr="00D33B70">
        <w:t>from 1</w:t>
      </w:r>
      <w:r w:rsidR="008D3A08" w:rsidRPr="00D33B70">
        <w:t>0</w:t>
      </w:r>
      <w:r w:rsidR="00023F1B" w:rsidRPr="00D33B70">
        <w:t xml:space="preserve"> </w:t>
      </w:r>
      <w:r w:rsidR="008D3A08" w:rsidRPr="00D33B70">
        <w:t>minute</w:t>
      </w:r>
      <w:r w:rsidR="00023F1B" w:rsidRPr="00D33B70">
        <w:t xml:space="preserve"> duration to</w:t>
      </w:r>
      <w:r w:rsidR="008D3A08" w:rsidRPr="00D33B70">
        <w:t xml:space="preserve"> 7</w:t>
      </w:r>
      <w:r w:rsidRPr="00D33B70">
        <w:t xml:space="preserve">2 hour duration </w:t>
      </w:r>
      <w:r w:rsidR="00743567" w:rsidRPr="00D33B70">
        <w:t>were</w:t>
      </w:r>
      <w:r w:rsidRPr="00D33B70">
        <w:t xml:space="preserve"> modelled.</w:t>
      </w:r>
    </w:p>
    <w:p w:rsidR="00A83F38" w:rsidRPr="00D33B70" w:rsidRDefault="00325257" w:rsidP="00B26EF8">
      <w:pPr>
        <w:pStyle w:val="Heading3"/>
      </w:pPr>
      <w:bookmarkStart w:id="180" w:name="_Toc387308885"/>
      <w:r w:rsidRPr="00D33B70">
        <w:t>Peak Outflows</w:t>
      </w:r>
      <w:bookmarkEnd w:id="180"/>
    </w:p>
    <w:p w:rsidR="00C775DF" w:rsidRPr="00D33B70" w:rsidRDefault="00597D73" w:rsidP="00046074">
      <w:pPr>
        <w:pStyle w:val="Text"/>
      </w:pPr>
      <w:r w:rsidRPr="00D33B70">
        <w:t xml:space="preserve">The hydraulic model extent covers almost the entire catchment limit and hence, there are no major external inflows into the hydraulic </w:t>
      </w:r>
      <w:r w:rsidR="00B112F6" w:rsidRPr="00D33B70">
        <w:t>model</w:t>
      </w:r>
      <w:r w:rsidR="00CA4C7A" w:rsidRPr="00D33B70">
        <w:t xml:space="preserve">.  </w:t>
      </w:r>
      <w:r w:rsidR="00B112F6" w:rsidRPr="00D33B70">
        <w:t>The</w:t>
      </w:r>
      <w:r w:rsidRPr="00D33B70">
        <w:t xml:space="preserve"> inflows for the hydraulic model </w:t>
      </w:r>
      <w:r w:rsidR="008847F7" w:rsidRPr="00D33B70">
        <w:t>are</w:t>
      </w:r>
      <w:r w:rsidRPr="00D33B70">
        <w:t xml:space="preserve"> a series of </w:t>
      </w:r>
      <w:r w:rsidR="00743567" w:rsidRPr="00D33B70">
        <w:t>'</w:t>
      </w:r>
      <w:r w:rsidRPr="00D33B70">
        <w:t>local</w:t>
      </w:r>
      <w:r w:rsidR="00743567" w:rsidRPr="00D33B70">
        <w:t>'</w:t>
      </w:r>
      <w:r w:rsidRPr="00D33B70">
        <w:t xml:space="preserve"> </w:t>
      </w:r>
      <w:r w:rsidRPr="00D33B70">
        <w:lastRenderedPageBreak/>
        <w:t>hydrographs that represent</w:t>
      </w:r>
      <w:r w:rsidR="007042C5" w:rsidRPr="00D33B70">
        <w:t xml:space="preserve"> the local </w:t>
      </w:r>
      <w:r w:rsidR="00743567" w:rsidRPr="00D33B70">
        <w:t>sub-</w:t>
      </w:r>
      <w:r w:rsidR="007042C5" w:rsidRPr="00D33B70">
        <w:t>catchment flows</w:t>
      </w:r>
      <w:r w:rsidR="00CA4C7A" w:rsidRPr="00D33B70">
        <w:t xml:space="preserve">.  </w:t>
      </w:r>
      <w:r w:rsidR="00F21A4E" w:rsidRPr="00D33B70">
        <w:fldChar w:fldCharType="begin"/>
      </w:r>
      <w:r w:rsidR="00046074" w:rsidRPr="00D33B70">
        <w:instrText xml:space="preserve"> REF _Ref297798343 \h </w:instrText>
      </w:r>
      <w:r w:rsidR="00F21A4E" w:rsidRPr="00D33B70">
        <w:fldChar w:fldCharType="separate"/>
      </w:r>
      <w:r w:rsidR="00AC6986" w:rsidRPr="00D33B70">
        <w:t xml:space="preserve">Table </w:t>
      </w:r>
      <w:r w:rsidR="00AC6986">
        <w:rPr>
          <w:noProof/>
        </w:rPr>
        <w:t>4</w:t>
      </w:r>
      <w:r w:rsidR="00AC6986" w:rsidRPr="00D33B70">
        <w:noBreakHyphen/>
      </w:r>
      <w:r w:rsidR="00AC6986">
        <w:rPr>
          <w:noProof/>
        </w:rPr>
        <w:t>11</w:t>
      </w:r>
      <w:r w:rsidR="00F21A4E" w:rsidRPr="00D33B70">
        <w:fldChar w:fldCharType="end"/>
      </w:r>
      <w:r w:rsidR="00046074" w:rsidRPr="00D33B70">
        <w:t xml:space="preserve"> </w:t>
      </w:r>
      <w:r w:rsidR="007042C5" w:rsidRPr="00D33B70">
        <w:t xml:space="preserve">summarises the peak outflows from the hydrological model at </w:t>
      </w:r>
      <w:r w:rsidR="00B112F6" w:rsidRPr="00D33B70">
        <w:t>six locations of hydraulic significance within the study area including the catchment outflow into the Barwon River</w:t>
      </w:r>
      <w:r w:rsidR="00CA4C7A" w:rsidRPr="00D33B70">
        <w:t xml:space="preserve">.  </w:t>
      </w:r>
      <w:r w:rsidR="00B112F6" w:rsidRPr="00D33B70">
        <w:t>The peak outflow hydrographs are also presented in</w:t>
      </w:r>
      <w:r w:rsidR="00866E74" w:rsidRPr="00D33B70">
        <w:t xml:space="preserve"> </w:t>
      </w:r>
      <w:r w:rsidR="008F1E39" w:rsidRPr="00D33B70">
        <w:fldChar w:fldCharType="begin"/>
      </w:r>
      <w:r w:rsidR="008F1E39" w:rsidRPr="00D33B70">
        <w:instrText xml:space="preserve"> REF _Ref290986922 \h  \* MERGEFORMAT </w:instrText>
      </w:r>
      <w:r w:rsidR="008F1E39" w:rsidRPr="00D33B70">
        <w:fldChar w:fldCharType="separate"/>
      </w:r>
      <w:r w:rsidR="00AC6986" w:rsidRPr="00D33B70">
        <w:t xml:space="preserve">Figure </w:t>
      </w:r>
      <w:r w:rsidR="00AC6986">
        <w:rPr>
          <w:noProof/>
        </w:rPr>
        <w:t>4</w:t>
      </w:r>
      <w:r w:rsidR="00AC6986" w:rsidRPr="00D33B70">
        <w:rPr>
          <w:noProof/>
        </w:rPr>
        <w:noBreakHyphen/>
      </w:r>
      <w:r w:rsidR="00AC6986">
        <w:rPr>
          <w:noProof/>
        </w:rPr>
        <w:t>2</w:t>
      </w:r>
      <w:r w:rsidR="008F1E39" w:rsidRPr="00D33B70">
        <w:fldChar w:fldCharType="end"/>
      </w:r>
      <w:r w:rsidR="00B112F6" w:rsidRPr="00D33B70">
        <w:t xml:space="preserve"> to </w:t>
      </w:r>
      <w:r w:rsidR="008F1E39" w:rsidRPr="00D33B70">
        <w:fldChar w:fldCharType="begin"/>
      </w:r>
      <w:r w:rsidR="008F1E39" w:rsidRPr="00D33B70">
        <w:instrText xml:space="preserve"> REF _Ref290986945 \h  \* MERGEFORMAT </w:instrText>
      </w:r>
      <w:r w:rsidR="008F1E39" w:rsidRPr="00D33B70">
        <w:fldChar w:fldCharType="separate"/>
      </w:r>
      <w:r w:rsidR="00AC6986" w:rsidRPr="00D33B70">
        <w:t xml:space="preserve">Figure </w:t>
      </w:r>
      <w:r w:rsidR="00AC6986">
        <w:rPr>
          <w:noProof/>
        </w:rPr>
        <w:t>4</w:t>
      </w:r>
      <w:r w:rsidR="00AC6986" w:rsidRPr="00D33B70">
        <w:rPr>
          <w:noProof/>
        </w:rPr>
        <w:noBreakHyphen/>
      </w:r>
      <w:r w:rsidR="00AC6986">
        <w:rPr>
          <w:noProof/>
        </w:rPr>
        <w:t>7</w:t>
      </w:r>
      <w:r w:rsidR="008F1E39" w:rsidRPr="00D33B70">
        <w:fldChar w:fldCharType="end"/>
      </w:r>
      <w:r w:rsidR="00866E74" w:rsidRPr="00D33B70">
        <w:t>.</w:t>
      </w:r>
      <w:bookmarkStart w:id="181" w:name="_Ref209597643"/>
    </w:p>
    <w:p w:rsidR="00A83F38" w:rsidRPr="00D33B70" w:rsidRDefault="00325257" w:rsidP="00430B8C">
      <w:pPr>
        <w:pStyle w:val="Caption"/>
      </w:pPr>
      <w:bookmarkStart w:id="182" w:name="_Ref297798343"/>
      <w:bookmarkStart w:id="183" w:name="_Toc387308982"/>
      <w:r w:rsidRPr="00D33B70">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4</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11</w:t>
      </w:r>
      <w:r w:rsidR="00FF3C04" w:rsidRPr="00D33B70">
        <w:fldChar w:fldCharType="end"/>
      </w:r>
      <w:bookmarkEnd w:id="181"/>
      <w:bookmarkEnd w:id="182"/>
      <w:r w:rsidRPr="00D33B70">
        <w:tab/>
        <w:t>Peak Outflows</w:t>
      </w:r>
      <w:bookmarkEnd w:id="183"/>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4"/>
        <w:gridCol w:w="1098"/>
        <w:gridCol w:w="1099"/>
        <w:gridCol w:w="1098"/>
        <w:gridCol w:w="1099"/>
      </w:tblGrid>
      <w:tr w:rsidR="00672318" w:rsidRPr="00D33B70" w:rsidTr="009239F3">
        <w:trPr>
          <w:cantSplit/>
          <w:trHeight w:val="430"/>
        </w:trPr>
        <w:tc>
          <w:tcPr>
            <w:tcW w:w="4394" w:type="dxa"/>
            <w:vMerge w:val="restart"/>
            <w:shd w:val="pct10" w:color="auto" w:fill="FFFFFF" w:themeFill="background1"/>
            <w:vAlign w:val="center"/>
          </w:tcPr>
          <w:p w:rsidR="00672318" w:rsidRPr="00D33B70" w:rsidRDefault="006F472A" w:rsidP="00430B8C">
            <w:pPr>
              <w:pStyle w:val="ListContinue2"/>
              <w:keepNext/>
              <w:tabs>
                <w:tab w:val="clear" w:pos="-720"/>
              </w:tabs>
              <w:suppressAutoHyphens w:val="0"/>
              <w:spacing w:before="40" w:after="40"/>
              <w:jc w:val="center"/>
              <w:rPr>
                <w:rFonts w:cs="Arial"/>
                <w:b/>
              </w:rPr>
            </w:pPr>
            <w:r w:rsidRPr="00D33B70">
              <w:rPr>
                <w:rFonts w:cs="Arial"/>
                <w:b/>
              </w:rPr>
              <w:t>Location</w:t>
            </w:r>
          </w:p>
        </w:tc>
        <w:tc>
          <w:tcPr>
            <w:tcW w:w="4394" w:type="dxa"/>
            <w:gridSpan w:val="4"/>
            <w:shd w:val="pct10" w:color="auto" w:fill="FFFFFF" w:themeFill="background1"/>
            <w:vAlign w:val="center"/>
          </w:tcPr>
          <w:p w:rsidR="00672318" w:rsidRPr="00D33B70" w:rsidRDefault="00D965C7" w:rsidP="00430B8C">
            <w:pPr>
              <w:pStyle w:val="ListContinue2"/>
              <w:keepNext/>
              <w:tabs>
                <w:tab w:val="clear" w:pos="-720"/>
              </w:tabs>
              <w:suppressAutoHyphens w:val="0"/>
              <w:spacing w:before="40" w:after="40"/>
              <w:jc w:val="center"/>
              <w:rPr>
                <w:rFonts w:cs="Arial"/>
                <w:b/>
              </w:rPr>
            </w:pPr>
            <w:r w:rsidRPr="00D33B70">
              <w:rPr>
                <w:rFonts w:cs="Arial"/>
                <w:b/>
              </w:rPr>
              <w:t>Peak F</w:t>
            </w:r>
            <w:r w:rsidR="00672318" w:rsidRPr="00D33B70">
              <w:rPr>
                <w:rFonts w:cs="Arial"/>
                <w:b/>
              </w:rPr>
              <w:t>low (m3/s)</w:t>
            </w:r>
          </w:p>
        </w:tc>
      </w:tr>
      <w:tr w:rsidR="00672318" w:rsidRPr="00D33B70" w:rsidTr="009239F3">
        <w:trPr>
          <w:cantSplit/>
          <w:trHeight w:val="391"/>
        </w:trPr>
        <w:tc>
          <w:tcPr>
            <w:tcW w:w="4394" w:type="dxa"/>
            <w:vMerge/>
            <w:shd w:val="pct10" w:color="auto" w:fill="FFFFFF" w:themeFill="background1"/>
            <w:vAlign w:val="center"/>
          </w:tcPr>
          <w:p w:rsidR="00672318" w:rsidRPr="00D33B70" w:rsidRDefault="00672318" w:rsidP="00430B8C">
            <w:pPr>
              <w:pStyle w:val="ListContinue2"/>
              <w:keepNext/>
              <w:tabs>
                <w:tab w:val="clear" w:pos="-720"/>
              </w:tabs>
              <w:suppressAutoHyphens w:val="0"/>
              <w:spacing w:before="40" w:after="40"/>
              <w:jc w:val="center"/>
              <w:rPr>
                <w:rFonts w:cs="Arial"/>
                <w:b/>
              </w:rPr>
            </w:pPr>
          </w:p>
        </w:tc>
        <w:tc>
          <w:tcPr>
            <w:tcW w:w="1098" w:type="dxa"/>
            <w:shd w:val="pct10" w:color="auto" w:fill="FFFFFF" w:themeFill="background1"/>
            <w:vAlign w:val="center"/>
          </w:tcPr>
          <w:p w:rsidR="00672318" w:rsidRPr="00D33B70" w:rsidRDefault="00672318" w:rsidP="00430B8C">
            <w:pPr>
              <w:pStyle w:val="ListContinue2"/>
              <w:keepNext/>
              <w:tabs>
                <w:tab w:val="clear" w:pos="-720"/>
              </w:tabs>
              <w:suppressAutoHyphens w:val="0"/>
              <w:spacing w:before="40" w:after="40"/>
              <w:jc w:val="center"/>
              <w:rPr>
                <w:rFonts w:cs="Arial"/>
                <w:b/>
              </w:rPr>
            </w:pPr>
            <w:r w:rsidRPr="00D33B70">
              <w:rPr>
                <w:rFonts w:cs="Arial"/>
                <w:b/>
              </w:rPr>
              <w:t>20% AEP</w:t>
            </w:r>
          </w:p>
        </w:tc>
        <w:tc>
          <w:tcPr>
            <w:tcW w:w="1099" w:type="dxa"/>
            <w:shd w:val="pct10" w:color="auto" w:fill="FFFFFF" w:themeFill="background1"/>
            <w:vAlign w:val="center"/>
          </w:tcPr>
          <w:p w:rsidR="00672318" w:rsidRPr="00D33B70" w:rsidRDefault="00672318" w:rsidP="00430B8C">
            <w:pPr>
              <w:pStyle w:val="ListContinue2"/>
              <w:keepNext/>
              <w:tabs>
                <w:tab w:val="clear" w:pos="-720"/>
              </w:tabs>
              <w:suppressAutoHyphens w:val="0"/>
              <w:spacing w:before="40" w:after="40"/>
              <w:jc w:val="center"/>
              <w:rPr>
                <w:rFonts w:cs="Arial"/>
                <w:b/>
              </w:rPr>
            </w:pPr>
            <w:r w:rsidRPr="00D33B70">
              <w:rPr>
                <w:rFonts w:cs="Arial"/>
                <w:b/>
              </w:rPr>
              <w:t>10% AEP</w:t>
            </w:r>
          </w:p>
        </w:tc>
        <w:tc>
          <w:tcPr>
            <w:tcW w:w="1098" w:type="dxa"/>
            <w:shd w:val="pct10" w:color="auto" w:fill="FFFFFF" w:themeFill="background1"/>
            <w:vAlign w:val="center"/>
          </w:tcPr>
          <w:p w:rsidR="00672318" w:rsidRPr="00D33B70" w:rsidRDefault="00672318" w:rsidP="00430B8C">
            <w:pPr>
              <w:pStyle w:val="ListContinue2"/>
              <w:keepNext/>
              <w:tabs>
                <w:tab w:val="clear" w:pos="-720"/>
              </w:tabs>
              <w:suppressAutoHyphens w:val="0"/>
              <w:spacing w:before="40" w:after="40"/>
              <w:jc w:val="center"/>
              <w:rPr>
                <w:rFonts w:cs="Arial"/>
                <w:b/>
              </w:rPr>
            </w:pPr>
            <w:r w:rsidRPr="00D33B70">
              <w:rPr>
                <w:rFonts w:cs="Arial"/>
                <w:b/>
              </w:rPr>
              <w:t>5% AEP</w:t>
            </w:r>
          </w:p>
        </w:tc>
        <w:tc>
          <w:tcPr>
            <w:tcW w:w="1099" w:type="dxa"/>
            <w:shd w:val="pct10" w:color="auto" w:fill="FFFFFF" w:themeFill="background1"/>
            <w:vAlign w:val="center"/>
          </w:tcPr>
          <w:p w:rsidR="00672318" w:rsidRPr="00D33B70" w:rsidRDefault="00672318" w:rsidP="00430B8C">
            <w:pPr>
              <w:pStyle w:val="ListContinue2"/>
              <w:keepNext/>
              <w:tabs>
                <w:tab w:val="clear" w:pos="-720"/>
              </w:tabs>
              <w:suppressAutoHyphens w:val="0"/>
              <w:spacing w:before="40" w:after="40"/>
              <w:jc w:val="center"/>
              <w:rPr>
                <w:rFonts w:cs="Arial"/>
                <w:b/>
              </w:rPr>
            </w:pPr>
            <w:r w:rsidRPr="00D33B70">
              <w:rPr>
                <w:rFonts w:cs="Arial"/>
                <w:b/>
              </w:rPr>
              <w:t>1%AEP</w:t>
            </w:r>
          </w:p>
        </w:tc>
      </w:tr>
      <w:tr w:rsidR="00672318" w:rsidRPr="00D33B70" w:rsidTr="009239F3">
        <w:tc>
          <w:tcPr>
            <w:tcW w:w="4394" w:type="dxa"/>
            <w:vAlign w:val="center"/>
          </w:tcPr>
          <w:p w:rsidR="009F228A" w:rsidRPr="00D33B70" w:rsidRDefault="00D965C7" w:rsidP="00430B8C">
            <w:pPr>
              <w:pStyle w:val="Text"/>
              <w:spacing w:before="60" w:after="60" w:line="240" w:lineRule="auto"/>
              <w:ind w:left="0"/>
              <w:jc w:val="left"/>
            </w:pPr>
            <w:r w:rsidRPr="00D33B70">
              <w:t>Thornhill R</w:t>
            </w:r>
            <w:r w:rsidR="003C0C93" w:rsidRPr="00D33B70">
              <w:t>oa</w:t>
            </w:r>
            <w:r w:rsidR="00C15726" w:rsidRPr="00D33B70">
              <w:t xml:space="preserve">d </w:t>
            </w:r>
            <w:r w:rsidR="00940083" w:rsidRPr="00D33B70">
              <w:t xml:space="preserve">Upper </w:t>
            </w:r>
            <w:r w:rsidR="00C15726" w:rsidRPr="00D33B70">
              <w:t>Retarding Basin Inflow</w:t>
            </w:r>
          </w:p>
        </w:tc>
        <w:tc>
          <w:tcPr>
            <w:tcW w:w="1098" w:type="dxa"/>
            <w:vAlign w:val="center"/>
          </w:tcPr>
          <w:p w:rsidR="00672318" w:rsidRPr="00D33B70" w:rsidRDefault="006F472A" w:rsidP="00430B8C">
            <w:pPr>
              <w:pStyle w:val="Text"/>
              <w:spacing w:before="60" w:after="60" w:line="240" w:lineRule="auto"/>
              <w:ind w:left="0"/>
              <w:jc w:val="center"/>
            </w:pPr>
            <w:r w:rsidRPr="00D33B70">
              <w:t>4.</w:t>
            </w:r>
            <w:r w:rsidR="00D30B3B" w:rsidRPr="00D33B70">
              <w:t>0</w:t>
            </w:r>
          </w:p>
        </w:tc>
        <w:tc>
          <w:tcPr>
            <w:tcW w:w="1099" w:type="dxa"/>
            <w:vAlign w:val="center"/>
          </w:tcPr>
          <w:p w:rsidR="00672318" w:rsidRPr="00D33B70" w:rsidRDefault="006F472A" w:rsidP="00430B8C">
            <w:pPr>
              <w:pStyle w:val="Text"/>
              <w:spacing w:before="60" w:after="60" w:line="240" w:lineRule="auto"/>
              <w:ind w:left="0"/>
              <w:jc w:val="center"/>
            </w:pPr>
            <w:r w:rsidRPr="00D33B70">
              <w:t>5.</w:t>
            </w:r>
            <w:r w:rsidR="00D30B3B" w:rsidRPr="00D33B70">
              <w:t>7</w:t>
            </w:r>
          </w:p>
        </w:tc>
        <w:tc>
          <w:tcPr>
            <w:tcW w:w="1098" w:type="dxa"/>
            <w:vAlign w:val="center"/>
          </w:tcPr>
          <w:p w:rsidR="00672318" w:rsidRPr="00D33B70" w:rsidRDefault="006F472A" w:rsidP="00430B8C">
            <w:pPr>
              <w:pStyle w:val="Text"/>
              <w:spacing w:before="60" w:after="60" w:line="240" w:lineRule="auto"/>
              <w:ind w:left="0"/>
              <w:jc w:val="center"/>
            </w:pPr>
            <w:r w:rsidRPr="00D33B70">
              <w:t>8.</w:t>
            </w:r>
            <w:r w:rsidR="00D30B3B" w:rsidRPr="00D33B70">
              <w:t>1</w:t>
            </w:r>
          </w:p>
        </w:tc>
        <w:tc>
          <w:tcPr>
            <w:tcW w:w="1099" w:type="dxa"/>
            <w:vAlign w:val="center"/>
          </w:tcPr>
          <w:p w:rsidR="00672318" w:rsidRPr="00D33B70" w:rsidRDefault="006F472A" w:rsidP="00430B8C">
            <w:pPr>
              <w:pStyle w:val="Text"/>
              <w:spacing w:before="60" w:after="60" w:line="240" w:lineRule="auto"/>
              <w:ind w:left="0"/>
              <w:jc w:val="center"/>
            </w:pPr>
            <w:r w:rsidRPr="00D33B70">
              <w:t>1</w:t>
            </w:r>
            <w:r w:rsidR="00D30B3B" w:rsidRPr="00D33B70">
              <w:t>2.4</w:t>
            </w:r>
          </w:p>
        </w:tc>
      </w:tr>
      <w:tr w:rsidR="00672318" w:rsidRPr="00D33B70" w:rsidTr="009239F3">
        <w:tc>
          <w:tcPr>
            <w:tcW w:w="4394" w:type="dxa"/>
            <w:vAlign w:val="center"/>
          </w:tcPr>
          <w:p w:rsidR="009F228A" w:rsidRPr="00D33B70" w:rsidRDefault="00D30B3B" w:rsidP="00430B8C">
            <w:pPr>
              <w:pStyle w:val="Text"/>
              <w:spacing w:before="60" w:after="60" w:line="240" w:lineRule="auto"/>
              <w:ind w:left="0"/>
              <w:jc w:val="left"/>
            </w:pPr>
            <w:r w:rsidRPr="00D33B70">
              <w:t>Vanessa Ave</w:t>
            </w:r>
            <w:r w:rsidR="003C0C93" w:rsidRPr="00D33B70">
              <w:t>nue</w:t>
            </w:r>
            <w:r w:rsidRPr="00D33B70">
              <w:t xml:space="preserve"> Retarding Basin </w:t>
            </w:r>
            <w:r w:rsidR="00C15726" w:rsidRPr="00D33B70">
              <w:t>Inflow</w:t>
            </w:r>
          </w:p>
        </w:tc>
        <w:tc>
          <w:tcPr>
            <w:tcW w:w="1098" w:type="dxa"/>
            <w:vAlign w:val="center"/>
          </w:tcPr>
          <w:p w:rsidR="00672318" w:rsidRPr="00D33B70" w:rsidRDefault="006F472A" w:rsidP="00430B8C">
            <w:pPr>
              <w:pStyle w:val="Text"/>
              <w:spacing w:before="60" w:after="60" w:line="240" w:lineRule="auto"/>
              <w:ind w:left="0"/>
              <w:jc w:val="center"/>
            </w:pPr>
            <w:r w:rsidRPr="00D33B70">
              <w:t>4.</w:t>
            </w:r>
            <w:r w:rsidR="00D30B3B" w:rsidRPr="00D33B70">
              <w:t>5</w:t>
            </w:r>
          </w:p>
        </w:tc>
        <w:tc>
          <w:tcPr>
            <w:tcW w:w="1099" w:type="dxa"/>
            <w:vAlign w:val="center"/>
          </w:tcPr>
          <w:p w:rsidR="00672318" w:rsidRPr="00D33B70" w:rsidRDefault="00D30B3B" w:rsidP="00430B8C">
            <w:pPr>
              <w:pStyle w:val="Text"/>
              <w:spacing w:before="60" w:after="60" w:line="240" w:lineRule="auto"/>
              <w:ind w:left="0"/>
              <w:jc w:val="center"/>
            </w:pPr>
            <w:r w:rsidRPr="00D33B70">
              <w:t>5.9</w:t>
            </w:r>
          </w:p>
        </w:tc>
        <w:tc>
          <w:tcPr>
            <w:tcW w:w="1098" w:type="dxa"/>
            <w:vAlign w:val="center"/>
          </w:tcPr>
          <w:p w:rsidR="00672318" w:rsidRPr="00D33B70" w:rsidRDefault="006F472A" w:rsidP="00430B8C">
            <w:pPr>
              <w:pStyle w:val="Text"/>
              <w:spacing w:before="60" w:after="60" w:line="240" w:lineRule="auto"/>
              <w:ind w:left="0"/>
              <w:jc w:val="center"/>
            </w:pPr>
            <w:r w:rsidRPr="00D33B70">
              <w:t>7.</w:t>
            </w:r>
            <w:r w:rsidR="00D30B3B" w:rsidRPr="00D33B70">
              <w:t>6</w:t>
            </w:r>
          </w:p>
        </w:tc>
        <w:tc>
          <w:tcPr>
            <w:tcW w:w="1099" w:type="dxa"/>
            <w:vAlign w:val="center"/>
          </w:tcPr>
          <w:p w:rsidR="00672318" w:rsidRPr="00D33B70" w:rsidRDefault="006F472A" w:rsidP="00430B8C">
            <w:pPr>
              <w:pStyle w:val="Text"/>
              <w:spacing w:before="60" w:after="60" w:line="240" w:lineRule="auto"/>
              <w:ind w:left="0"/>
              <w:jc w:val="center"/>
            </w:pPr>
            <w:r w:rsidRPr="00D33B70">
              <w:t>11.</w:t>
            </w:r>
            <w:r w:rsidR="00D30B3B" w:rsidRPr="00D33B70">
              <w:t>0</w:t>
            </w:r>
          </w:p>
        </w:tc>
      </w:tr>
      <w:tr w:rsidR="00C15726" w:rsidRPr="00D33B70" w:rsidTr="009239F3">
        <w:tc>
          <w:tcPr>
            <w:tcW w:w="4394" w:type="dxa"/>
            <w:vAlign w:val="center"/>
          </w:tcPr>
          <w:p w:rsidR="009F228A" w:rsidRPr="00D33B70" w:rsidRDefault="00D965C7" w:rsidP="00430B8C">
            <w:pPr>
              <w:pStyle w:val="Text"/>
              <w:spacing w:before="60" w:after="60" w:line="240" w:lineRule="auto"/>
              <w:ind w:left="0"/>
              <w:jc w:val="left"/>
            </w:pPr>
            <w:r w:rsidRPr="00D33B70">
              <w:t>Corner of Bellevue Ave</w:t>
            </w:r>
            <w:r w:rsidR="003C0C93" w:rsidRPr="00D33B70">
              <w:t>nue</w:t>
            </w:r>
            <w:r w:rsidRPr="00D33B70">
              <w:t xml:space="preserve"> and</w:t>
            </w:r>
            <w:r w:rsidR="00C15726" w:rsidRPr="00D33B70">
              <w:t xml:space="preserve"> Maus St</w:t>
            </w:r>
            <w:r w:rsidR="003C0C93" w:rsidRPr="00D33B70">
              <w:t>reet</w:t>
            </w:r>
          </w:p>
        </w:tc>
        <w:tc>
          <w:tcPr>
            <w:tcW w:w="1098" w:type="dxa"/>
            <w:vAlign w:val="center"/>
          </w:tcPr>
          <w:p w:rsidR="00C15726" w:rsidRPr="00D33B70" w:rsidRDefault="006F472A" w:rsidP="00430B8C">
            <w:pPr>
              <w:pStyle w:val="Text"/>
              <w:spacing w:before="60" w:after="60" w:line="240" w:lineRule="auto"/>
              <w:ind w:left="0"/>
              <w:jc w:val="center"/>
            </w:pPr>
            <w:r w:rsidRPr="00D33B70">
              <w:t>7.</w:t>
            </w:r>
            <w:r w:rsidR="00D30B3B" w:rsidRPr="00D33B70">
              <w:t>2</w:t>
            </w:r>
          </w:p>
        </w:tc>
        <w:tc>
          <w:tcPr>
            <w:tcW w:w="1099" w:type="dxa"/>
            <w:vAlign w:val="center"/>
          </w:tcPr>
          <w:p w:rsidR="00C15726" w:rsidRPr="00D33B70" w:rsidRDefault="00D30B3B" w:rsidP="00430B8C">
            <w:pPr>
              <w:pStyle w:val="Text"/>
              <w:spacing w:before="60" w:after="60" w:line="240" w:lineRule="auto"/>
              <w:ind w:left="0"/>
              <w:jc w:val="center"/>
            </w:pPr>
            <w:r w:rsidRPr="00D33B70">
              <w:t>9.8</w:t>
            </w:r>
          </w:p>
        </w:tc>
        <w:tc>
          <w:tcPr>
            <w:tcW w:w="1098" w:type="dxa"/>
            <w:vAlign w:val="center"/>
          </w:tcPr>
          <w:p w:rsidR="00C15726" w:rsidRPr="00D33B70" w:rsidRDefault="006F472A" w:rsidP="00430B8C">
            <w:pPr>
              <w:pStyle w:val="Text"/>
              <w:spacing w:before="60" w:after="60" w:line="240" w:lineRule="auto"/>
              <w:ind w:left="0"/>
              <w:jc w:val="center"/>
            </w:pPr>
            <w:r w:rsidRPr="00D33B70">
              <w:t>13.</w:t>
            </w:r>
            <w:r w:rsidR="00D30B3B" w:rsidRPr="00D33B70">
              <w:t>2</w:t>
            </w:r>
          </w:p>
        </w:tc>
        <w:tc>
          <w:tcPr>
            <w:tcW w:w="1099" w:type="dxa"/>
            <w:vAlign w:val="center"/>
          </w:tcPr>
          <w:p w:rsidR="00C15726" w:rsidRPr="00D33B70" w:rsidRDefault="006F472A" w:rsidP="00430B8C">
            <w:pPr>
              <w:pStyle w:val="Text"/>
              <w:spacing w:before="60" w:after="60" w:line="240" w:lineRule="auto"/>
              <w:ind w:left="0"/>
              <w:jc w:val="center"/>
            </w:pPr>
            <w:r w:rsidRPr="00D33B70">
              <w:t>2</w:t>
            </w:r>
            <w:r w:rsidR="00D30B3B" w:rsidRPr="00D33B70">
              <w:t>1.6</w:t>
            </w:r>
          </w:p>
        </w:tc>
      </w:tr>
      <w:tr w:rsidR="006F472A" w:rsidRPr="00D33B70" w:rsidTr="009239F3">
        <w:tc>
          <w:tcPr>
            <w:tcW w:w="4394" w:type="dxa"/>
            <w:vAlign w:val="center"/>
          </w:tcPr>
          <w:p w:rsidR="009F228A" w:rsidRPr="00D33B70" w:rsidRDefault="00AD36BC" w:rsidP="00430B8C">
            <w:pPr>
              <w:pStyle w:val="Text"/>
              <w:spacing w:before="60" w:after="60" w:line="240" w:lineRule="auto"/>
              <w:ind w:left="0"/>
              <w:jc w:val="left"/>
            </w:pPr>
            <w:r w:rsidRPr="00D33B70">
              <w:t>Corner of Bellevue Ave</w:t>
            </w:r>
            <w:r w:rsidR="003C0C93" w:rsidRPr="00D33B70">
              <w:t>nue</w:t>
            </w:r>
            <w:r w:rsidRPr="00D33B70">
              <w:t xml:space="preserve"> and</w:t>
            </w:r>
            <w:r w:rsidR="006F472A" w:rsidRPr="00D33B70">
              <w:t xml:space="preserve"> Roslyn R</w:t>
            </w:r>
            <w:r w:rsidR="003C0C93" w:rsidRPr="00D33B70">
              <w:t>oa</w:t>
            </w:r>
            <w:r w:rsidR="006F472A" w:rsidRPr="00D33B70">
              <w:t>d</w:t>
            </w:r>
          </w:p>
        </w:tc>
        <w:tc>
          <w:tcPr>
            <w:tcW w:w="1098" w:type="dxa"/>
            <w:vAlign w:val="center"/>
          </w:tcPr>
          <w:p w:rsidR="006F472A" w:rsidRPr="00D33B70" w:rsidRDefault="006F472A" w:rsidP="00430B8C">
            <w:pPr>
              <w:pStyle w:val="Text"/>
              <w:spacing w:before="60" w:after="60" w:line="240" w:lineRule="auto"/>
              <w:ind w:left="0"/>
              <w:jc w:val="center"/>
            </w:pPr>
            <w:r w:rsidRPr="00D33B70">
              <w:t>1</w:t>
            </w:r>
            <w:r w:rsidR="00D30B3B" w:rsidRPr="00D33B70">
              <w:t>1.2</w:t>
            </w:r>
          </w:p>
        </w:tc>
        <w:tc>
          <w:tcPr>
            <w:tcW w:w="1099" w:type="dxa"/>
            <w:vAlign w:val="center"/>
          </w:tcPr>
          <w:p w:rsidR="006F472A" w:rsidRPr="00D33B70" w:rsidRDefault="006F472A" w:rsidP="00430B8C">
            <w:pPr>
              <w:pStyle w:val="Text"/>
              <w:spacing w:before="60" w:after="60" w:line="240" w:lineRule="auto"/>
              <w:ind w:left="0"/>
              <w:jc w:val="center"/>
            </w:pPr>
            <w:r w:rsidRPr="00D33B70">
              <w:t>1</w:t>
            </w:r>
            <w:r w:rsidR="00D30B3B" w:rsidRPr="00D33B70">
              <w:t>5.0</w:t>
            </w:r>
          </w:p>
        </w:tc>
        <w:tc>
          <w:tcPr>
            <w:tcW w:w="1098" w:type="dxa"/>
            <w:vAlign w:val="center"/>
          </w:tcPr>
          <w:p w:rsidR="006F472A" w:rsidRPr="00D33B70" w:rsidRDefault="006F472A" w:rsidP="00430B8C">
            <w:pPr>
              <w:pStyle w:val="Text"/>
              <w:spacing w:before="60" w:after="60" w:line="240" w:lineRule="auto"/>
              <w:ind w:left="0"/>
              <w:jc w:val="center"/>
            </w:pPr>
            <w:r w:rsidRPr="00D33B70">
              <w:t>2</w:t>
            </w:r>
            <w:r w:rsidR="00D30B3B" w:rsidRPr="00D33B70">
              <w:t>1.2</w:t>
            </w:r>
          </w:p>
        </w:tc>
        <w:tc>
          <w:tcPr>
            <w:tcW w:w="1099" w:type="dxa"/>
            <w:vAlign w:val="center"/>
          </w:tcPr>
          <w:p w:rsidR="006F472A" w:rsidRPr="00D33B70" w:rsidRDefault="006F472A" w:rsidP="00430B8C">
            <w:pPr>
              <w:pStyle w:val="Text"/>
              <w:spacing w:before="60" w:after="60" w:line="240" w:lineRule="auto"/>
              <w:ind w:left="0"/>
              <w:jc w:val="center"/>
            </w:pPr>
            <w:r w:rsidRPr="00D33B70">
              <w:t>3</w:t>
            </w:r>
            <w:r w:rsidR="00D30B3B" w:rsidRPr="00D33B70">
              <w:t>5.5</w:t>
            </w:r>
          </w:p>
        </w:tc>
      </w:tr>
      <w:tr w:rsidR="00C15726" w:rsidRPr="00D33B70" w:rsidTr="009239F3">
        <w:tc>
          <w:tcPr>
            <w:tcW w:w="4394" w:type="dxa"/>
            <w:vAlign w:val="center"/>
          </w:tcPr>
          <w:p w:rsidR="009F228A" w:rsidRPr="00D33B70" w:rsidRDefault="00AD36BC" w:rsidP="00430B8C">
            <w:pPr>
              <w:pStyle w:val="Text"/>
              <w:spacing w:before="60" w:after="60" w:line="240" w:lineRule="auto"/>
              <w:ind w:left="0"/>
              <w:jc w:val="left"/>
            </w:pPr>
            <w:r w:rsidRPr="00D33B70">
              <w:t xml:space="preserve">Corner of </w:t>
            </w:r>
            <w:r w:rsidR="006F472A" w:rsidRPr="00D33B70">
              <w:t>Barrabool R</w:t>
            </w:r>
            <w:r w:rsidR="003C0C93" w:rsidRPr="00D33B70">
              <w:t>oa</w:t>
            </w:r>
            <w:r w:rsidRPr="00D33B70">
              <w:t>d and</w:t>
            </w:r>
            <w:r w:rsidR="006F472A" w:rsidRPr="00D33B70">
              <w:t xml:space="preserve"> Mount Pleasant</w:t>
            </w:r>
            <w:r w:rsidR="00C15726" w:rsidRPr="00D33B70">
              <w:t xml:space="preserve"> R</w:t>
            </w:r>
            <w:r w:rsidR="003C0C93" w:rsidRPr="00D33B70">
              <w:t>oa</w:t>
            </w:r>
            <w:r w:rsidR="00C15726" w:rsidRPr="00D33B70">
              <w:t>d</w:t>
            </w:r>
          </w:p>
        </w:tc>
        <w:tc>
          <w:tcPr>
            <w:tcW w:w="1098" w:type="dxa"/>
            <w:vAlign w:val="center"/>
          </w:tcPr>
          <w:p w:rsidR="00C15726" w:rsidRPr="00D33B70" w:rsidRDefault="006F472A" w:rsidP="00430B8C">
            <w:pPr>
              <w:pStyle w:val="Text"/>
              <w:spacing w:before="60" w:after="60" w:line="240" w:lineRule="auto"/>
              <w:ind w:left="0"/>
              <w:jc w:val="center"/>
            </w:pPr>
            <w:r w:rsidRPr="00D33B70">
              <w:t>10.</w:t>
            </w:r>
            <w:r w:rsidR="00D30B3B" w:rsidRPr="00D33B70">
              <w:t>1</w:t>
            </w:r>
          </w:p>
        </w:tc>
        <w:tc>
          <w:tcPr>
            <w:tcW w:w="1099" w:type="dxa"/>
            <w:vAlign w:val="center"/>
          </w:tcPr>
          <w:p w:rsidR="00C15726" w:rsidRPr="00D33B70" w:rsidRDefault="006F472A" w:rsidP="00430B8C">
            <w:pPr>
              <w:pStyle w:val="Text"/>
              <w:spacing w:before="60" w:after="60" w:line="240" w:lineRule="auto"/>
              <w:ind w:left="0"/>
              <w:jc w:val="center"/>
            </w:pPr>
            <w:r w:rsidRPr="00D33B70">
              <w:t>1</w:t>
            </w:r>
            <w:r w:rsidR="00D30B3B" w:rsidRPr="00D33B70">
              <w:t>3.4</w:t>
            </w:r>
          </w:p>
        </w:tc>
        <w:tc>
          <w:tcPr>
            <w:tcW w:w="1098" w:type="dxa"/>
            <w:vAlign w:val="center"/>
          </w:tcPr>
          <w:p w:rsidR="00C15726" w:rsidRPr="00D33B70" w:rsidRDefault="006F472A" w:rsidP="00430B8C">
            <w:pPr>
              <w:pStyle w:val="Text"/>
              <w:spacing w:before="60" w:after="60" w:line="240" w:lineRule="auto"/>
              <w:ind w:left="0"/>
              <w:jc w:val="center"/>
            </w:pPr>
            <w:r w:rsidRPr="00D33B70">
              <w:t>1</w:t>
            </w:r>
            <w:r w:rsidR="00D30B3B" w:rsidRPr="00D33B70">
              <w:t>7.4</w:t>
            </w:r>
          </w:p>
        </w:tc>
        <w:tc>
          <w:tcPr>
            <w:tcW w:w="1099" w:type="dxa"/>
            <w:vAlign w:val="center"/>
          </w:tcPr>
          <w:p w:rsidR="00C15726" w:rsidRPr="00D33B70" w:rsidRDefault="00D30B3B" w:rsidP="00430B8C">
            <w:pPr>
              <w:pStyle w:val="Text"/>
              <w:spacing w:before="60" w:after="60" w:line="240" w:lineRule="auto"/>
              <w:ind w:left="0"/>
              <w:jc w:val="center"/>
            </w:pPr>
            <w:r w:rsidRPr="00D33B70">
              <w:t>28.6</w:t>
            </w:r>
          </w:p>
        </w:tc>
      </w:tr>
      <w:tr w:rsidR="00C15726" w:rsidRPr="00D33B70" w:rsidTr="009239F3">
        <w:tc>
          <w:tcPr>
            <w:tcW w:w="4394" w:type="dxa"/>
            <w:vAlign w:val="center"/>
          </w:tcPr>
          <w:p w:rsidR="009F228A" w:rsidRPr="00D33B70" w:rsidRDefault="00C15726" w:rsidP="00430B8C">
            <w:pPr>
              <w:pStyle w:val="Text"/>
              <w:spacing w:before="60" w:after="60" w:line="240" w:lineRule="auto"/>
              <w:ind w:left="0"/>
              <w:jc w:val="left"/>
            </w:pPr>
            <w:r w:rsidRPr="00D33B70">
              <w:t>Catchment Outlet - Barwon River</w:t>
            </w:r>
          </w:p>
        </w:tc>
        <w:tc>
          <w:tcPr>
            <w:tcW w:w="1098" w:type="dxa"/>
            <w:vAlign w:val="center"/>
          </w:tcPr>
          <w:p w:rsidR="00C15726" w:rsidRPr="00D33B70" w:rsidRDefault="006F472A" w:rsidP="00430B8C">
            <w:pPr>
              <w:pStyle w:val="Text"/>
              <w:spacing w:before="60" w:after="60" w:line="240" w:lineRule="auto"/>
              <w:ind w:left="0"/>
              <w:jc w:val="center"/>
            </w:pPr>
            <w:r w:rsidRPr="00D33B70">
              <w:t>1</w:t>
            </w:r>
            <w:r w:rsidR="00D30B3B" w:rsidRPr="00D33B70">
              <w:t>6</w:t>
            </w:r>
            <w:r w:rsidRPr="00D33B70">
              <w:t>.</w:t>
            </w:r>
            <w:r w:rsidR="00D30B3B" w:rsidRPr="00D33B70">
              <w:t>5</w:t>
            </w:r>
          </w:p>
        </w:tc>
        <w:tc>
          <w:tcPr>
            <w:tcW w:w="1099" w:type="dxa"/>
            <w:vAlign w:val="center"/>
          </w:tcPr>
          <w:p w:rsidR="00C15726" w:rsidRPr="00D33B70" w:rsidRDefault="006F472A" w:rsidP="00430B8C">
            <w:pPr>
              <w:pStyle w:val="Text"/>
              <w:spacing w:before="60" w:after="60" w:line="240" w:lineRule="auto"/>
              <w:ind w:left="0"/>
              <w:jc w:val="center"/>
            </w:pPr>
            <w:r w:rsidRPr="00D33B70">
              <w:t>2</w:t>
            </w:r>
            <w:r w:rsidR="00D30B3B" w:rsidRPr="00D33B70">
              <w:t>1</w:t>
            </w:r>
            <w:r w:rsidRPr="00D33B70">
              <w:t>.2</w:t>
            </w:r>
          </w:p>
        </w:tc>
        <w:tc>
          <w:tcPr>
            <w:tcW w:w="1098" w:type="dxa"/>
            <w:vAlign w:val="center"/>
          </w:tcPr>
          <w:p w:rsidR="00C15726" w:rsidRPr="00D33B70" w:rsidRDefault="00D30B3B" w:rsidP="00430B8C">
            <w:pPr>
              <w:pStyle w:val="Text"/>
              <w:spacing w:before="60" w:after="60" w:line="240" w:lineRule="auto"/>
              <w:ind w:left="0"/>
              <w:jc w:val="center"/>
            </w:pPr>
            <w:r w:rsidRPr="00D33B70">
              <w:t>28</w:t>
            </w:r>
            <w:r w:rsidR="006F472A" w:rsidRPr="00D33B70">
              <w:t>.</w:t>
            </w:r>
            <w:r w:rsidRPr="00D33B70">
              <w:t>2</w:t>
            </w:r>
          </w:p>
        </w:tc>
        <w:tc>
          <w:tcPr>
            <w:tcW w:w="1099" w:type="dxa"/>
            <w:vAlign w:val="center"/>
          </w:tcPr>
          <w:p w:rsidR="00C15726" w:rsidRPr="00D33B70" w:rsidRDefault="00D30B3B" w:rsidP="00430B8C">
            <w:pPr>
              <w:pStyle w:val="Text"/>
              <w:spacing w:before="60" w:after="60" w:line="240" w:lineRule="auto"/>
              <w:ind w:left="0"/>
              <w:jc w:val="center"/>
            </w:pPr>
            <w:r w:rsidRPr="00D33B70">
              <w:t>48.5</w:t>
            </w:r>
          </w:p>
        </w:tc>
      </w:tr>
    </w:tbl>
    <w:p w:rsidR="00E16583" w:rsidRPr="00D33B70" w:rsidRDefault="00E16583" w:rsidP="00046074">
      <w:pPr>
        <w:pStyle w:val="Text"/>
      </w:pPr>
    </w:p>
    <w:p w:rsidR="00D965C7" w:rsidRPr="00D33B70" w:rsidRDefault="00940083" w:rsidP="00A95E7A">
      <w:pPr>
        <w:pStyle w:val="Text"/>
      </w:pPr>
      <w:r w:rsidRPr="00D33B70">
        <w:rPr>
          <w:noProof/>
          <w:lang w:eastAsia="en-AU"/>
        </w:rPr>
        <w:drawing>
          <wp:inline distT="0" distB="0" distL="0" distR="0" wp14:anchorId="0D06A14D" wp14:editId="5266B102">
            <wp:extent cx="5558763" cy="3585238"/>
            <wp:effectExtent l="0" t="0" r="23495" b="1524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C573F" w:rsidRPr="00D33B70" w:rsidRDefault="00D965C7" w:rsidP="00430B8C">
      <w:pPr>
        <w:pStyle w:val="Caption"/>
      </w:pPr>
      <w:bookmarkStart w:id="184" w:name="_Ref290986922"/>
      <w:bookmarkStart w:id="185" w:name="_Toc387308938"/>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4</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2</w:t>
      </w:r>
      <w:r w:rsidR="00FF3C04" w:rsidRPr="00D33B70">
        <w:fldChar w:fldCharType="end"/>
      </w:r>
      <w:bookmarkEnd w:id="184"/>
      <w:r w:rsidR="00542BBC" w:rsidRPr="00D33B70">
        <w:tab/>
      </w:r>
      <w:r w:rsidRPr="00D33B70">
        <w:t>Thornhill R</w:t>
      </w:r>
      <w:r w:rsidR="003C0C93" w:rsidRPr="00D33B70">
        <w:t>oa</w:t>
      </w:r>
      <w:r w:rsidRPr="00D33B70">
        <w:t xml:space="preserve">d </w:t>
      </w:r>
      <w:r w:rsidR="00940083" w:rsidRPr="00D33B70">
        <w:t xml:space="preserve">Upper </w:t>
      </w:r>
      <w:r w:rsidRPr="00D33B70">
        <w:t>Retarding Basin</w:t>
      </w:r>
      <w:r w:rsidR="00940083" w:rsidRPr="00D33B70">
        <w:t xml:space="preserve"> </w:t>
      </w:r>
      <w:r w:rsidRPr="00D33B70">
        <w:t>Inflow</w:t>
      </w:r>
      <w:bookmarkEnd w:id="185"/>
    </w:p>
    <w:p w:rsidR="00D965C7" w:rsidRPr="00D33B70" w:rsidRDefault="00940083" w:rsidP="00A95E7A">
      <w:pPr>
        <w:pStyle w:val="Text"/>
      </w:pPr>
      <w:r w:rsidRPr="00D33B70">
        <w:rPr>
          <w:noProof/>
          <w:lang w:eastAsia="en-AU"/>
        </w:rPr>
        <w:lastRenderedPageBreak/>
        <w:drawing>
          <wp:inline distT="0" distB="0" distL="0" distR="0" wp14:anchorId="48A16FBE" wp14:editId="7448B9F1">
            <wp:extent cx="5558763" cy="3637865"/>
            <wp:effectExtent l="0" t="0" r="23495" b="2032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6623E" w:rsidRPr="00D33B70" w:rsidRDefault="00D965C7" w:rsidP="00430B8C">
      <w:pPr>
        <w:pStyle w:val="Caption"/>
      </w:pPr>
      <w:bookmarkStart w:id="186" w:name="_Toc387308939"/>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4</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3</w:t>
      </w:r>
      <w:r w:rsidR="00FF3C04" w:rsidRPr="00D33B70">
        <w:fldChar w:fldCharType="end"/>
      </w:r>
      <w:r w:rsidRPr="00D33B70">
        <w:tab/>
      </w:r>
      <w:r w:rsidR="00940083" w:rsidRPr="00D33B70">
        <w:t>Vanessa Ave</w:t>
      </w:r>
      <w:r w:rsidR="003C0C93" w:rsidRPr="00D33B70">
        <w:t>nue</w:t>
      </w:r>
      <w:r w:rsidR="00940083" w:rsidRPr="00D33B70">
        <w:t xml:space="preserve"> Retarding Basin </w:t>
      </w:r>
      <w:r w:rsidRPr="00D33B70">
        <w:t>Inflow</w:t>
      </w:r>
      <w:bookmarkEnd w:id="186"/>
    </w:p>
    <w:p w:rsidR="00D965C7" w:rsidRPr="00D33B70" w:rsidRDefault="00940083" w:rsidP="00A95E7A">
      <w:pPr>
        <w:pStyle w:val="Text"/>
      </w:pPr>
      <w:r w:rsidRPr="00D33B70">
        <w:rPr>
          <w:noProof/>
          <w:lang w:eastAsia="en-AU"/>
        </w:rPr>
        <w:drawing>
          <wp:inline distT="0" distB="0" distL="0" distR="0" wp14:anchorId="25123E4D" wp14:editId="47ECCB17">
            <wp:extent cx="5558763" cy="3591815"/>
            <wp:effectExtent l="0" t="0" r="23495" b="27940"/>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965C7" w:rsidRPr="00D33B70" w:rsidRDefault="00D965C7" w:rsidP="00430B8C">
      <w:pPr>
        <w:pStyle w:val="Caption"/>
      </w:pPr>
      <w:bookmarkStart w:id="187" w:name="_Toc387308940"/>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4</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4</w:t>
      </w:r>
      <w:r w:rsidR="00FF3C04" w:rsidRPr="00D33B70">
        <w:fldChar w:fldCharType="end"/>
      </w:r>
      <w:r w:rsidRPr="00D33B70">
        <w:tab/>
        <w:t>Corner of Bellevue Ave</w:t>
      </w:r>
      <w:r w:rsidR="003C0C93" w:rsidRPr="00D33B70">
        <w:t>nue</w:t>
      </w:r>
      <w:r w:rsidRPr="00D33B70">
        <w:t xml:space="preserve"> and Maus St</w:t>
      </w:r>
      <w:r w:rsidR="003C0C93" w:rsidRPr="00D33B70">
        <w:t>reet</w:t>
      </w:r>
      <w:bookmarkEnd w:id="187"/>
    </w:p>
    <w:p w:rsidR="00D965C7" w:rsidRPr="00D33B70" w:rsidRDefault="00940083" w:rsidP="00A95E7A">
      <w:pPr>
        <w:pStyle w:val="Text"/>
      </w:pPr>
      <w:r w:rsidRPr="00D33B70">
        <w:rPr>
          <w:noProof/>
          <w:lang w:eastAsia="en-AU"/>
        </w:rPr>
        <w:lastRenderedPageBreak/>
        <w:drawing>
          <wp:inline distT="0" distB="0" distL="0" distR="0" wp14:anchorId="62381742" wp14:editId="1CE11A04">
            <wp:extent cx="5558763" cy="3572081"/>
            <wp:effectExtent l="0" t="0" r="23495" b="9525"/>
            <wp:docPr id="1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965C7" w:rsidRPr="00D33B70" w:rsidRDefault="00D965C7" w:rsidP="00430B8C">
      <w:pPr>
        <w:pStyle w:val="Caption"/>
      </w:pPr>
      <w:bookmarkStart w:id="188" w:name="_Toc387308941"/>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4</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5</w:t>
      </w:r>
      <w:r w:rsidR="00FF3C04" w:rsidRPr="00D33B70">
        <w:fldChar w:fldCharType="end"/>
      </w:r>
      <w:r w:rsidR="00AD36BC" w:rsidRPr="00D33B70">
        <w:tab/>
        <w:t>Corner of Bellevue Ave</w:t>
      </w:r>
      <w:r w:rsidR="003C0C93" w:rsidRPr="00D33B70">
        <w:t>nue</w:t>
      </w:r>
      <w:r w:rsidR="00AD36BC" w:rsidRPr="00D33B70">
        <w:t xml:space="preserve"> and Roslyn R</w:t>
      </w:r>
      <w:r w:rsidR="003C0C93" w:rsidRPr="00D33B70">
        <w:t>oa</w:t>
      </w:r>
      <w:r w:rsidR="00AD36BC" w:rsidRPr="00D33B70">
        <w:t>d</w:t>
      </w:r>
      <w:bookmarkEnd w:id="188"/>
    </w:p>
    <w:p w:rsidR="00D965C7" w:rsidRPr="00D33B70" w:rsidRDefault="00940083" w:rsidP="00A95E7A">
      <w:pPr>
        <w:pStyle w:val="Text"/>
      </w:pPr>
      <w:r w:rsidRPr="00D33B70">
        <w:rPr>
          <w:noProof/>
          <w:lang w:eastAsia="en-AU"/>
        </w:rPr>
        <w:drawing>
          <wp:inline distT="0" distB="0" distL="0" distR="0" wp14:anchorId="02AFD988" wp14:editId="2F38F439">
            <wp:extent cx="5558763" cy="3591816"/>
            <wp:effectExtent l="0" t="0" r="23495" b="27940"/>
            <wp:docPr id="1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965C7" w:rsidRPr="00D33B70" w:rsidRDefault="00D965C7" w:rsidP="00430B8C">
      <w:pPr>
        <w:pStyle w:val="Caption"/>
      </w:pPr>
      <w:bookmarkStart w:id="189" w:name="_Toc387308942"/>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4</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6</w:t>
      </w:r>
      <w:r w:rsidR="00FF3C04" w:rsidRPr="00D33B70">
        <w:fldChar w:fldCharType="end"/>
      </w:r>
      <w:r w:rsidR="00AD36BC" w:rsidRPr="00D33B70">
        <w:tab/>
        <w:t>Corner of Barrabool R</w:t>
      </w:r>
      <w:r w:rsidR="003C0C93" w:rsidRPr="00D33B70">
        <w:t>oa</w:t>
      </w:r>
      <w:r w:rsidR="00AD36BC" w:rsidRPr="00D33B70">
        <w:t>d and Mount Pleasant R</w:t>
      </w:r>
      <w:r w:rsidR="003C0C93" w:rsidRPr="00D33B70">
        <w:t>oa</w:t>
      </w:r>
      <w:r w:rsidR="00AD36BC" w:rsidRPr="00D33B70">
        <w:t>d</w:t>
      </w:r>
      <w:bookmarkEnd w:id="189"/>
    </w:p>
    <w:p w:rsidR="00D965C7" w:rsidRPr="00D33B70" w:rsidRDefault="00940083" w:rsidP="00A95E7A">
      <w:pPr>
        <w:pStyle w:val="Text"/>
      </w:pPr>
      <w:r w:rsidRPr="00D33B70">
        <w:rPr>
          <w:noProof/>
          <w:lang w:eastAsia="en-AU"/>
        </w:rPr>
        <w:lastRenderedPageBreak/>
        <w:drawing>
          <wp:inline distT="0" distB="0" distL="0" distR="0" wp14:anchorId="36FE02EE" wp14:editId="49C3353C">
            <wp:extent cx="5558763" cy="3598394"/>
            <wp:effectExtent l="0" t="0" r="23495" b="21590"/>
            <wp:docPr id="1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965C7" w:rsidRPr="00D33B70" w:rsidRDefault="00D965C7" w:rsidP="00430B8C">
      <w:pPr>
        <w:pStyle w:val="Caption"/>
      </w:pPr>
      <w:bookmarkStart w:id="190" w:name="_Ref290986945"/>
      <w:bookmarkStart w:id="191" w:name="_Toc387308943"/>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4</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7</w:t>
      </w:r>
      <w:r w:rsidR="00FF3C04" w:rsidRPr="00D33B70">
        <w:fldChar w:fldCharType="end"/>
      </w:r>
      <w:bookmarkEnd w:id="190"/>
      <w:r w:rsidR="00AD36BC" w:rsidRPr="00D33B70">
        <w:tab/>
        <w:t>Catchment Outlet - Barwon River</w:t>
      </w:r>
      <w:bookmarkEnd w:id="191"/>
    </w:p>
    <w:p w:rsidR="00D965C7" w:rsidRPr="00D33B70" w:rsidRDefault="00D965C7" w:rsidP="00430B8C">
      <w:pPr>
        <w:pStyle w:val="Text"/>
      </w:pPr>
    </w:p>
    <w:p w:rsidR="00B26EF8" w:rsidRPr="00D33B70" w:rsidRDefault="00B26EF8">
      <w:pPr>
        <w:overflowPunct/>
        <w:autoSpaceDE/>
        <w:autoSpaceDN/>
        <w:adjustRightInd/>
        <w:jc w:val="left"/>
        <w:textAlignment w:val="auto"/>
      </w:pPr>
      <w:r w:rsidRPr="00D33B70">
        <w:br w:type="page"/>
      </w:r>
    </w:p>
    <w:p w:rsidR="00A83F38" w:rsidRPr="00D33B70" w:rsidRDefault="00A83F38" w:rsidP="00B26EF8">
      <w:pPr>
        <w:pStyle w:val="Heading2"/>
      </w:pPr>
      <w:bookmarkStart w:id="192" w:name="_Toc387308886"/>
      <w:r w:rsidRPr="00D33B70">
        <w:lastRenderedPageBreak/>
        <w:t>Hydraulic Model</w:t>
      </w:r>
      <w:bookmarkEnd w:id="192"/>
    </w:p>
    <w:p w:rsidR="00E93A42" w:rsidRPr="00D33B70" w:rsidRDefault="00E93A42" w:rsidP="00E93A42">
      <w:pPr>
        <w:pStyle w:val="Text"/>
      </w:pPr>
      <w:bookmarkStart w:id="193" w:name="_Toc496090292"/>
      <w:bookmarkStart w:id="194" w:name="_Toc54070091"/>
      <w:bookmarkStart w:id="195" w:name="_Ref87371436"/>
      <w:bookmarkStart w:id="196" w:name="_Ref167179390"/>
      <w:bookmarkStart w:id="197" w:name="_Toc207788152"/>
      <w:bookmarkStart w:id="198" w:name="_Ref209598476"/>
      <w:r w:rsidRPr="00D33B70">
        <w:t>TUFLOW, a fully 2D hydraulic modelling package with the ability to dynamically nest 1D elements, was adopted for this study.  This TUFLOW model contains nested 1D channels representing table drains and the open drainage channels, Council’s pipe network (DN300 and greater) and stormwater entry pits.</w:t>
      </w:r>
    </w:p>
    <w:p w:rsidR="00E93A42" w:rsidRPr="00D33B70" w:rsidRDefault="00E93A42" w:rsidP="00E93A42">
      <w:pPr>
        <w:pStyle w:val="Text"/>
      </w:pPr>
      <w:r w:rsidRPr="00D33B70">
        <w:t>In catchments such as Kardinia Creek, where storage and timing of the rainfall inflows in the catchments are important, modelling using flow varying with time (unsteady state) rather than peak flow (steady state) is required.  Accordingly, TUFLOW was run in unsteady state.</w:t>
      </w:r>
    </w:p>
    <w:p w:rsidR="00A83F38" w:rsidRPr="00D33B70" w:rsidRDefault="00A83F38" w:rsidP="00B26EF8">
      <w:pPr>
        <w:pStyle w:val="Heading3"/>
      </w:pPr>
      <w:bookmarkStart w:id="199" w:name="_Toc387308887"/>
      <w:r w:rsidRPr="00D33B70">
        <w:t>Model De</w:t>
      </w:r>
      <w:bookmarkEnd w:id="193"/>
      <w:r w:rsidRPr="00D33B70">
        <w:t>scription</w:t>
      </w:r>
      <w:bookmarkEnd w:id="194"/>
      <w:bookmarkEnd w:id="195"/>
      <w:bookmarkEnd w:id="196"/>
      <w:bookmarkEnd w:id="197"/>
      <w:bookmarkEnd w:id="199"/>
    </w:p>
    <w:p w:rsidR="00E93A42" w:rsidRPr="00D33B70" w:rsidRDefault="00E93A42" w:rsidP="00E93A42">
      <w:pPr>
        <w:pStyle w:val="Text"/>
      </w:pPr>
      <w:r w:rsidRPr="00D33B70">
        <w:t>The 2D model domain extends beyond the limit of the study's flood mapping region, and covers about 10.3 square kilometres of the Kardinia Creek catchment (as shown in</w:t>
      </w:r>
      <w:r w:rsidR="00BD0636" w:rsidRPr="00D33B70">
        <w:t xml:space="preserve"> </w:t>
      </w:r>
      <w:r w:rsidR="008F1E39" w:rsidRPr="00D33B70">
        <w:fldChar w:fldCharType="begin"/>
      </w:r>
      <w:r w:rsidR="008F1E39" w:rsidRPr="00D33B70">
        <w:instrText xml:space="preserve"> REF _Ref86747955 \h  \* MERGEFORMAT </w:instrText>
      </w:r>
      <w:r w:rsidR="008F1E39" w:rsidRPr="00D33B70">
        <w:fldChar w:fldCharType="separate"/>
      </w:r>
      <w:r w:rsidR="00AC6986" w:rsidRPr="00D33B70">
        <w:t xml:space="preserve">Figure </w:t>
      </w:r>
      <w:r w:rsidR="00AC6986">
        <w:rPr>
          <w:noProof/>
        </w:rPr>
        <w:t>4</w:t>
      </w:r>
      <w:r w:rsidR="00AC6986" w:rsidRPr="00D33B70">
        <w:rPr>
          <w:noProof/>
        </w:rPr>
        <w:noBreakHyphen/>
      </w:r>
      <w:r w:rsidR="00AC6986">
        <w:rPr>
          <w:noProof/>
        </w:rPr>
        <w:t>8</w:t>
      </w:r>
      <w:r w:rsidR="008F1E39" w:rsidRPr="00D33B70">
        <w:fldChar w:fldCharType="end"/>
      </w:r>
      <w:r w:rsidRPr="00D33B70">
        <w:t>).  The geometry of the 2D model was established by constructing two uniform grids of square elements divided by the Geelong Ring Road.  One of the key considerations in establishing a 2D hydraulic model relates to the selection of an appropriate grid element size.  Element size affects the resolution, or degree of accuracy, of the representation of the physical properties of the study area as well as the size of the computer model and its resulting run times.  Selecting a very small grid element size will result in both higher resolution and longer model run times.</w:t>
      </w:r>
    </w:p>
    <w:p w:rsidR="00E93A42" w:rsidRPr="00D33B70" w:rsidRDefault="00E93A42" w:rsidP="00E93A42">
      <w:pPr>
        <w:pStyle w:val="Text"/>
      </w:pPr>
      <w:r w:rsidRPr="00D33B70">
        <w:t xml:space="preserve">In adopting the element size for the Kardinia Creek catchment, the above issues were considered in conjunction with the final objectives of the study.  </w:t>
      </w:r>
      <w:r w:rsidR="00164093" w:rsidRPr="00D33B70">
        <w:t>In order to achieve the final objectives of the study, whilst keeping model run times within acceptable limits, the hydraulic modelling adopted a grid size of 2 metres east of the Geelong Ring Road and a grid size of 5 metres to the west.</w:t>
      </w:r>
      <w:r w:rsidRPr="00D33B70">
        <w:t xml:space="preserve">.  This allows for a high resolution within the flood mapping limit and also allows for the upper catchment west of the Geelong Ring Road to be modelled in the hydraulic model, removing uncertainties associated with the representation of the informal storages and the performance of the Geelong Ring Road Retarding Basin within the hydrological model.  As part of the detailed hydraulic modelling, a number of 1D elements </w:t>
      </w:r>
      <w:r w:rsidR="008847F7" w:rsidRPr="00D33B70">
        <w:t xml:space="preserve">have </w:t>
      </w:r>
      <w:r w:rsidRPr="00D33B70">
        <w:t>b</w:t>
      </w:r>
      <w:r w:rsidR="008847F7" w:rsidRPr="00D33B70">
        <w:t>e</w:t>
      </w:r>
      <w:r w:rsidRPr="00D33B70">
        <w:t>e</w:t>
      </w:r>
      <w:r w:rsidR="008847F7" w:rsidRPr="00D33B70">
        <w:t>n</w:t>
      </w:r>
      <w:r w:rsidRPr="00D33B70">
        <w:t xml:space="preserve"> embedded into the 2D model to improve the modelling of the catchment.  The modelling of these 1D elements (culverts/pipe networks), ensure</w:t>
      </w:r>
      <w:r w:rsidR="008847F7" w:rsidRPr="00D33B70">
        <w:t>s</w:t>
      </w:r>
      <w:r w:rsidRPr="00D33B70">
        <w:t xml:space="preserve"> that the capacity and conveyance of these systems are accurately modelled.</w:t>
      </w:r>
    </w:p>
    <w:p w:rsidR="00E93A42" w:rsidRPr="00D33B70" w:rsidRDefault="00E93A42" w:rsidP="00E93A42">
      <w:pPr>
        <w:pStyle w:val="Text"/>
      </w:pPr>
      <w:r w:rsidRPr="00D33B70">
        <w:t xml:space="preserve">Each square grid element contains information on ground topography, sampled from the DEM at 1 m spacing in the 2 m domain and 2.5 m in the 5 m domain, surface resistance to flow (Manning’s ‘n’ value) and initial water level.  Seventeen areas of different land-use type, determined from planning maps, aerial photography and site inspections, were identified for setting Manning’s ‘n’ values.  These are summarised </w:t>
      </w:r>
      <w:r w:rsidR="00BD0636" w:rsidRPr="00D33B70">
        <w:t xml:space="preserve">in </w:t>
      </w:r>
      <w:fldSimple w:instr=" REF _Ref86748221  \* MERGEFORMAT ">
        <w:r w:rsidR="00AC6986" w:rsidRPr="00D33B70">
          <w:t xml:space="preserve">Table </w:t>
        </w:r>
        <w:r w:rsidR="00AC6986">
          <w:t>4</w:t>
        </w:r>
        <w:r w:rsidR="00AC6986" w:rsidRPr="00D33B70">
          <w:noBreakHyphen/>
        </w:r>
        <w:r w:rsidR="00AC6986">
          <w:t>12</w:t>
        </w:r>
      </w:fldSimple>
      <w:r w:rsidRPr="00D33B70">
        <w:t>.</w:t>
      </w:r>
    </w:p>
    <w:p w:rsidR="00A83F38" w:rsidRPr="00D33B70" w:rsidRDefault="00A83F38" w:rsidP="00430B8C">
      <w:pPr>
        <w:pStyle w:val="Text"/>
      </w:pPr>
    </w:p>
    <w:p w:rsidR="00A83F38" w:rsidRPr="00D33B70" w:rsidRDefault="00A83F38" w:rsidP="00430B8C">
      <w:r w:rsidRPr="00D33B70">
        <w:br w:type="page"/>
      </w:r>
    </w:p>
    <w:p w:rsidR="00A83F38" w:rsidRPr="00D33B70" w:rsidRDefault="00A83F38" w:rsidP="00430B8C">
      <w:pPr>
        <w:pStyle w:val="Caption"/>
      </w:pPr>
      <w:bookmarkStart w:id="200" w:name="_Ref86747955"/>
      <w:bookmarkStart w:id="201" w:name="_Ref86753067"/>
      <w:bookmarkStart w:id="202" w:name="_Toc207788190"/>
      <w:bookmarkStart w:id="203" w:name="_Ref316483368"/>
      <w:bookmarkStart w:id="204" w:name="_Toc387308944"/>
      <w:r w:rsidRPr="00D33B70">
        <w:lastRenderedPageBreak/>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4</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8</w:t>
      </w:r>
      <w:r w:rsidR="00FF3C04" w:rsidRPr="00D33B70">
        <w:fldChar w:fldCharType="end"/>
      </w:r>
      <w:bookmarkEnd w:id="200"/>
      <w:r w:rsidR="00E93A42" w:rsidRPr="00D33B70">
        <w:tab/>
      </w:r>
      <w:r w:rsidRPr="00D33B70">
        <w:t xml:space="preserve">TUFLOW </w:t>
      </w:r>
      <w:bookmarkEnd w:id="201"/>
      <w:r w:rsidRPr="00D33B70">
        <w:t>Model Setup</w:t>
      </w:r>
      <w:bookmarkEnd w:id="202"/>
      <w:bookmarkEnd w:id="203"/>
      <w:bookmarkEnd w:id="204"/>
    </w:p>
    <w:p w:rsidR="0046729C" w:rsidRPr="00D33B70" w:rsidRDefault="0046729C" w:rsidP="00430B8C">
      <w:pPr>
        <w:pStyle w:val="Text"/>
      </w:pPr>
    </w:p>
    <w:p w:rsidR="00A83F38" w:rsidRPr="00D33B70" w:rsidRDefault="00A83F38" w:rsidP="00430B8C">
      <w:pPr>
        <w:pStyle w:val="Text"/>
      </w:pPr>
    </w:p>
    <w:p w:rsidR="00A83F38" w:rsidRPr="00D33B70" w:rsidRDefault="00A83F38" w:rsidP="009C53D0">
      <w:pPr>
        <w:pStyle w:val="Text1"/>
      </w:pPr>
    </w:p>
    <w:p w:rsidR="00A83F38" w:rsidRPr="00D33B70" w:rsidRDefault="00A83F38" w:rsidP="00430B8C"/>
    <w:p w:rsidR="00A83F38" w:rsidRPr="00D33B70" w:rsidRDefault="00A83F38" w:rsidP="00430B8C">
      <w:pPr>
        <w:pStyle w:val="Text"/>
      </w:pPr>
      <w:r w:rsidRPr="00D33B70">
        <w:br w:type="page"/>
      </w:r>
    </w:p>
    <w:p w:rsidR="00A83F38" w:rsidRPr="00D33B70" w:rsidRDefault="00325257" w:rsidP="00430B8C">
      <w:pPr>
        <w:pStyle w:val="Caption"/>
        <w:keepNext/>
        <w:spacing w:before="240"/>
        <w:ind w:right="-12"/>
      </w:pPr>
      <w:bookmarkStart w:id="205" w:name="_Ref86748221"/>
      <w:bookmarkStart w:id="206" w:name="_Toc207788213"/>
      <w:bookmarkStart w:id="207" w:name="_Toc387308983"/>
      <w:r w:rsidRPr="00D33B70">
        <w:lastRenderedPageBreak/>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4</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12</w:t>
      </w:r>
      <w:r w:rsidR="00FF3C04" w:rsidRPr="00D33B70">
        <w:fldChar w:fldCharType="end"/>
      </w:r>
      <w:bookmarkEnd w:id="205"/>
      <w:r w:rsidRPr="00D33B70">
        <w:tab/>
        <w:t>2D Domain Manning’s ‘n’ Coefficients</w:t>
      </w:r>
      <w:bookmarkEnd w:id="206"/>
      <w:bookmarkEnd w:id="207"/>
    </w:p>
    <w:tbl>
      <w:tblPr>
        <w:tblW w:w="0" w:type="auto"/>
        <w:tblInd w:w="2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1428"/>
      </w:tblGrid>
      <w:tr w:rsidR="00A83F38" w:rsidRPr="00D33B70" w:rsidTr="00D90785">
        <w:trPr>
          <w:trHeight w:val="614"/>
        </w:trPr>
        <w:tc>
          <w:tcPr>
            <w:tcW w:w="3960" w:type="dxa"/>
            <w:shd w:val="pct10" w:color="auto" w:fill="FFFFFF" w:themeFill="background1"/>
            <w:vAlign w:val="center"/>
          </w:tcPr>
          <w:p w:rsidR="00A83F38" w:rsidRPr="00D33B70" w:rsidRDefault="00A83F38" w:rsidP="00430B8C">
            <w:pPr>
              <w:pStyle w:val="ListContinue2"/>
              <w:keepNext/>
              <w:tabs>
                <w:tab w:val="clear" w:pos="-720"/>
              </w:tabs>
              <w:suppressAutoHyphens w:val="0"/>
              <w:spacing w:before="40" w:after="40"/>
              <w:jc w:val="center"/>
              <w:rPr>
                <w:rFonts w:cs="Arial"/>
                <w:b/>
              </w:rPr>
            </w:pPr>
            <w:r w:rsidRPr="00D33B70">
              <w:rPr>
                <w:rFonts w:cs="Arial"/>
                <w:b/>
              </w:rPr>
              <w:t>Land use</w:t>
            </w:r>
          </w:p>
        </w:tc>
        <w:tc>
          <w:tcPr>
            <w:tcW w:w="1428" w:type="dxa"/>
            <w:shd w:val="pct10" w:color="auto" w:fill="FFFFFF" w:themeFill="background1"/>
            <w:vAlign w:val="center"/>
          </w:tcPr>
          <w:p w:rsidR="00A83F38" w:rsidRPr="00D33B70" w:rsidRDefault="00A83F38" w:rsidP="00430B8C">
            <w:pPr>
              <w:keepNext/>
              <w:spacing w:before="40" w:after="40"/>
              <w:jc w:val="center"/>
              <w:rPr>
                <w:rFonts w:cs="Arial"/>
                <w:b/>
              </w:rPr>
            </w:pPr>
            <w:r w:rsidRPr="00D33B70">
              <w:rPr>
                <w:rFonts w:cs="Arial"/>
                <w:b/>
              </w:rPr>
              <w:t>Manning’s n</w:t>
            </w:r>
          </w:p>
        </w:tc>
      </w:tr>
      <w:tr w:rsidR="00A83F38" w:rsidRPr="00D33B70" w:rsidTr="00430B8C">
        <w:trPr>
          <w:trHeight w:val="375"/>
        </w:trPr>
        <w:tc>
          <w:tcPr>
            <w:tcW w:w="3960" w:type="dxa"/>
            <w:vAlign w:val="center"/>
          </w:tcPr>
          <w:p w:rsidR="00A83F38" w:rsidRPr="00D33B70" w:rsidRDefault="00415914" w:rsidP="00430B8C">
            <w:pPr>
              <w:spacing w:line="300" w:lineRule="atLeast"/>
              <w:jc w:val="left"/>
              <w:rPr>
                <w:rFonts w:eastAsia="Arial Unicode MS" w:cs="Arial"/>
              </w:rPr>
            </w:pPr>
            <w:r w:rsidRPr="00D33B70">
              <w:rPr>
                <w:rFonts w:cs="Arial"/>
              </w:rPr>
              <w:t xml:space="preserve">Low Density </w:t>
            </w:r>
            <w:r w:rsidR="00A83F38" w:rsidRPr="00D33B70">
              <w:rPr>
                <w:rFonts w:cs="Arial"/>
              </w:rPr>
              <w:t>Residential</w:t>
            </w:r>
          </w:p>
        </w:tc>
        <w:tc>
          <w:tcPr>
            <w:tcW w:w="1428" w:type="dxa"/>
            <w:vAlign w:val="center"/>
          </w:tcPr>
          <w:p w:rsidR="00A83F38" w:rsidRPr="00D33B70" w:rsidRDefault="00A83F38" w:rsidP="00430B8C">
            <w:pPr>
              <w:jc w:val="center"/>
              <w:rPr>
                <w:rFonts w:cs="Arial"/>
              </w:rPr>
            </w:pPr>
            <w:r w:rsidRPr="00D33B70">
              <w:rPr>
                <w:rFonts w:cs="Arial"/>
              </w:rPr>
              <w:t>0.</w:t>
            </w:r>
            <w:r w:rsidR="00415914" w:rsidRPr="00D33B70">
              <w:rPr>
                <w:rFonts w:cs="Arial"/>
              </w:rPr>
              <w:t>15</w:t>
            </w:r>
          </w:p>
        </w:tc>
      </w:tr>
      <w:tr w:rsidR="00415914" w:rsidRPr="00D33B70" w:rsidTr="00430B8C">
        <w:trPr>
          <w:trHeight w:val="375"/>
        </w:trPr>
        <w:tc>
          <w:tcPr>
            <w:tcW w:w="3960" w:type="dxa"/>
            <w:vAlign w:val="center"/>
          </w:tcPr>
          <w:p w:rsidR="00415914" w:rsidRPr="00D33B70" w:rsidRDefault="00415914" w:rsidP="00430B8C">
            <w:pPr>
              <w:spacing w:line="300" w:lineRule="atLeast"/>
              <w:jc w:val="left"/>
              <w:rPr>
                <w:rFonts w:cs="Arial"/>
              </w:rPr>
            </w:pPr>
            <w:r w:rsidRPr="00D33B70">
              <w:rPr>
                <w:rFonts w:cs="Arial"/>
              </w:rPr>
              <w:t>Residential</w:t>
            </w:r>
          </w:p>
        </w:tc>
        <w:tc>
          <w:tcPr>
            <w:tcW w:w="1428" w:type="dxa"/>
            <w:vAlign w:val="center"/>
          </w:tcPr>
          <w:p w:rsidR="00415914" w:rsidRPr="00D33B70" w:rsidRDefault="00415914" w:rsidP="00430B8C">
            <w:pPr>
              <w:jc w:val="center"/>
              <w:rPr>
                <w:rFonts w:cs="Arial"/>
              </w:rPr>
            </w:pPr>
            <w:r w:rsidRPr="00D33B70">
              <w:rPr>
                <w:rFonts w:cs="Arial"/>
              </w:rPr>
              <w:t>0.2</w:t>
            </w:r>
          </w:p>
        </w:tc>
      </w:tr>
      <w:tr w:rsidR="00415914" w:rsidRPr="00D33B70" w:rsidTr="00430B8C">
        <w:trPr>
          <w:trHeight w:val="375"/>
        </w:trPr>
        <w:tc>
          <w:tcPr>
            <w:tcW w:w="3960" w:type="dxa"/>
            <w:vAlign w:val="center"/>
          </w:tcPr>
          <w:p w:rsidR="00415914" w:rsidRPr="00D33B70" w:rsidRDefault="00415914" w:rsidP="00430B8C">
            <w:pPr>
              <w:spacing w:line="300" w:lineRule="atLeast"/>
              <w:jc w:val="left"/>
              <w:rPr>
                <w:rFonts w:cs="Arial"/>
              </w:rPr>
            </w:pPr>
            <w:r w:rsidRPr="00D33B70">
              <w:rPr>
                <w:rFonts w:cs="Arial"/>
              </w:rPr>
              <w:t>High Density Residential</w:t>
            </w:r>
          </w:p>
        </w:tc>
        <w:tc>
          <w:tcPr>
            <w:tcW w:w="1428" w:type="dxa"/>
            <w:vAlign w:val="center"/>
          </w:tcPr>
          <w:p w:rsidR="00415914" w:rsidRPr="00D33B70" w:rsidRDefault="00415914" w:rsidP="00430B8C">
            <w:pPr>
              <w:jc w:val="center"/>
              <w:rPr>
                <w:rFonts w:cs="Arial"/>
              </w:rPr>
            </w:pPr>
            <w:r w:rsidRPr="00D33B70">
              <w:rPr>
                <w:rFonts w:cs="Arial"/>
              </w:rPr>
              <w:t>0.4</w:t>
            </w:r>
          </w:p>
        </w:tc>
      </w:tr>
      <w:tr w:rsidR="00415914" w:rsidRPr="00D33B70" w:rsidTr="00430B8C">
        <w:trPr>
          <w:trHeight w:val="375"/>
        </w:trPr>
        <w:tc>
          <w:tcPr>
            <w:tcW w:w="3960" w:type="dxa"/>
            <w:vAlign w:val="center"/>
          </w:tcPr>
          <w:p w:rsidR="00415914" w:rsidRPr="00D33B70" w:rsidRDefault="00415914" w:rsidP="00430B8C">
            <w:pPr>
              <w:spacing w:line="300" w:lineRule="atLeast"/>
              <w:jc w:val="left"/>
              <w:rPr>
                <w:rFonts w:cs="Arial"/>
              </w:rPr>
            </w:pPr>
            <w:r w:rsidRPr="00D33B70">
              <w:rPr>
                <w:rFonts w:cs="Arial"/>
              </w:rPr>
              <w:t>Commercial/High Density Industrial</w:t>
            </w:r>
          </w:p>
        </w:tc>
        <w:tc>
          <w:tcPr>
            <w:tcW w:w="1428" w:type="dxa"/>
            <w:vAlign w:val="center"/>
          </w:tcPr>
          <w:p w:rsidR="00415914" w:rsidRPr="00D33B70" w:rsidRDefault="00415914" w:rsidP="00430B8C">
            <w:pPr>
              <w:jc w:val="center"/>
              <w:rPr>
                <w:rFonts w:cs="Arial"/>
              </w:rPr>
            </w:pPr>
            <w:r w:rsidRPr="00D33B70">
              <w:rPr>
                <w:rFonts w:cs="Arial"/>
              </w:rPr>
              <w:t>0.4</w:t>
            </w:r>
          </w:p>
        </w:tc>
      </w:tr>
      <w:tr w:rsidR="00415914" w:rsidRPr="00D33B70" w:rsidTr="00430B8C">
        <w:trPr>
          <w:trHeight w:val="375"/>
        </w:trPr>
        <w:tc>
          <w:tcPr>
            <w:tcW w:w="3960" w:type="dxa"/>
            <w:vAlign w:val="center"/>
          </w:tcPr>
          <w:p w:rsidR="00415914" w:rsidRPr="00D33B70" w:rsidRDefault="001E29C9" w:rsidP="00430B8C">
            <w:pPr>
              <w:spacing w:line="300" w:lineRule="atLeast"/>
              <w:jc w:val="left"/>
              <w:rPr>
                <w:rFonts w:cs="Arial"/>
              </w:rPr>
            </w:pPr>
            <w:r w:rsidRPr="00D33B70">
              <w:rPr>
                <w:rFonts w:cs="Arial"/>
              </w:rPr>
              <w:t>Building Envelope</w:t>
            </w:r>
          </w:p>
        </w:tc>
        <w:tc>
          <w:tcPr>
            <w:tcW w:w="1428" w:type="dxa"/>
            <w:vAlign w:val="center"/>
          </w:tcPr>
          <w:p w:rsidR="00415914" w:rsidRPr="00D33B70" w:rsidRDefault="001E29C9" w:rsidP="00430B8C">
            <w:pPr>
              <w:jc w:val="center"/>
              <w:rPr>
                <w:rFonts w:cs="Arial"/>
              </w:rPr>
            </w:pPr>
            <w:r w:rsidRPr="00D33B70">
              <w:rPr>
                <w:rFonts w:cs="Arial"/>
              </w:rPr>
              <w:t>1</w:t>
            </w:r>
          </w:p>
        </w:tc>
      </w:tr>
      <w:tr w:rsidR="00A83F38" w:rsidRPr="00D33B70" w:rsidTr="00430B8C">
        <w:trPr>
          <w:trHeight w:val="375"/>
        </w:trPr>
        <w:tc>
          <w:tcPr>
            <w:tcW w:w="3960" w:type="dxa"/>
            <w:vAlign w:val="center"/>
          </w:tcPr>
          <w:p w:rsidR="00A83F38" w:rsidRPr="00D33B70" w:rsidRDefault="00A83F38" w:rsidP="00430B8C">
            <w:pPr>
              <w:spacing w:line="300" w:lineRule="atLeast"/>
              <w:jc w:val="left"/>
              <w:rPr>
                <w:rFonts w:cs="Arial"/>
              </w:rPr>
            </w:pPr>
            <w:r w:rsidRPr="00D33B70">
              <w:rPr>
                <w:rFonts w:cs="Arial"/>
              </w:rPr>
              <w:t>Open Space – Maintained Grass</w:t>
            </w:r>
          </w:p>
        </w:tc>
        <w:tc>
          <w:tcPr>
            <w:tcW w:w="1428" w:type="dxa"/>
            <w:vAlign w:val="center"/>
          </w:tcPr>
          <w:p w:rsidR="00A83F38" w:rsidRPr="00D33B70" w:rsidRDefault="00A83F38" w:rsidP="00430B8C">
            <w:pPr>
              <w:jc w:val="center"/>
              <w:rPr>
                <w:rFonts w:cs="Arial"/>
              </w:rPr>
            </w:pPr>
            <w:r w:rsidRPr="00D33B70">
              <w:rPr>
                <w:rFonts w:cs="Arial"/>
              </w:rPr>
              <w:t>0.03</w:t>
            </w:r>
            <w:r w:rsidR="001E29C9" w:rsidRPr="00D33B70">
              <w:rPr>
                <w:rFonts w:cs="Arial"/>
              </w:rPr>
              <w:t>5</w:t>
            </w:r>
          </w:p>
        </w:tc>
      </w:tr>
      <w:tr w:rsidR="00A83F38" w:rsidRPr="00D33B70" w:rsidTr="00430B8C">
        <w:trPr>
          <w:trHeight w:val="375"/>
        </w:trPr>
        <w:tc>
          <w:tcPr>
            <w:tcW w:w="3960" w:type="dxa"/>
            <w:vAlign w:val="center"/>
          </w:tcPr>
          <w:p w:rsidR="00A83F38" w:rsidRPr="00D33B70" w:rsidRDefault="00A83F38" w:rsidP="00430B8C">
            <w:pPr>
              <w:spacing w:line="300" w:lineRule="atLeast"/>
              <w:jc w:val="left"/>
              <w:rPr>
                <w:rFonts w:cs="Arial"/>
              </w:rPr>
            </w:pPr>
            <w:r w:rsidRPr="00D33B70">
              <w:rPr>
                <w:rFonts w:cs="Arial"/>
              </w:rPr>
              <w:t xml:space="preserve">Open Space </w:t>
            </w:r>
            <w:r w:rsidR="001E29C9" w:rsidRPr="00D33B70">
              <w:rPr>
                <w:rFonts w:cs="Arial"/>
              </w:rPr>
              <w:t>–</w:t>
            </w:r>
            <w:r w:rsidRPr="00D33B70">
              <w:rPr>
                <w:rFonts w:cs="Arial"/>
              </w:rPr>
              <w:t xml:space="preserve"> </w:t>
            </w:r>
            <w:r w:rsidR="001E29C9" w:rsidRPr="00D33B70">
              <w:rPr>
                <w:rFonts w:cs="Arial"/>
              </w:rPr>
              <w:t>Unmaint</w:t>
            </w:r>
            <w:r w:rsidR="00430B8C" w:rsidRPr="00D33B70">
              <w:rPr>
                <w:rFonts w:cs="Arial"/>
              </w:rPr>
              <w:t>ain</w:t>
            </w:r>
            <w:r w:rsidR="001E29C9" w:rsidRPr="00D33B70">
              <w:rPr>
                <w:rFonts w:cs="Arial"/>
              </w:rPr>
              <w:t>ed Grass</w:t>
            </w:r>
          </w:p>
        </w:tc>
        <w:tc>
          <w:tcPr>
            <w:tcW w:w="1428" w:type="dxa"/>
            <w:vAlign w:val="center"/>
          </w:tcPr>
          <w:p w:rsidR="00A83F38" w:rsidRPr="00D33B70" w:rsidRDefault="00A83F38" w:rsidP="00430B8C">
            <w:pPr>
              <w:jc w:val="center"/>
              <w:rPr>
                <w:rFonts w:cs="Arial"/>
              </w:rPr>
            </w:pPr>
            <w:r w:rsidRPr="00D33B70">
              <w:rPr>
                <w:rFonts w:cs="Arial"/>
              </w:rPr>
              <w:t>0.05</w:t>
            </w:r>
          </w:p>
        </w:tc>
      </w:tr>
      <w:tr w:rsidR="001E29C9" w:rsidRPr="00D33B70" w:rsidTr="00430B8C">
        <w:trPr>
          <w:trHeight w:val="375"/>
        </w:trPr>
        <w:tc>
          <w:tcPr>
            <w:tcW w:w="3960" w:type="dxa"/>
            <w:vAlign w:val="center"/>
          </w:tcPr>
          <w:p w:rsidR="001E29C9" w:rsidRPr="00D33B70" w:rsidRDefault="001E29C9" w:rsidP="00430B8C">
            <w:pPr>
              <w:spacing w:line="300" w:lineRule="atLeast"/>
              <w:jc w:val="left"/>
              <w:rPr>
                <w:rFonts w:cs="Arial"/>
              </w:rPr>
            </w:pPr>
            <w:r w:rsidRPr="00D33B70">
              <w:rPr>
                <w:rFonts w:cs="Arial"/>
              </w:rPr>
              <w:t>Open Space – Low Density Vegetation</w:t>
            </w:r>
          </w:p>
        </w:tc>
        <w:tc>
          <w:tcPr>
            <w:tcW w:w="1428" w:type="dxa"/>
            <w:vAlign w:val="center"/>
          </w:tcPr>
          <w:p w:rsidR="001E29C9" w:rsidRPr="00D33B70" w:rsidRDefault="001E29C9" w:rsidP="00430B8C">
            <w:pPr>
              <w:jc w:val="center"/>
              <w:rPr>
                <w:rFonts w:cs="Arial"/>
              </w:rPr>
            </w:pPr>
            <w:r w:rsidRPr="00D33B70">
              <w:rPr>
                <w:rFonts w:cs="Arial"/>
              </w:rPr>
              <w:t>0.55</w:t>
            </w:r>
          </w:p>
        </w:tc>
      </w:tr>
      <w:tr w:rsidR="001E29C9" w:rsidRPr="00D33B70" w:rsidTr="00430B8C">
        <w:trPr>
          <w:trHeight w:val="375"/>
        </w:trPr>
        <w:tc>
          <w:tcPr>
            <w:tcW w:w="3960" w:type="dxa"/>
            <w:vAlign w:val="center"/>
          </w:tcPr>
          <w:p w:rsidR="001E29C9" w:rsidRPr="00D33B70" w:rsidRDefault="001E29C9" w:rsidP="00430B8C">
            <w:pPr>
              <w:spacing w:line="300" w:lineRule="atLeast"/>
              <w:jc w:val="left"/>
              <w:rPr>
                <w:rFonts w:cs="Arial"/>
              </w:rPr>
            </w:pPr>
            <w:r w:rsidRPr="00D33B70">
              <w:rPr>
                <w:rFonts w:cs="Arial"/>
              </w:rPr>
              <w:t>Open Space – Medium Density Vegetation</w:t>
            </w:r>
          </w:p>
        </w:tc>
        <w:tc>
          <w:tcPr>
            <w:tcW w:w="1428" w:type="dxa"/>
            <w:vAlign w:val="center"/>
          </w:tcPr>
          <w:p w:rsidR="001E29C9" w:rsidRPr="00D33B70" w:rsidRDefault="001E29C9" w:rsidP="00430B8C">
            <w:pPr>
              <w:jc w:val="center"/>
              <w:rPr>
                <w:rFonts w:cs="Arial"/>
              </w:rPr>
            </w:pPr>
            <w:r w:rsidRPr="00D33B70">
              <w:rPr>
                <w:rFonts w:cs="Arial"/>
              </w:rPr>
              <w:t>0.65</w:t>
            </w:r>
          </w:p>
        </w:tc>
      </w:tr>
      <w:tr w:rsidR="001E29C9" w:rsidRPr="00D33B70" w:rsidTr="00430B8C">
        <w:trPr>
          <w:trHeight w:val="375"/>
        </w:trPr>
        <w:tc>
          <w:tcPr>
            <w:tcW w:w="3960" w:type="dxa"/>
            <w:vAlign w:val="center"/>
          </w:tcPr>
          <w:p w:rsidR="001E29C9" w:rsidRPr="00D33B70" w:rsidRDefault="001E29C9" w:rsidP="00430B8C">
            <w:pPr>
              <w:spacing w:line="300" w:lineRule="atLeast"/>
              <w:jc w:val="left"/>
              <w:rPr>
                <w:rFonts w:cs="Arial"/>
              </w:rPr>
            </w:pPr>
            <w:r w:rsidRPr="00D33B70">
              <w:rPr>
                <w:rFonts w:cs="Arial"/>
              </w:rPr>
              <w:t>Open Space – High Density Vegetation</w:t>
            </w:r>
          </w:p>
        </w:tc>
        <w:tc>
          <w:tcPr>
            <w:tcW w:w="1428" w:type="dxa"/>
            <w:vAlign w:val="center"/>
          </w:tcPr>
          <w:p w:rsidR="001E29C9" w:rsidRPr="00D33B70" w:rsidRDefault="001E29C9" w:rsidP="00430B8C">
            <w:pPr>
              <w:jc w:val="center"/>
              <w:rPr>
                <w:rFonts w:cs="Arial"/>
              </w:rPr>
            </w:pPr>
            <w:r w:rsidRPr="00D33B70">
              <w:rPr>
                <w:rFonts w:cs="Arial"/>
              </w:rPr>
              <w:t>0.1</w:t>
            </w:r>
          </w:p>
        </w:tc>
      </w:tr>
      <w:tr w:rsidR="001E29C9" w:rsidRPr="00D33B70" w:rsidTr="00430B8C">
        <w:trPr>
          <w:trHeight w:val="375"/>
        </w:trPr>
        <w:tc>
          <w:tcPr>
            <w:tcW w:w="3960" w:type="dxa"/>
            <w:vAlign w:val="center"/>
          </w:tcPr>
          <w:p w:rsidR="001E29C9" w:rsidRPr="00D33B70" w:rsidRDefault="001E29C9" w:rsidP="00430B8C">
            <w:pPr>
              <w:spacing w:line="300" w:lineRule="atLeast"/>
              <w:jc w:val="left"/>
              <w:rPr>
                <w:rFonts w:cs="Arial"/>
              </w:rPr>
            </w:pPr>
            <w:r w:rsidRPr="00D33B70">
              <w:rPr>
                <w:rFonts w:cs="Arial"/>
              </w:rPr>
              <w:t>Sports Ovals</w:t>
            </w:r>
          </w:p>
        </w:tc>
        <w:tc>
          <w:tcPr>
            <w:tcW w:w="1428" w:type="dxa"/>
            <w:vAlign w:val="center"/>
          </w:tcPr>
          <w:p w:rsidR="001E29C9" w:rsidRPr="00D33B70" w:rsidRDefault="001E29C9" w:rsidP="00430B8C">
            <w:pPr>
              <w:jc w:val="center"/>
              <w:rPr>
                <w:rFonts w:cs="Arial"/>
              </w:rPr>
            </w:pPr>
            <w:r w:rsidRPr="00D33B70">
              <w:rPr>
                <w:rFonts w:cs="Arial"/>
              </w:rPr>
              <w:t>0.03</w:t>
            </w:r>
          </w:p>
        </w:tc>
      </w:tr>
      <w:tr w:rsidR="001E29C9" w:rsidRPr="00D33B70" w:rsidTr="00430B8C">
        <w:trPr>
          <w:trHeight w:val="375"/>
        </w:trPr>
        <w:tc>
          <w:tcPr>
            <w:tcW w:w="3960" w:type="dxa"/>
            <w:vAlign w:val="center"/>
          </w:tcPr>
          <w:p w:rsidR="001E29C9" w:rsidRPr="00D33B70" w:rsidRDefault="001E29C9" w:rsidP="00430B8C">
            <w:pPr>
              <w:spacing w:line="300" w:lineRule="atLeast"/>
              <w:jc w:val="left"/>
              <w:rPr>
                <w:rFonts w:cs="Arial"/>
              </w:rPr>
            </w:pPr>
            <w:r w:rsidRPr="00D33B70">
              <w:rPr>
                <w:rFonts w:cs="Arial"/>
              </w:rPr>
              <w:t>Easements</w:t>
            </w:r>
          </w:p>
        </w:tc>
        <w:tc>
          <w:tcPr>
            <w:tcW w:w="1428" w:type="dxa"/>
            <w:vAlign w:val="center"/>
          </w:tcPr>
          <w:p w:rsidR="001E29C9" w:rsidRPr="00D33B70" w:rsidRDefault="001E29C9" w:rsidP="00430B8C">
            <w:pPr>
              <w:jc w:val="center"/>
              <w:rPr>
                <w:rFonts w:cs="Arial"/>
              </w:rPr>
            </w:pPr>
            <w:r w:rsidRPr="00D33B70">
              <w:rPr>
                <w:rFonts w:cs="Arial"/>
              </w:rPr>
              <w:t>0.045</w:t>
            </w:r>
          </w:p>
        </w:tc>
      </w:tr>
      <w:tr w:rsidR="001E29C9" w:rsidRPr="00D33B70" w:rsidTr="00430B8C">
        <w:trPr>
          <w:trHeight w:val="375"/>
        </w:trPr>
        <w:tc>
          <w:tcPr>
            <w:tcW w:w="3960" w:type="dxa"/>
            <w:vAlign w:val="center"/>
          </w:tcPr>
          <w:p w:rsidR="001E29C9" w:rsidRPr="00D33B70" w:rsidRDefault="001E29C9" w:rsidP="00430B8C">
            <w:pPr>
              <w:spacing w:line="300" w:lineRule="atLeast"/>
              <w:jc w:val="left"/>
              <w:rPr>
                <w:rFonts w:cs="Arial"/>
              </w:rPr>
            </w:pPr>
            <w:r w:rsidRPr="00D33B70">
              <w:rPr>
                <w:rFonts w:cs="Arial"/>
              </w:rPr>
              <w:t>Developed Parks/School Fields</w:t>
            </w:r>
          </w:p>
        </w:tc>
        <w:tc>
          <w:tcPr>
            <w:tcW w:w="1428" w:type="dxa"/>
            <w:vAlign w:val="center"/>
          </w:tcPr>
          <w:p w:rsidR="001E29C9" w:rsidRPr="00D33B70" w:rsidRDefault="001E29C9" w:rsidP="00430B8C">
            <w:pPr>
              <w:jc w:val="center"/>
              <w:rPr>
                <w:rFonts w:cs="Arial"/>
              </w:rPr>
            </w:pPr>
            <w:r w:rsidRPr="00D33B70">
              <w:rPr>
                <w:rFonts w:cs="Arial"/>
              </w:rPr>
              <w:t>0.05</w:t>
            </w:r>
          </w:p>
        </w:tc>
      </w:tr>
      <w:tr w:rsidR="001E29C9" w:rsidRPr="00D33B70" w:rsidTr="00430B8C">
        <w:trPr>
          <w:trHeight w:val="375"/>
        </w:trPr>
        <w:tc>
          <w:tcPr>
            <w:tcW w:w="3960" w:type="dxa"/>
            <w:vAlign w:val="center"/>
          </w:tcPr>
          <w:p w:rsidR="001E29C9" w:rsidRPr="00D33B70" w:rsidRDefault="001E29C9" w:rsidP="00430B8C">
            <w:pPr>
              <w:spacing w:line="300" w:lineRule="atLeast"/>
              <w:jc w:val="left"/>
              <w:rPr>
                <w:rFonts w:cs="Arial"/>
              </w:rPr>
            </w:pPr>
            <w:r w:rsidRPr="00D33B70">
              <w:rPr>
                <w:rFonts w:cs="Arial"/>
              </w:rPr>
              <w:t>Schools and Public Areas of Similar Type</w:t>
            </w:r>
          </w:p>
        </w:tc>
        <w:tc>
          <w:tcPr>
            <w:tcW w:w="1428" w:type="dxa"/>
            <w:vAlign w:val="center"/>
          </w:tcPr>
          <w:p w:rsidR="001E29C9" w:rsidRPr="00D33B70" w:rsidRDefault="001E29C9" w:rsidP="00430B8C">
            <w:pPr>
              <w:jc w:val="center"/>
              <w:rPr>
                <w:rFonts w:cs="Arial"/>
              </w:rPr>
            </w:pPr>
            <w:r w:rsidRPr="00D33B70">
              <w:rPr>
                <w:rFonts w:cs="Arial"/>
              </w:rPr>
              <w:t>0.2</w:t>
            </w:r>
          </w:p>
        </w:tc>
      </w:tr>
      <w:tr w:rsidR="001E29C9" w:rsidRPr="00D33B70" w:rsidTr="00430B8C">
        <w:trPr>
          <w:trHeight w:val="375"/>
        </w:trPr>
        <w:tc>
          <w:tcPr>
            <w:tcW w:w="3960" w:type="dxa"/>
            <w:vAlign w:val="center"/>
          </w:tcPr>
          <w:p w:rsidR="001E29C9" w:rsidRPr="00D33B70" w:rsidRDefault="001E29C9" w:rsidP="00430B8C">
            <w:pPr>
              <w:spacing w:line="300" w:lineRule="atLeast"/>
              <w:jc w:val="left"/>
              <w:rPr>
                <w:rFonts w:cs="Arial"/>
              </w:rPr>
            </w:pPr>
            <w:r w:rsidRPr="00D33B70">
              <w:rPr>
                <w:rFonts w:cs="Arial"/>
              </w:rPr>
              <w:t>Cemetery</w:t>
            </w:r>
          </w:p>
        </w:tc>
        <w:tc>
          <w:tcPr>
            <w:tcW w:w="1428" w:type="dxa"/>
            <w:vAlign w:val="center"/>
          </w:tcPr>
          <w:p w:rsidR="001E29C9" w:rsidRPr="00D33B70" w:rsidRDefault="001E29C9" w:rsidP="00430B8C">
            <w:pPr>
              <w:jc w:val="center"/>
              <w:rPr>
                <w:rFonts w:cs="Arial"/>
              </w:rPr>
            </w:pPr>
            <w:r w:rsidRPr="00D33B70">
              <w:rPr>
                <w:rFonts w:cs="Arial"/>
              </w:rPr>
              <w:t>0.1</w:t>
            </w:r>
          </w:p>
        </w:tc>
      </w:tr>
      <w:tr w:rsidR="00A83F38" w:rsidRPr="00D33B70" w:rsidTr="00430B8C">
        <w:trPr>
          <w:trHeight w:val="375"/>
        </w:trPr>
        <w:tc>
          <w:tcPr>
            <w:tcW w:w="3960" w:type="dxa"/>
            <w:vAlign w:val="center"/>
          </w:tcPr>
          <w:p w:rsidR="00A83F38" w:rsidRPr="00D33B70" w:rsidRDefault="00A83F38" w:rsidP="00430B8C">
            <w:pPr>
              <w:spacing w:line="300" w:lineRule="atLeast"/>
              <w:jc w:val="left"/>
              <w:rPr>
                <w:rFonts w:eastAsia="Arial Unicode MS" w:cs="Arial"/>
              </w:rPr>
            </w:pPr>
            <w:r w:rsidRPr="00D33B70">
              <w:rPr>
                <w:rFonts w:cs="Arial"/>
              </w:rPr>
              <w:t>Roads</w:t>
            </w:r>
          </w:p>
        </w:tc>
        <w:tc>
          <w:tcPr>
            <w:tcW w:w="1428" w:type="dxa"/>
            <w:vAlign w:val="center"/>
          </w:tcPr>
          <w:p w:rsidR="00A83F38" w:rsidRPr="00D33B70" w:rsidRDefault="00A83F38" w:rsidP="00430B8C">
            <w:pPr>
              <w:jc w:val="center"/>
              <w:rPr>
                <w:rFonts w:cs="Arial"/>
              </w:rPr>
            </w:pPr>
            <w:r w:rsidRPr="00D33B70">
              <w:rPr>
                <w:rFonts w:cs="Arial"/>
              </w:rPr>
              <w:t>0.02</w:t>
            </w:r>
            <w:r w:rsidR="001E29C9" w:rsidRPr="00D33B70">
              <w:rPr>
                <w:rFonts w:cs="Arial"/>
              </w:rPr>
              <w:t>5</w:t>
            </w:r>
          </w:p>
        </w:tc>
      </w:tr>
      <w:tr w:rsidR="00A83F38" w:rsidRPr="00D33B70" w:rsidTr="00430B8C">
        <w:trPr>
          <w:trHeight w:val="375"/>
        </w:trPr>
        <w:tc>
          <w:tcPr>
            <w:tcW w:w="3960" w:type="dxa"/>
            <w:vAlign w:val="center"/>
          </w:tcPr>
          <w:p w:rsidR="00A83F38" w:rsidRPr="00D33B70" w:rsidRDefault="001E29C9" w:rsidP="00430B8C">
            <w:pPr>
              <w:spacing w:line="300" w:lineRule="atLeast"/>
              <w:jc w:val="left"/>
              <w:rPr>
                <w:rFonts w:eastAsia="Arial Unicode MS" w:cs="Arial"/>
              </w:rPr>
            </w:pPr>
            <w:r w:rsidRPr="00D33B70">
              <w:rPr>
                <w:rFonts w:eastAsia="Arial Unicode MS" w:cs="Arial"/>
              </w:rPr>
              <w:t>Open Water</w:t>
            </w:r>
          </w:p>
        </w:tc>
        <w:tc>
          <w:tcPr>
            <w:tcW w:w="1428" w:type="dxa"/>
            <w:vAlign w:val="center"/>
          </w:tcPr>
          <w:p w:rsidR="00A83F38" w:rsidRPr="00D33B70" w:rsidRDefault="00325257" w:rsidP="00430B8C">
            <w:pPr>
              <w:jc w:val="center"/>
              <w:rPr>
                <w:rFonts w:cs="Arial"/>
              </w:rPr>
            </w:pPr>
            <w:r w:rsidRPr="00D33B70">
              <w:rPr>
                <w:rFonts w:cs="Arial"/>
              </w:rPr>
              <w:t>0.0</w:t>
            </w:r>
            <w:r w:rsidR="001E29C9" w:rsidRPr="00D33B70">
              <w:rPr>
                <w:rFonts w:cs="Arial"/>
              </w:rPr>
              <w:t>3</w:t>
            </w:r>
          </w:p>
        </w:tc>
      </w:tr>
    </w:tbl>
    <w:p w:rsidR="00D76CAA" w:rsidRPr="00D33B70" w:rsidRDefault="00D76CAA" w:rsidP="00B26EF8">
      <w:pPr>
        <w:pStyle w:val="Heading3"/>
      </w:pPr>
      <w:bookmarkStart w:id="208" w:name="_Toc207788153"/>
      <w:bookmarkStart w:id="209" w:name="_Toc387308888"/>
      <w:r w:rsidRPr="00D33B70">
        <w:t>Model Development</w:t>
      </w:r>
      <w:bookmarkEnd w:id="209"/>
    </w:p>
    <w:p w:rsidR="00D76CAA" w:rsidRPr="00D33B70" w:rsidRDefault="00D76CAA" w:rsidP="00B26EF8">
      <w:pPr>
        <w:pStyle w:val="Heading4"/>
      </w:pPr>
      <w:bookmarkStart w:id="210" w:name="_Ref349208149"/>
      <w:bookmarkStart w:id="211" w:name="_Toc387308889"/>
      <w:r w:rsidRPr="00D33B70">
        <w:t>Pipe Network Setup</w:t>
      </w:r>
      <w:bookmarkEnd w:id="210"/>
      <w:bookmarkEnd w:id="211"/>
    </w:p>
    <w:p w:rsidR="00E93A42" w:rsidRPr="00D33B70" w:rsidRDefault="00E93A42" w:rsidP="00E93A42">
      <w:pPr>
        <w:pStyle w:val="Text"/>
      </w:pPr>
      <w:r w:rsidRPr="00D33B70">
        <w:t>Pipe elements within the Highton drainage area of 300mm diameter/width and above have been included as 1D elements within the model.  The 1D pipe network (</w:t>
      </w:r>
      <w:r w:rsidR="008F1E39" w:rsidRPr="00D33B70">
        <w:fldChar w:fldCharType="begin"/>
      </w:r>
      <w:r w:rsidR="008F1E39" w:rsidRPr="00D33B70">
        <w:instrText xml:space="preserve"> REF _Ref86747955 \h  \* MERGEFORMAT </w:instrText>
      </w:r>
      <w:r w:rsidR="008F1E39" w:rsidRPr="00D33B70">
        <w:fldChar w:fldCharType="separate"/>
      </w:r>
      <w:r w:rsidR="00AC6986" w:rsidRPr="00D33B70">
        <w:t xml:space="preserve">Figure </w:t>
      </w:r>
      <w:r w:rsidR="00AC6986">
        <w:rPr>
          <w:noProof/>
        </w:rPr>
        <w:t>4</w:t>
      </w:r>
      <w:r w:rsidR="00AC6986" w:rsidRPr="00D33B70">
        <w:rPr>
          <w:noProof/>
        </w:rPr>
        <w:noBreakHyphen/>
      </w:r>
      <w:r w:rsidR="00AC6986">
        <w:rPr>
          <w:noProof/>
        </w:rPr>
        <w:t>8</w:t>
      </w:r>
      <w:r w:rsidR="008F1E39" w:rsidRPr="00D33B70">
        <w:fldChar w:fldCharType="end"/>
      </w:r>
      <w:r w:rsidRPr="00D33B70">
        <w:t>) was developed using data supplied by the CoGG (refer to Section</w:t>
      </w:r>
      <w:r w:rsidR="00BD0636" w:rsidRPr="00D33B70">
        <w:t xml:space="preserve"> </w:t>
      </w:r>
      <w:r w:rsidR="008F1E39" w:rsidRPr="00D33B70">
        <w:fldChar w:fldCharType="begin"/>
      </w:r>
      <w:r w:rsidR="008F1E39" w:rsidRPr="00D33B70">
        <w:instrText xml:space="preserve"> REF _Ref316483286 \r \h  \* MERGEFORMAT </w:instrText>
      </w:r>
      <w:r w:rsidR="008F1E39" w:rsidRPr="00D33B70">
        <w:fldChar w:fldCharType="separate"/>
      </w:r>
      <w:r w:rsidR="00AC6986">
        <w:t>3.3</w:t>
      </w:r>
      <w:r w:rsidR="008F1E39" w:rsidRPr="00D33B70">
        <w:fldChar w:fldCharType="end"/>
      </w:r>
      <w:r w:rsidRPr="00D33B70">
        <w:t>).  There were many gaps in the supplied GIS data which required filling before the pipe network could be represented accurately within the 2D model.  The steps and assumptions made to complete the 1D pipe network are detailed below:</w:t>
      </w:r>
    </w:p>
    <w:p w:rsidR="00E93A42" w:rsidRPr="00D33B70" w:rsidRDefault="00E93A42" w:rsidP="00E93A42">
      <w:pPr>
        <w:pStyle w:val="Text"/>
        <w:numPr>
          <w:ilvl w:val="0"/>
          <w:numId w:val="14"/>
        </w:numPr>
      </w:pPr>
      <w:r w:rsidRPr="00D33B70">
        <w:t>Circular pipes of less than 300mm diameter and rectangular box culverts of less than 300mm width were removed from the pipe network.  As result of this there was a number of "stand alone" pipes present which did not connect to the remaining pipe network.  These were also removed on a case by case basis.</w:t>
      </w:r>
    </w:p>
    <w:p w:rsidR="00E93A42" w:rsidRPr="00D33B70" w:rsidRDefault="00E93A42" w:rsidP="00E93A42">
      <w:pPr>
        <w:pStyle w:val="Text"/>
        <w:numPr>
          <w:ilvl w:val="0"/>
          <w:numId w:val="14"/>
        </w:numPr>
      </w:pPr>
      <w:r w:rsidRPr="00D33B70">
        <w:t>Missing pipe dimensions and inverts were filled using information from adjacent pipes.</w:t>
      </w:r>
    </w:p>
    <w:p w:rsidR="00E93A42" w:rsidRPr="00D33B70" w:rsidRDefault="00E93A42" w:rsidP="00E93A42">
      <w:pPr>
        <w:pStyle w:val="Text"/>
        <w:numPr>
          <w:ilvl w:val="0"/>
          <w:numId w:val="14"/>
        </w:numPr>
      </w:pPr>
      <w:r w:rsidRPr="00D33B70">
        <w:t>Where possible missing inverts and dimensions were interpolated.</w:t>
      </w:r>
    </w:p>
    <w:p w:rsidR="00E93A42" w:rsidRPr="00D33B70" w:rsidRDefault="00E93A42" w:rsidP="00E93A42">
      <w:pPr>
        <w:pStyle w:val="Text"/>
        <w:numPr>
          <w:ilvl w:val="0"/>
          <w:numId w:val="14"/>
        </w:numPr>
      </w:pPr>
      <w:r w:rsidRPr="00D33B70">
        <w:t>All plans supplied by the CoGG were reviewed to either fill missing data or to confirm the accuracy of present data.</w:t>
      </w:r>
    </w:p>
    <w:p w:rsidR="00E93A42" w:rsidRPr="00D33B70" w:rsidRDefault="00E93A42" w:rsidP="00E93A42">
      <w:pPr>
        <w:pStyle w:val="Text"/>
        <w:ind w:left="1571"/>
      </w:pPr>
      <w:r w:rsidRPr="00D33B70">
        <w:lastRenderedPageBreak/>
        <w:t>During this process it became evident that plans that were in imperial measurements and some that were in metric measurements had not had their datum converted to m</w:t>
      </w:r>
      <w:r w:rsidR="006764FA" w:rsidRPr="00D33B70">
        <w:t xml:space="preserve"> </w:t>
      </w:r>
      <w:r w:rsidRPr="00D33B70">
        <w:t>AHD.  Where possible datums were adjusted to m</w:t>
      </w:r>
      <w:r w:rsidR="006764FA" w:rsidRPr="00D33B70">
        <w:t xml:space="preserve"> </w:t>
      </w:r>
      <w:r w:rsidRPr="00D33B70">
        <w:t>AHD.  This was done by several methods including; matching to downstream pipe networks, using depths from plans or GIS data and using known datum conversions (GW&amp;ST).</w:t>
      </w:r>
    </w:p>
    <w:p w:rsidR="00E93A42" w:rsidRPr="00D33B70" w:rsidRDefault="00E93A42" w:rsidP="00E93A42">
      <w:pPr>
        <w:pStyle w:val="Text"/>
        <w:numPr>
          <w:ilvl w:val="0"/>
          <w:numId w:val="14"/>
        </w:numPr>
      </w:pPr>
      <w:r w:rsidRPr="00D33B70">
        <w:t>Following the review of the plans, remaining inverts were interpolated assuming a minimum of 450mm cover for drains within easements and 600mm for those within road reserves.</w:t>
      </w:r>
    </w:p>
    <w:p w:rsidR="00E93A42" w:rsidRPr="00D33B70" w:rsidRDefault="00E93A42" w:rsidP="00E93A42">
      <w:pPr>
        <w:pStyle w:val="Text"/>
        <w:numPr>
          <w:ilvl w:val="0"/>
          <w:numId w:val="14"/>
        </w:numPr>
      </w:pPr>
      <w:r w:rsidRPr="00D33B70">
        <w:t xml:space="preserve">To verify the </w:t>
      </w:r>
      <w:r w:rsidR="00574EEB" w:rsidRPr="00D33B70">
        <w:t>in</w:t>
      </w:r>
      <w:r w:rsidRPr="00D33B70">
        <w:t>filled inverts</w:t>
      </w:r>
      <w:r w:rsidR="00574EEB" w:rsidRPr="00D33B70">
        <w:t xml:space="preserve">, field </w:t>
      </w:r>
      <w:r w:rsidRPr="00D33B70">
        <w:t>survey was required (refer to Section</w:t>
      </w:r>
      <w:r w:rsidR="00B2110D" w:rsidRPr="00D33B70">
        <w:t xml:space="preserve"> </w:t>
      </w:r>
      <w:r w:rsidR="00B2110D" w:rsidRPr="00D33B70">
        <w:fldChar w:fldCharType="begin"/>
      </w:r>
      <w:r w:rsidR="00B2110D" w:rsidRPr="00D33B70">
        <w:instrText xml:space="preserve"> REF _Ref316480377 \r \h </w:instrText>
      </w:r>
      <w:r w:rsidR="00B2110D" w:rsidRPr="00D33B70">
        <w:fldChar w:fldCharType="separate"/>
      </w:r>
      <w:r w:rsidR="00AC6986">
        <w:t>3.5</w:t>
      </w:r>
      <w:r w:rsidR="00B2110D" w:rsidRPr="00D33B70">
        <w:fldChar w:fldCharType="end"/>
      </w:r>
      <w:r w:rsidRPr="00D33B70">
        <w:t xml:space="preserve">).  The survey was taken at </w:t>
      </w:r>
      <w:r w:rsidR="00574EEB" w:rsidRPr="00D33B70">
        <w:t xml:space="preserve">selected </w:t>
      </w:r>
      <w:r w:rsidRPr="00D33B70">
        <w:t xml:space="preserve">pits which would allow for a section of pipe network to have its </w:t>
      </w:r>
      <w:r w:rsidR="00574EEB" w:rsidRPr="00D33B70">
        <w:t xml:space="preserve">assumed </w:t>
      </w:r>
      <w:r w:rsidRPr="00D33B70">
        <w:t>inverts</w:t>
      </w:r>
      <w:r w:rsidR="00574EEB" w:rsidRPr="00D33B70">
        <w:t>, as determined by the previously mention</w:t>
      </w:r>
      <w:r w:rsidR="00853BA9" w:rsidRPr="00D33B70">
        <w:t>ed</w:t>
      </w:r>
      <w:r w:rsidR="00574EEB" w:rsidRPr="00D33B70">
        <w:t xml:space="preserve"> assumptions, </w:t>
      </w:r>
      <w:r w:rsidRPr="00D33B70">
        <w:t>verified.</w:t>
      </w:r>
    </w:p>
    <w:p w:rsidR="00D76CAA" w:rsidRPr="00D33B70" w:rsidRDefault="00D76CAA" w:rsidP="00B26EF8">
      <w:pPr>
        <w:pStyle w:val="Heading4"/>
      </w:pPr>
      <w:bookmarkStart w:id="212" w:name="_Toc387308890"/>
      <w:r w:rsidRPr="00D33B70">
        <w:t>Pits</w:t>
      </w:r>
      <w:bookmarkEnd w:id="212"/>
    </w:p>
    <w:p w:rsidR="00E93A42" w:rsidRPr="00D33B70" w:rsidRDefault="00E93A42" w:rsidP="00E93A42">
      <w:pPr>
        <w:pStyle w:val="Text"/>
      </w:pPr>
      <w:r w:rsidRPr="00D33B70">
        <w:t>In order to connect the 1D pipe network with the 2D domain hydraulic connectors are required.  For the Highton drainage/flood study this has been achieved using pit connections.  All side entry and grated entry pits that connect to pipes modelled were included in the model as connectors.  Side entry pits were assumed to be 1200m wide and 150mm high kerb inlets.  For double and triple side entry the width was adjusted accordingly.  Grated pits were assumed to have a 900mm x 900mm square inlet.</w:t>
      </w:r>
    </w:p>
    <w:p w:rsidR="00E93A42" w:rsidRPr="00D33B70" w:rsidRDefault="00E93A42" w:rsidP="00E93A42">
      <w:pPr>
        <w:pStyle w:val="Text"/>
      </w:pPr>
      <w:r w:rsidRPr="00D33B70">
        <w:t>In order to represent the inflow/discharge capacity of the above mentioned pits, curves have been developed specifying a depth – inflow/discharge to model the conveyance of the pit given the depth of water at an individual pit within the 2D domain.  The inlet pits were derived by adapting previous work undertaken by BMT WBM for the Bankstown City Council in NSW (BMT WBM 2009) and adapted to suit the dimensions of the pits found within the Highton model.  The derived curves assume that there is no blockage at the pit entries and have been sensibility checked using standard hydraulic calculations.</w:t>
      </w:r>
    </w:p>
    <w:p w:rsidR="00E93A42" w:rsidRPr="00D33B70" w:rsidRDefault="00E93A42" w:rsidP="00E93A42">
      <w:pPr>
        <w:pStyle w:val="Text"/>
      </w:pPr>
      <w:r w:rsidRPr="00D33B70">
        <w:t>Other connection types such as wing wall entries or exits and structures within retarding basins were modelled as appropriate on a case by case basis.</w:t>
      </w:r>
    </w:p>
    <w:p w:rsidR="00E93A42" w:rsidRPr="00D33B70" w:rsidRDefault="00E93A42" w:rsidP="00E93A42">
      <w:pPr>
        <w:pStyle w:val="Text"/>
      </w:pPr>
      <w:r w:rsidRPr="00D33B70">
        <w:t xml:space="preserve">All pits within the model, including sealed junction pits, which were not modelled as connections, have been assigned an appropriate form loss using the Engelhund loss approach, a new feature in TUFLOW that automatically assigns losses based on the characteristics of the drainage network.  Where there are complex hydraulic structures such as retarding basin inflows and outflows losses have been specified based on the characteristics of the structure.  These losses are based on those described in Melbourne Water's </w:t>
      </w:r>
      <w:r w:rsidRPr="00D33B70">
        <w:rPr>
          <w:i/>
        </w:rPr>
        <w:t>Land Development Manual</w:t>
      </w:r>
      <w:r w:rsidRPr="00D33B70">
        <w:t xml:space="preserve"> (Melbourne Water 1998).</w:t>
      </w:r>
    </w:p>
    <w:p w:rsidR="00D76CAA" w:rsidRPr="00D33B70" w:rsidRDefault="00D76CAA" w:rsidP="00B26EF8">
      <w:pPr>
        <w:pStyle w:val="Heading4"/>
      </w:pPr>
      <w:bookmarkStart w:id="213" w:name="_Toc387308891"/>
      <w:r w:rsidRPr="00D33B70">
        <w:t>Multiple Domain Linking</w:t>
      </w:r>
      <w:bookmarkEnd w:id="213"/>
    </w:p>
    <w:p w:rsidR="00D76CAA" w:rsidRPr="00D33B70" w:rsidRDefault="00D76CAA" w:rsidP="00D76CAA">
      <w:pPr>
        <w:pStyle w:val="Text"/>
      </w:pPr>
      <w:r w:rsidRPr="00D33B70">
        <w:t xml:space="preserve">The Highton hydraulic model was developed using multiple 2D domains to represent the floodplain.  As shown in Figure 4-1 a 2 metre grid element size was used on the east side of the Geelong Ring Road where the area of interest for this study is located and a 5 metre grid element size was used on the west side of the Geelong Ring Road.  The 5 metre domain was included within the hydraulic model in order to remove the uncertainties associated with applying the routed flow from the hydrologic model downstream of the Geelong Ring Road.  These include the lack of representation of </w:t>
      </w:r>
      <w:r w:rsidRPr="00D33B70">
        <w:lastRenderedPageBreak/>
        <w:t>the informal storages ie. farm dams, natural depressions, etc and the performance of the Geelong Ring Road retarding Basin within the hydrologic model.</w:t>
      </w:r>
    </w:p>
    <w:p w:rsidR="00D76CAA" w:rsidRPr="00D33B70" w:rsidRDefault="00D76CAA" w:rsidP="00D76CAA">
      <w:pPr>
        <w:pStyle w:val="Text"/>
      </w:pPr>
      <w:r w:rsidRPr="00D33B70">
        <w:t xml:space="preserve">As shown in </w:t>
      </w:r>
      <w:r w:rsidR="00AE6CC8" w:rsidRPr="00D33B70">
        <w:t xml:space="preserve">Figure 4-1, </w:t>
      </w:r>
      <w:r w:rsidRPr="00D33B70">
        <w:t>the two 2D domains are linked together via 1D pipe elements representing the Geelong Ring Road Retarding Basin outlet and a drainage culvert under the road to the north.  No 2D2D linking has been used in this model as the domains join along the centre of the Geelong Ring Road which is immune to flooding in a 1% AEP flood event.  The Wandana Drive underpass was also not modelled as it will remain dry in the 1% AEP event</w:t>
      </w:r>
      <w:r w:rsidR="00AE6CC8" w:rsidRPr="00D33B70">
        <w:t xml:space="preserve"> (documented in provided technical report and supported by preliminary hydraulic modelling)</w:t>
      </w:r>
      <w:r w:rsidRPr="00D33B70">
        <w:t>.</w:t>
      </w:r>
    </w:p>
    <w:p w:rsidR="00D76CAA" w:rsidRPr="00D33B70" w:rsidRDefault="00D76CAA" w:rsidP="00D76CAA">
      <w:pPr>
        <w:pStyle w:val="Text"/>
      </w:pPr>
      <w:r w:rsidRPr="00D33B70">
        <w:t>Limited details of the topography of the Geelong Ring Road were supplied for this study; therefore some interpretation of “current” ground elevations within the area was required.  Topographic data was supplied for the west face and the road surface of the embankment adjacent to the Geelong Ring Road Retarding basin.  These known elevations were then used to create the topography of the entire length of highway using aerial photography to define the embankment extents and match the elevated elevations with the DEM elevations.</w:t>
      </w:r>
    </w:p>
    <w:p w:rsidR="00A83F38" w:rsidRPr="00D33B70" w:rsidRDefault="00A83F38" w:rsidP="00B26EF8">
      <w:pPr>
        <w:pStyle w:val="Heading3"/>
      </w:pPr>
      <w:bookmarkStart w:id="214" w:name="_Toc387308892"/>
      <w:r w:rsidRPr="00D33B70">
        <w:t>Boundary Conditions</w:t>
      </w:r>
      <w:bookmarkEnd w:id="208"/>
      <w:bookmarkEnd w:id="214"/>
    </w:p>
    <w:p w:rsidR="00E93A42" w:rsidRPr="00D33B70" w:rsidRDefault="00E93A42" w:rsidP="00E93A42">
      <w:pPr>
        <w:pStyle w:val="Text"/>
      </w:pPr>
      <w:bookmarkStart w:id="215" w:name="_Toc207788154"/>
      <w:r w:rsidRPr="00D33B70">
        <w:t>The TUFLOW model has been developed using a fixed water level of 4.85 m</w:t>
      </w:r>
      <w:r w:rsidR="006764FA" w:rsidRPr="00D33B70">
        <w:t xml:space="preserve"> </w:t>
      </w:r>
      <w:r w:rsidRPr="00D33B70">
        <w:t>AHD for the downstream boundary condition.  This level was supplied by the CoGG and equates to the 5% AEP flood level in the Barwon River at the catchment outlet.</w:t>
      </w:r>
    </w:p>
    <w:p w:rsidR="00A83F38" w:rsidRPr="00D33B70" w:rsidRDefault="00A83F38" w:rsidP="00B26EF8">
      <w:pPr>
        <w:pStyle w:val="Heading3"/>
      </w:pPr>
      <w:bookmarkStart w:id="216" w:name="_Toc387308893"/>
      <w:r w:rsidRPr="00D33B70">
        <w:t>Design Event Modelling</w:t>
      </w:r>
      <w:bookmarkEnd w:id="215"/>
      <w:bookmarkEnd w:id="216"/>
    </w:p>
    <w:bookmarkEnd w:id="198"/>
    <w:p w:rsidR="00E93A42" w:rsidRPr="00D33B70" w:rsidRDefault="00E93A42" w:rsidP="00E93A42">
      <w:pPr>
        <w:pStyle w:val="Text"/>
      </w:pPr>
      <w:r w:rsidRPr="00D33B70">
        <w:t xml:space="preserve">The 1%, 5%, 10% and 20% AEP design storm events were modelled in the initial TUFLOW models for a wide range of storm durations.  Model results were reviewed and it was determined that the </w:t>
      </w:r>
      <w:r w:rsidR="0067692C" w:rsidRPr="00D33B70">
        <w:t>15 minute, 20 minute, 25 minute,</w:t>
      </w:r>
      <w:r w:rsidRPr="00D33B70">
        <w:t xml:space="preserve"> 1 hour,</w:t>
      </w:r>
      <w:r w:rsidR="0067692C" w:rsidRPr="00D33B70">
        <w:t xml:space="preserve"> 1.5 hour, 2 hour, 9</w:t>
      </w:r>
      <w:r w:rsidRPr="00D33B70">
        <w:t xml:space="preserve"> hou</w:t>
      </w:r>
      <w:r w:rsidR="00183B13" w:rsidRPr="00D33B70">
        <w:t xml:space="preserve">r, </w:t>
      </w:r>
      <w:r w:rsidR="0067692C" w:rsidRPr="00D33B70">
        <w:t>24</w:t>
      </w:r>
      <w:r w:rsidRPr="00D33B70">
        <w:t xml:space="preserve"> hour</w:t>
      </w:r>
      <w:r w:rsidR="00183B13" w:rsidRPr="00D33B70">
        <w:t xml:space="preserve"> and 72 hour</w:t>
      </w:r>
      <w:r w:rsidRPr="00D33B70">
        <w:t xml:space="preserve"> duration storms were critical.  These storms were run for subsequent TUFLOW simulations.</w:t>
      </w:r>
    </w:p>
    <w:p w:rsidR="00E93A42" w:rsidRPr="00D33B70" w:rsidRDefault="005E0B8F" w:rsidP="00681C68">
      <w:pPr>
        <w:pStyle w:val="Text"/>
      </w:pPr>
      <w:r w:rsidRPr="00D33B70">
        <w:t xml:space="preserve">The critical storm duration varies across the </w:t>
      </w:r>
      <w:r w:rsidR="0062665C" w:rsidRPr="00D33B70">
        <w:t>study area</w:t>
      </w:r>
      <w:r w:rsidRPr="00D33B70">
        <w:t xml:space="preserve"> and with AEP.  In the 1% AEP event the 15 minute and 25 minute duration events are generally the critical events </w:t>
      </w:r>
      <w:r w:rsidR="00AE6382" w:rsidRPr="00D33B70">
        <w:t xml:space="preserve">where flooding has occurred at the upper reaches </w:t>
      </w:r>
      <w:r w:rsidR="002113B1" w:rsidRPr="00D33B70">
        <w:t xml:space="preserve">of the drainage network, i.e. smaller diameter feeder pipes, across the study area.  The major drainage path along Barrabool Road the 1 hour duration event is critical from Scenic Road to the catchment outlet.  The 24 hour duration event is critical in the Thornhill Road retarding basin; however the critical storm decreases in duration along the major drainage path until it intersects with Belle Vue Avenue where the </w:t>
      </w:r>
      <w:r w:rsidR="00681C68" w:rsidRPr="00D33B70">
        <w:t xml:space="preserve">1 hour duration event is critical.  </w:t>
      </w:r>
      <w:r w:rsidR="00E93A42" w:rsidRPr="00D33B70">
        <w:t xml:space="preserve">A peak flood height envelope was developed from the </w:t>
      </w:r>
      <w:r w:rsidR="00183B13" w:rsidRPr="00D33B70">
        <w:t>9</w:t>
      </w:r>
      <w:r w:rsidR="00E93A42" w:rsidRPr="00D33B70">
        <w:t xml:space="preserve"> durations and the peak envelope for each AEP event was mapped.  The mapping is presented in </w:t>
      </w:r>
      <w:r w:rsidR="00681C68" w:rsidRPr="00D33B70">
        <w:fldChar w:fldCharType="begin"/>
      </w:r>
      <w:r w:rsidR="00681C68" w:rsidRPr="00D33B70">
        <w:instrText xml:space="preserve"> REF _Ref349152144 \h </w:instrText>
      </w:r>
      <w:r w:rsidR="00681C68" w:rsidRPr="00D33B70">
        <w:fldChar w:fldCharType="separate"/>
      </w:r>
      <w:r w:rsidR="00AC6986" w:rsidRPr="00D33B70">
        <w:t xml:space="preserve">Figure </w:t>
      </w:r>
      <w:r w:rsidR="00AC6986">
        <w:rPr>
          <w:noProof/>
        </w:rPr>
        <w:t>5</w:t>
      </w:r>
      <w:r w:rsidR="00AC6986" w:rsidRPr="00D33B70">
        <w:noBreakHyphen/>
      </w:r>
      <w:r w:rsidR="00AC6986">
        <w:rPr>
          <w:noProof/>
        </w:rPr>
        <w:t>1</w:t>
      </w:r>
      <w:r w:rsidR="00681C68" w:rsidRPr="00D33B70">
        <w:fldChar w:fldCharType="end"/>
      </w:r>
      <w:r w:rsidR="00681C68" w:rsidRPr="00D33B70">
        <w:t xml:space="preserve"> </w:t>
      </w:r>
      <w:r w:rsidR="00E93A42" w:rsidRPr="00D33B70">
        <w:t>to</w:t>
      </w:r>
      <w:r w:rsidR="00681C68" w:rsidRPr="00D33B70">
        <w:t xml:space="preserve"> </w:t>
      </w:r>
      <w:r w:rsidR="00681C68" w:rsidRPr="00D33B70">
        <w:fldChar w:fldCharType="begin"/>
      </w:r>
      <w:r w:rsidR="00681C68" w:rsidRPr="00D33B70">
        <w:instrText xml:space="preserve"> REF _Ref349152156 \h </w:instrText>
      </w:r>
      <w:r w:rsidR="00681C68" w:rsidRPr="00D33B70">
        <w:fldChar w:fldCharType="separate"/>
      </w:r>
      <w:r w:rsidR="00AC6986" w:rsidRPr="00D33B70">
        <w:t xml:space="preserve">Figure </w:t>
      </w:r>
      <w:r w:rsidR="00AC6986">
        <w:rPr>
          <w:noProof/>
        </w:rPr>
        <w:t>5</w:t>
      </w:r>
      <w:r w:rsidR="00AC6986" w:rsidRPr="00D33B70">
        <w:noBreakHyphen/>
      </w:r>
      <w:r w:rsidR="00AC6986">
        <w:rPr>
          <w:noProof/>
        </w:rPr>
        <w:t>4</w:t>
      </w:r>
      <w:r w:rsidR="00681C68" w:rsidRPr="00D33B70">
        <w:fldChar w:fldCharType="end"/>
      </w:r>
      <w:r w:rsidR="00E93A42" w:rsidRPr="00D33B70">
        <w:t>.  These flood events also formed the basis of the hazard assessment as discussed in Section</w:t>
      </w:r>
      <w:r w:rsidR="00681C68" w:rsidRPr="00D33B70">
        <w:t xml:space="preserve"> </w:t>
      </w:r>
      <w:r w:rsidR="00681C68" w:rsidRPr="00D33B70">
        <w:fldChar w:fldCharType="begin"/>
      </w:r>
      <w:r w:rsidR="00681C68" w:rsidRPr="00D33B70">
        <w:instrText xml:space="preserve"> REF _Ref349152181 \r \h </w:instrText>
      </w:r>
      <w:r w:rsidR="00681C68" w:rsidRPr="00D33B70">
        <w:fldChar w:fldCharType="separate"/>
      </w:r>
      <w:r w:rsidR="00AC6986">
        <w:t>5</w:t>
      </w:r>
      <w:r w:rsidR="00681C68" w:rsidRPr="00D33B70">
        <w:fldChar w:fldCharType="end"/>
      </w:r>
      <w:r w:rsidR="00E93A42" w:rsidRPr="00D33B70">
        <w:t>.</w:t>
      </w:r>
    </w:p>
    <w:p w:rsidR="00E93A42" w:rsidRPr="00D33B70" w:rsidRDefault="00E93A42" w:rsidP="00E93A42">
      <w:pPr>
        <w:pStyle w:val="Text"/>
        <w:sectPr w:rsidR="00E93A42" w:rsidRPr="00D33B70" w:rsidSect="007018E6">
          <w:pgSz w:w="11907" w:h="16840"/>
          <w:pgMar w:top="1418" w:right="1134" w:bottom="1418" w:left="1134" w:header="851" w:footer="828" w:gutter="0"/>
          <w:pgNumType w:start="1" w:chapStyle="1"/>
          <w:cols w:space="720"/>
        </w:sectPr>
      </w:pPr>
      <w:r w:rsidRPr="00D33B70">
        <w:t>As no data was available to calibrate the hydraulic model, a sensibility check was undertaken by comparing the flood extents with historical flooding patterns.  Preliminary flood extents for each of the design runs were provided to CoGG.  CoGG reviewed the extents in the context of their experience with historical flooding problems in the study area and advised that the flooding patterns indicated by the model were consistent with their understanding of historical flooding in the catchment.</w:t>
      </w:r>
    </w:p>
    <w:p w:rsidR="00A83F38" w:rsidRPr="00D33B70" w:rsidRDefault="00E93A42" w:rsidP="00E93A42">
      <w:pPr>
        <w:pStyle w:val="Heading1"/>
      </w:pPr>
      <w:bookmarkStart w:id="217" w:name="_Ref349152181"/>
      <w:bookmarkStart w:id="218" w:name="_Toc387308894"/>
      <w:r w:rsidRPr="00D33B70">
        <w:lastRenderedPageBreak/>
        <w:t>Flood Mapping</w:t>
      </w:r>
      <w:bookmarkEnd w:id="217"/>
      <w:bookmarkEnd w:id="218"/>
    </w:p>
    <w:p w:rsidR="00E93A42" w:rsidRPr="00D33B70" w:rsidRDefault="00E93A42" w:rsidP="00E93A42">
      <w:pPr>
        <w:pStyle w:val="Text"/>
      </w:pPr>
      <w:r w:rsidRPr="00D33B70">
        <w:t>This section provides a brief overview of the floodplain mapping process used in the investigation and the flood extent map for each of the AEP events presented.</w:t>
      </w:r>
    </w:p>
    <w:p w:rsidR="00E93A42" w:rsidRPr="00D33B70" w:rsidRDefault="00E93A42" w:rsidP="00E93A42">
      <w:pPr>
        <w:pStyle w:val="Text"/>
      </w:pPr>
      <w:r w:rsidRPr="00D33B70">
        <w:t xml:space="preserve">TUFLOW produces a geo-referenced data set defining peak water levels throughout the model domain at the corners of its computational cells.  For a given AEP flood event, the peak flood level from each of the storm durations was selected for each computational cell to generate an envelope of peak flood levels.  These data were imported into GIS to generate a </w:t>
      </w:r>
      <w:r w:rsidR="002A3127" w:rsidRPr="00D33B70">
        <w:t xml:space="preserve">DEM </w:t>
      </w:r>
      <w:r w:rsidRPr="00D33B70">
        <w:t>of the flood surface.  Contours of flood height (relative to AHD)</w:t>
      </w:r>
      <w:r w:rsidR="005C4D6B" w:rsidRPr="00D33B70">
        <w:t>, depth and hazard</w:t>
      </w:r>
      <w:r w:rsidRPr="00D33B70">
        <w:t xml:space="preserve"> were extracted directly from the flood surface.</w:t>
      </w:r>
    </w:p>
    <w:p w:rsidR="00491BD1" w:rsidRPr="00D33B70" w:rsidRDefault="00CB43CE" w:rsidP="00E02A73">
      <w:pPr>
        <w:pStyle w:val="Text"/>
      </w:pPr>
      <w:r w:rsidRPr="00D33B70">
        <w:t>The nature of flooding within the study area resulted in large areas of quite shallow sheet flow, or runoff, across the catchment. To</w:t>
      </w:r>
      <w:r w:rsidR="00E02A73" w:rsidRPr="00D33B70">
        <w:t xml:space="preserve"> provide a more realistic estimate of the extent of flooding within the catchment</w:t>
      </w:r>
      <w:r w:rsidR="00A51B38" w:rsidRPr="00D33B70">
        <w:t>, following consultation with CoGG</w:t>
      </w:r>
      <w:r w:rsidR="00E02A73" w:rsidRPr="00D33B70">
        <w:t xml:space="preserve"> a “cut off” of 30 mm was adopted for the flood mapping.  </w:t>
      </w:r>
      <w:r w:rsidR="00E93A42" w:rsidRPr="00D33B70">
        <w:t xml:space="preserve">The flood depth for existing conditions is mapped for the 20%, 10%, 5% and 1% AEP events in </w:t>
      </w:r>
      <w:r w:rsidR="00B2110D" w:rsidRPr="00D33B70">
        <w:fldChar w:fldCharType="begin"/>
      </w:r>
      <w:r w:rsidR="00B2110D" w:rsidRPr="00D33B70">
        <w:instrText xml:space="preserve"> REF _Ref349152144 \h </w:instrText>
      </w:r>
      <w:r w:rsidR="00B2110D" w:rsidRPr="00D33B70">
        <w:fldChar w:fldCharType="separate"/>
      </w:r>
      <w:r w:rsidR="00AC6986" w:rsidRPr="00D33B70">
        <w:t xml:space="preserve">Figure </w:t>
      </w:r>
      <w:r w:rsidR="00AC6986">
        <w:rPr>
          <w:noProof/>
        </w:rPr>
        <w:t>5</w:t>
      </w:r>
      <w:r w:rsidR="00AC6986" w:rsidRPr="00D33B70">
        <w:noBreakHyphen/>
      </w:r>
      <w:r w:rsidR="00AC6986">
        <w:rPr>
          <w:noProof/>
        </w:rPr>
        <w:t>1</w:t>
      </w:r>
      <w:r w:rsidR="00B2110D" w:rsidRPr="00D33B70">
        <w:fldChar w:fldCharType="end"/>
      </w:r>
      <w:r w:rsidR="00B2110D" w:rsidRPr="00D33B70">
        <w:t xml:space="preserve"> </w:t>
      </w:r>
      <w:r w:rsidR="00E93A42" w:rsidRPr="00D33B70">
        <w:t xml:space="preserve">to </w:t>
      </w:r>
      <w:r w:rsidR="00B2110D" w:rsidRPr="00D33B70">
        <w:fldChar w:fldCharType="begin"/>
      </w:r>
      <w:r w:rsidR="00B2110D" w:rsidRPr="00D33B70">
        <w:instrText xml:space="preserve"> REF _Ref349152156 \h </w:instrText>
      </w:r>
      <w:r w:rsidR="00B2110D" w:rsidRPr="00D33B70">
        <w:fldChar w:fldCharType="separate"/>
      </w:r>
      <w:r w:rsidR="00AC6986" w:rsidRPr="00D33B70">
        <w:t xml:space="preserve">Figure </w:t>
      </w:r>
      <w:r w:rsidR="00AC6986">
        <w:rPr>
          <w:noProof/>
        </w:rPr>
        <w:t>5</w:t>
      </w:r>
      <w:r w:rsidR="00AC6986" w:rsidRPr="00D33B70">
        <w:noBreakHyphen/>
      </w:r>
      <w:r w:rsidR="00AC6986">
        <w:rPr>
          <w:noProof/>
        </w:rPr>
        <w:t>4</w:t>
      </w:r>
      <w:r w:rsidR="00B2110D" w:rsidRPr="00D33B70">
        <w:fldChar w:fldCharType="end"/>
      </w:r>
      <w:r w:rsidR="00B2110D" w:rsidRPr="00D33B70">
        <w:t xml:space="preserve"> </w:t>
      </w:r>
      <w:r w:rsidR="00E93A42" w:rsidRPr="00D33B70">
        <w:t xml:space="preserve">respectively.  </w:t>
      </w:r>
    </w:p>
    <w:p w:rsidR="00645AD5" w:rsidRPr="00D33B70" w:rsidRDefault="00A51B38" w:rsidP="00A51B38">
      <w:pPr>
        <w:pStyle w:val="Text"/>
      </w:pPr>
      <w:r w:rsidRPr="00D33B70">
        <w:t>F</w:t>
      </w:r>
      <w:r w:rsidR="00E93A42" w:rsidRPr="00D33B70">
        <w:t>looding within the</w:t>
      </w:r>
      <w:r w:rsidR="00645AD5" w:rsidRPr="00D33B70">
        <w:t xml:space="preserve"> study area </w:t>
      </w:r>
      <w:r w:rsidRPr="00D33B70">
        <w:t xml:space="preserve">above the cut off depth of 30 mm is restricted to the </w:t>
      </w:r>
      <w:r w:rsidR="0062665C" w:rsidRPr="00D33B70">
        <w:t>major drainage paths along Barrabool Road, downstream of the Thornhill Road retarding basin and Belle Vue Avenue</w:t>
      </w:r>
      <w:r w:rsidR="00574EEB" w:rsidRPr="00D33B70">
        <w:t xml:space="preserve">. </w:t>
      </w:r>
      <w:r w:rsidR="00853BA9" w:rsidRPr="00D33B70">
        <w:t xml:space="preserve"> </w:t>
      </w:r>
      <w:r w:rsidR="00574EEB" w:rsidRPr="00D33B70">
        <w:t xml:space="preserve">Water depths in excess of 2 metres are observed in some of the retarding basins, including the Ring Road Basin, Thornhill Road Upper Retarding Basin and the </w:t>
      </w:r>
      <w:r w:rsidR="00C25661" w:rsidRPr="00D33B70">
        <w:t>Wandana Drive</w:t>
      </w:r>
      <w:r w:rsidR="00574EEB" w:rsidRPr="00D33B70">
        <w:t xml:space="preserve"> Retarding Basin.</w:t>
      </w:r>
    </w:p>
    <w:p w:rsidR="00E93A42" w:rsidRPr="00D33B70" w:rsidRDefault="00E93A42" w:rsidP="00E93A42">
      <w:pPr>
        <w:pStyle w:val="Text"/>
      </w:pPr>
      <w:r w:rsidRPr="00D33B70">
        <w:t xml:space="preserve">Hazard mapping was undertaken using the methodology prescribed in the Melbourne Water document </w:t>
      </w:r>
      <w:r w:rsidRPr="00D33B70">
        <w:rPr>
          <w:i/>
          <w:iCs/>
        </w:rPr>
        <w:t xml:space="preserve">Guidelines for Development in Flood-prone Areas </w:t>
      </w:r>
      <w:r w:rsidRPr="00D33B70">
        <w:t>(Melbourne Water 2008).  The analysis is designed to determine if it is safe for people to move about on a property during a flood event.  Safety is defined in terms of the depth and velocity as follows:</w:t>
      </w:r>
    </w:p>
    <w:p w:rsidR="00E93A42" w:rsidRPr="00D33B70" w:rsidRDefault="00E93A42" w:rsidP="00E93A42">
      <w:pPr>
        <w:pStyle w:val="Text"/>
        <w:numPr>
          <w:ilvl w:val="0"/>
          <w:numId w:val="15"/>
        </w:numPr>
        <w:ind w:right="2268"/>
      </w:pPr>
      <w:r w:rsidRPr="00D33B70">
        <w:t xml:space="preserve">depth should be no more than 0.35m; </w:t>
      </w:r>
    </w:p>
    <w:p w:rsidR="00E93A42" w:rsidRPr="00D33B70" w:rsidRDefault="00E93A42" w:rsidP="00E93A42">
      <w:pPr>
        <w:pStyle w:val="Text"/>
        <w:numPr>
          <w:ilvl w:val="0"/>
          <w:numId w:val="15"/>
        </w:numPr>
        <w:ind w:right="2268"/>
      </w:pPr>
      <w:r w:rsidRPr="00D33B70">
        <w:t>velocity should be no more than 1.5 m/s: and</w:t>
      </w:r>
    </w:p>
    <w:p w:rsidR="00E93A42" w:rsidRPr="00D33B70" w:rsidRDefault="00E93A42" w:rsidP="00E93A42">
      <w:pPr>
        <w:pStyle w:val="Text"/>
        <w:numPr>
          <w:ilvl w:val="0"/>
          <w:numId w:val="15"/>
        </w:numPr>
        <w:ind w:right="2268"/>
      </w:pPr>
      <w:r w:rsidRPr="00D33B70">
        <w:t>the velocity depth product should be no more than 0.35m</w:t>
      </w:r>
      <w:r w:rsidRPr="00D33B70">
        <w:rPr>
          <w:vertAlign w:val="superscript"/>
        </w:rPr>
        <w:t>2</w:t>
      </w:r>
      <w:r w:rsidRPr="00D33B70">
        <w:t>/s</w:t>
      </w:r>
    </w:p>
    <w:p w:rsidR="00DF4C7F" w:rsidRPr="00D33B70" w:rsidRDefault="00E93A42" w:rsidP="00E93A42">
      <w:pPr>
        <w:pStyle w:val="Text"/>
      </w:pPr>
      <w:r w:rsidRPr="00D33B70">
        <w:t xml:space="preserve">Hazard maps for the four </w:t>
      </w:r>
      <w:r w:rsidR="00D37071" w:rsidRPr="00D33B70">
        <w:t xml:space="preserve">AEP </w:t>
      </w:r>
      <w:r w:rsidRPr="00D33B70">
        <w:t>flood events are presented in</w:t>
      </w:r>
      <w:r w:rsidR="00DF4C7F" w:rsidRPr="00D33B70">
        <w:t xml:space="preserve"> </w:t>
      </w:r>
      <w:r w:rsidR="00DF4C7F" w:rsidRPr="00D33B70">
        <w:fldChar w:fldCharType="begin"/>
      </w:r>
      <w:r w:rsidR="00DF4C7F" w:rsidRPr="00D33B70">
        <w:instrText xml:space="preserve"> REF _Ref349202608 \h </w:instrText>
      </w:r>
      <w:r w:rsidR="002F34C8" w:rsidRPr="00D33B70">
        <w:instrText xml:space="preserve"> \* MERGEFORMAT </w:instrText>
      </w:r>
      <w:r w:rsidR="00DF4C7F" w:rsidRPr="00D33B70">
        <w:fldChar w:fldCharType="separate"/>
      </w:r>
      <w:r w:rsidR="00AC6986" w:rsidRPr="00D33B70">
        <w:t xml:space="preserve">Figure </w:t>
      </w:r>
      <w:r w:rsidR="00AC6986">
        <w:rPr>
          <w:noProof/>
        </w:rPr>
        <w:t>5</w:t>
      </w:r>
      <w:r w:rsidR="00AC6986" w:rsidRPr="00D33B70">
        <w:rPr>
          <w:noProof/>
        </w:rPr>
        <w:noBreakHyphen/>
      </w:r>
      <w:r w:rsidR="00AC6986">
        <w:rPr>
          <w:noProof/>
        </w:rPr>
        <w:t>5</w:t>
      </w:r>
      <w:r w:rsidR="00DF4C7F" w:rsidRPr="00D33B70">
        <w:fldChar w:fldCharType="end"/>
      </w:r>
      <w:r w:rsidR="00DF4C7F" w:rsidRPr="00D33B70">
        <w:t xml:space="preserve"> to </w:t>
      </w:r>
      <w:r w:rsidR="00DF4C7F" w:rsidRPr="00D33B70">
        <w:fldChar w:fldCharType="begin"/>
      </w:r>
      <w:r w:rsidR="00DF4C7F" w:rsidRPr="00D33B70">
        <w:instrText xml:space="preserve"> REF _Ref349202618 \h </w:instrText>
      </w:r>
      <w:r w:rsidR="002F34C8" w:rsidRPr="00D33B70">
        <w:instrText xml:space="preserve"> \* MERGEFORMAT </w:instrText>
      </w:r>
      <w:r w:rsidR="00DF4C7F" w:rsidRPr="00D33B70">
        <w:fldChar w:fldCharType="separate"/>
      </w:r>
      <w:r w:rsidR="00AC6986" w:rsidRPr="00D33B70">
        <w:t xml:space="preserve">Figure </w:t>
      </w:r>
      <w:r w:rsidR="00AC6986">
        <w:rPr>
          <w:noProof/>
        </w:rPr>
        <w:t>5</w:t>
      </w:r>
      <w:r w:rsidR="00AC6986" w:rsidRPr="00D33B70">
        <w:rPr>
          <w:noProof/>
        </w:rPr>
        <w:noBreakHyphen/>
      </w:r>
      <w:r w:rsidR="00AC6986">
        <w:rPr>
          <w:noProof/>
        </w:rPr>
        <w:t>8</w:t>
      </w:r>
      <w:r w:rsidR="00DF4C7F" w:rsidRPr="00D33B70">
        <w:fldChar w:fldCharType="end"/>
      </w:r>
      <w:r w:rsidRPr="00D33B70">
        <w:t xml:space="preserve">.  As expected, the majority of the main overland flow through the catchment is classified as safe in a 1% AEP event.  This is due to the relatively </w:t>
      </w:r>
      <w:r w:rsidR="00DF4C7F" w:rsidRPr="00D33B70">
        <w:t xml:space="preserve">shallow </w:t>
      </w:r>
      <w:r w:rsidR="00D37071" w:rsidRPr="00D33B70">
        <w:t xml:space="preserve">flow depths </w:t>
      </w:r>
      <w:r w:rsidR="00DF4C7F" w:rsidRPr="00D33B70">
        <w:t>experienced across the majority of the study area.  The majority of the flooding tha</w:t>
      </w:r>
      <w:r w:rsidR="002F34C8" w:rsidRPr="00D33B70">
        <w:t>t has been deemed</w:t>
      </w:r>
      <w:r w:rsidR="00DF4C7F" w:rsidRPr="00D33B70">
        <w:t xml:space="preserve"> unsafe</w:t>
      </w:r>
      <w:r w:rsidR="002F34C8" w:rsidRPr="00D33B70">
        <w:t xml:space="preserve"> occurs within the retarding basins or road corridors, however there are other isolated areas deemed unsafe in the 1% AEP event.  These include properties on Belle Vue Avenue immediately south of Roslyn Road and on the major drainage path between Roslyn Road and Mount Pleasant Road, adjacent to Barrabool Road.</w:t>
      </w:r>
    </w:p>
    <w:p w:rsidR="00E93A42" w:rsidRPr="00D33B70" w:rsidRDefault="00E93A42" w:rsidP="00E93A42">
      <w:pPr>
        <w:pStyle w:val="Text"/>
      </w:pPr>
      <w:r w:rsidRPr="00D33B70">
        <w:t xml:space="preserve">During the 20% AEP flood, areas considered unsafe are </w:t>
      </w:r>
      <w:r w:rsidR="002F34C8" w:rsidRPr="00D33B70">
        <w:t>similar to those outlined above in the 1% AEP event.</w:t>
      </w:r>
    </w:p>
    <w:p w:rsidR="00CB5BBC" w:rsidRPr="00D33B70" w:rsidRDefault="00E93A42" w:rsidP="009239F3">
      <w:pPr>
        <w:pStyle w:val="Text"/>
      </w:pPr>
      <w:r w:rsidRPr="00D33B70">
        <w:lastRenderedPageBreak/>
        <w:t>A</w:t>
      </w:r>
      <w:r w:rsidR="00A427F1" w:rsidRPr="00D33B70">
        <w:t>n</w:t>
      </w:r>
      <w:r w:rsidRPr="00D33B70">
        <w:t xml:space="preserve"> estimate of the number of properties with flooding within the property boundar</w:t>
      </w:r>
      <w:r w:rsidR="00A427F1" w:rsidRPr="00D33B70">
        <w:t xml:space="preserve">y based on the 30 mm mapping cut off depth </w:t>
      </w:r>
      <w:r w:rsidRPr="00D33B70">
        <w:t xml:space="preserve">has been determined and these figures are shown in </w:t>
      </w:r>
      <w:r w:rsidR="008F1E39" w:rsidRPr="00D33B70">
        <w:fldChar w:fldCharType="begin"/>
      </w:r>
      <w:r w:rsidR="008F1E39" w:rsidRPr="00D33B70">
        <w:instrText xml:space="preserve"> REF _Ref259543675 \h  \* MERGEFORMAT </w:instrText>
      </w:r>
      <w:r w:rsidR="008F1E39" w:rsidRPr="00D33B70">
        <w:fldChar w:fldCharType="separate"/>
      </w:r>
      <w:r w:rsidR="00AC6986" w:rsidRPr="00D33B70">
        <w:t xml:space="preserve">Table </w:t>
      </w:r>
      <w:r w:rsidR="00AC6986">
        <w:rPr>
          <w:noProof/>
        </w:rPr>
        <w:t>5</w:t>
      </w:r>
      <w:r w:rsidR="00AC6986" w:rsidRPr="00D33B70">
        <w:rPr>
          <w:noProof/>
        </w:rPr>
        <w:noBreakHyphen/>
      </w:r>
      <w:r w:rsidR="00AC6986">
        <w:rPr>
          <w:noProof/>
        </w:rPr>
        <w:t>1</w:t>
      </w:r>
      <w:r w:rsidR="008F1E39" w:rsidRPr="00D33B70">
        <w:fldChar w:fldCharType="end"/>
      </w:r>
      <w:r w:rsidRPr="00D33B70">
        <w:t xml:space="preserve">.  </w:t>
      </w:r>
      <w:bookmarkStart w:id="219" w:name="_Ref87365488"/>
      <w:bookmarkStart w:id="220" w:name="_Ref187468902"/>
      <w:bookmarkStart w:id="221" w:name="_Ref244061666"/>
      <w:bookmarkStart w:id="222" w:name="_Toc207788214"/>
      <w:bookmarkStart w:id="223" w:name="_Ref217289579"/>
      <w:bookmarkStart w:id="224" w:name="_Toc217446204"/>
      <w:r w:rsidR="00CB5BBC" w:rsidRPr="00D33B70">
        <w:t xml:space="preserve">The location of properties with flooding above floor for each AEP is shown </w:t>
      </w:r>
      <w:r w:rsidR="00CB5BBC" w:rsidRPr="00D33B70">
        <w:fldChar w:fldCharType="begin"/>
      </w:r>
      <w:r w:rsidR="00CB5BBC" w:rsidRPr="00D33B70">
        <w:instrText xml:space="preserve"> REF _Ref349152144 \h </w:instrText>
      </w:r>
      <w:r w:rsidR="00CB5BBC" w:rsidRPr="00D33B70">
        <w:fldChar w:fldCharType="separate"/>
      </w:r>
      <w:r w:rsidR="00AC6986" w:rsidRPr="00D33B70">
        <w:t xml:space="preserve">Figure </w:t>
      </w:r>
      <w:r w:rsidR="00AC6986">
        <w:rPr>
          <w:noProof/>
        </w:rPr>
        <w:t>5</w:t>
      </w:r>
      <w:r w:rsidR="00AC6986" w:rsidRPr="00D33B70">
        <w:noBreakHyphen/>
      </w:r>
      <w:r w:rsidR="00AC6986">
        <w:rPr>
          <w:noProof/>
        </w:rPr>
        <w:t>1</w:t>
      </w:r>
      <w:r w:rsidR="00CB5BBC" w:rsidRPr="00D33B70">
        <w:fldChar w:fldCharType="end"/>
      </w:r>
      <w:r w:rsidR="00CB5BBC" w:rsidRPr="00D33B70">
        <w:t xml:space="preserve"> to </w:t>
      </w:r>
      <w:r w:rsidR="00CB5BBC" w:rsidRPr="00D33B70">
        <w:fldChar w:fldCharType="begin"/>
      </w:r>
      <w:r w:rsidR="00CB5BBC" w:rsidRPr="00D33B70">
        <w:instrText xml:space="preserve"> REF _Ref349152156 \h </w:instrText>
      </w:r>
      <w:r w:rsidR="00CB5BBC" w:rsidRPr="00D33B70">
        <w:fldChar w:fldCharType="separate"/>
      </w:r>
      <w:r w:rsidR="00AC6986" w:rsidRPr="00D33B70">
        <w:t xml:space="preserve">Figure </w:t>
      </w:r>
      <w:r w:rsidR="00AC6986">
        <w:rPr>
          <w:noProof/>
        </w:rPr>
        <w:t>5</w:t>
      </w:r>
      <w:r w:rsidR="00AC6986" w:rsidRPr="00D33B70">
        <w:noBreakHyphen/>
      </w:r>
      <w:r w:rsidR="00AC6986">
        <w:rPr>
          <w:noProof/>
        </w:rPr>
        <w:t>4</w:t>
      </w:r>
      <w:r w:rsidR="00CB5BBC" w:rsidRPr="00D33B70">
        <w:fldChar w:fldCharType="end"/>
      </w:r>
      <w:r w:rsidR="00A51B38" w:rsidRPr="00D33B70">
        <w:t>.</w:t>
      </w:r>
    </w:p>
    <w:p w:rsidR="00E93A42" w:rsidRPr="00D33B70" w:rsidRDefault="00E93A42" w:rsidP="00E93A42">
      <w:pPr>
        <w:pStyle w:val="Caption"/>
        <w:spacing w:before="0"/>
        <w:ind w:left="1843" w:right="697" w:hanging="1134"/>
      </w:pPr>
      <w:bookmarkStart w:id="225" w:name="_Ref259543675"/>
      <w:bookmarkStart w:id="226" w:name="_Toc272668249"/>
      <w:bookmarkStart w:id="227" w:name="_Toc387308984"/>
      <w:r w:rsidRPr="00D33B70">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5</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1</w:t>
      </w:r>
      <w:r w:rsidR="00FF3C04" w:rsidRPr="00D33B70">
        <w:fldChar w:fldCharType="end"/>
      </w:r>
      <w:bookmarkEnd w:id="219"/>
      <w:bookmarkEnd w:id="220"/>
      <w:bookmarkEnd w:id="221"/>
      <w:bookmarkEnd w:id="225"/>
      <w:r w:rsidRPr="00D33B70">
        <w:tab/>
        <w:t>Number of Flooded Properties</w:t>
      </w:r>
      <w:bookmarkEnd w:id="222"/>
      <w:bookmarkEnd w:id="223"/>
      <w:bookmarkEnd w:id="224"/>
      <w:bookmarkEnd w:id="226"/>
      <w:bookmarkEnd w:id="227"/>
    </w:p>
    <w:tbl>
      <w:tblPr>
        <w:tblW w:w="7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3163"/>
        <w:gridCol w:w="3163"/>
      </w:tblGrid>
      <w:tr w:rsidR="007C20F2" w:rsidRPr="00D33B70" w:rsidTr="007C20F2">
        <w:trPr>
          <w:cantSplit/>
          <w:trHeight w:val="710"/>
          <w:jc w:val="center"/>
        </w:trPr>
        <w:tc>
          <w:tcPr>
            <w:tcW w:w="733" w:type="dxa"/>
            <w:shd w:val="pct10" w:color="auto" w:fill="auto"/>
            <w:vAlign w:val="center"/>
          </w:tcPr>
          <w:p w:rsidR="007C20F2" w:rsidRPr="00D33B70" w:rsidRDefault="007C20F2" w:rsidP="007C764C">
            <w:pPr>
              <w:spacing w:before="60" w:after="60"/>
              <w:jc w:val="center"/>
              <w:rPr>
                <w:rFonts w:cs="Arial"/>
                <w:b/>
                <w:bCs/>
              </w:rPr>
            </w:pPr>
            <w:r w:rsidRPr="00D33B70">
              <w:rPr>
                <w:rFonts w:cs="Arial"/>
                <w:b/>
                <w:bCs/>
              </w:rPr>
              <w:t>AEP</w:t>
            </w:r>
          </w:p>
        </w:tc>
        <w:tc>
          <w:tcPr>
            <w:tcW w:w="3163" w:type="dxa"/>
            <w:shd w:val="pct10" w:color="auto" w:fill="auto"/>
            <w:vAlign w:val="center"/>
          </w:tcPr>
          <w:p w:rsidR="007C20F2" w:rsidRPr="00D33B70" w:rsidRDefault="007C20F2" w:rsidP="007C764C">
            <w:pPr>
              <w:spacing w:before="60" w:after="60"/>
              <w:jc w:val="center"/>
              <w:rPr>
                <w:rFonts w:cs="Arial"/>
                <w:b/>
                <w:bCs/>
                <w:highlight w:val="yellow"/>
              </w:rPr>
            </w:pPr>
            <w:r w:rsidRPr="00D33B70">
              <w:rPr>
                <w:rFonts w:cs="Arial"/>
                <w:b/>
                <w:bCs/>
              </w:rPr>
              <w:t>Flooding Occurs Within Property Boundary</w:t>
            </w:r>
          </w:p>
        </w:tc>
        <w:tc>
          <w:tcPr>
            <w:tcW w:w="3163" w:type="dxa"/>
            <w:shd w:val="pct10" w:color="auto" w:fill="auto"/>
            <w:vAlign w:val="center"/>
          </w:tcPr>
          <w:p w:rsidR="007C20F2" w:rsidRPr="00D33B70" w:rsidRDefault="007C20F2" w:rsidP="007C20F2">
            <w:pPr>
              <w:spacing w:before="60" w:after="60"/>
              <w:jc w:val="center"/>
              <w:rPr>
                <w:rFonts w:cs="Arial"/>
                <w:b/>
                <w:bCs/>
                <w:highlight w:val="yellow"/>
              </w:rPr>
            </w:pPr>
            <w:r w:rsidRPr="00D33B70">
              <w:rPr>
                <w:rFonts w:cs="Arial"/>
                <w:b/>
                <w:bCs/>
              </w:rPr>
              <w:t>Flooding Occurs Above Flood Level*</w:t>
            </w:r>
          </w:p>
        </w:tc>
      </w:tr>
      <w:tr w:rsidR="007C20F2" w:rsidRPr="00D33B70" w:rsidTr="007C764C">
        <w:trPr>
          <w:trHeight w:val="361"/>
          <w:jc w:val="center"/>
        </w:trPr>
        <w:tc>
          <w:tcPr>
            <w:tcW w:w="733" w:type="dxa"/>
            <w:vAlign w:val="center"/>
          </w:tcPr>
          <w:p w:rsidR="007C20F2" w:rsidRPr="00D33B70" w:rsidRDefault="007C20F2" w:rsidP="007C764C">
            <w:pPr>
              <w:overflowPunct/>
              <w:spacing w:before="60" w:after="60"/>
              <w:jc w:val="center"/>
              <w:textAlignment w:val="auto"/>
              <w:rPr>
                <w:rFonts w:cs="Arial"/>
                <w:color w:val="000000"/>
                <w:spacing w:val="0"/>
              </w:rPr>
            </w:pPr>
            <w:r w:rsidRPr="00D33B70">
              <w:rPr>
                <w:rFonts w:cs="Arial"/>
                <w:color w:val="000000"/>
                <w:spacing w:val="0"/>
              </w:rPr>
              <w:t>20%</w:t>
            </w:r>
          </w:p>
        </w:tc>
        <w:tc>
          <w:tcPr>
            <w:tcW w:w="3163" w:type="dxa"/>
            <w:vAlign w:val="center"/>
          </w:tcPr>
          <w:p w:rsidR="007C20F2" w:rsidRPr="00D33B70" w:rsidRDefault="007E1373" w:rsidP="007C764C">
            <w:pPr>
              <w:jc w:val="center"/>
              <w:rPr>
                <w:rFonts w:cs="Arial"/>
              </w:rPr>
            </w:pPr>
            <w:r w:rsidRPr="00D33B70">
              <w:rPr>
                <w:rFonts w:cs="Arial"/>
              </w:rPr>
              <w:t>1402</w:t>
            </w:r>
          </w:p>
        </w:tc>
        <w:tc>
          <w:tcPr>
            <w:tcW w:w="3163" w:type="dxa"/>
            <w:vAlign w:val="center"/>
          </w:tcPr>
          <w:p w:rsidR="007C20F2" w:rsidRPr="00D33B70" w:rsidRDefault="007E1373" w:rsidP="007C764C">
            <w:pPr>
              <w:jc w:val="center"/>
              <w:rPr>
                <w:rFonts w:cs="Arial"/>
              </w:rPr>
            </w:pPr>
            <w:r w:rsidRPr="00D33B70">
              <w:rPr>
                <w:rFonts w:cs="Arial"/>
              </w:rPr>
              <w:t>14</w:t>
            </w:r>
          </w:p>
        </w:tc>
      </w:tr>
      <w:tr w:rsidR="007C20F2" w:rsidRPr="00D33B70" w:rsidTr="007C764C">
        <w:trPr>
          <w:trHeight w:val="376"/>
          <w:jc w:val="center"/>
        </w:trPr>
        <w:tc>
          <w:tcPr>
            <w:tcW w:w="733" w:type="dxa"/>
            <w:vAlign w:val="center"/>
          </w:tcPr>
          <w:p w:rsidR="007C20F2" w:rsidRPr="00D33B70" w:rsidRDefault="007C20F2" w:rsidP="007C764C">
            <w:pPr>
              <w:overflowPunct/>
              <w:spacing w:before="60" w:after="60"/>
              <w:jc w:val="center"/>
              <w:textAlignment w:val="auto"/>
              <w:rPr>
                <w:rFonts w:cs="Arial"/>
                <w:color w:val="000000"/>
                <w:spacing w:val="0"/>
              </w:rPr>
            </w:pPr>
            <w:r w:rsidRPr="00D33B70">
              <w:rPr>
                <w:rFonts w:cs="Arial"/>
                <w:color w:val="000000"/>
                <w:spacing w:val="0"/>
              </w:rPr>
              <w:t>10%</w:t>
            </w:r>
          </w:p>
        </w:tc>
        <w:tc>
          <w:tcPr>
            <w:tcW w:w="3163" w:type="dxa"/>
            <w:vAlign w:val="center"/>
          </w:tcPr>
          <w:p w:rsidR="007C20F2" w:rsidRPr="00D33B70" w:rsidRDefault="007E1373" w:rsidP="007C764C">
            <w:pPr>
              <w:jc w:val="center"/>
              <w:rPr>
                <w:rFonts w:cs="Arial"/>
              </w:rPr>
            </w:pPr>
            <w:r w:rsidRPr="00D33B70">
              <w:rPr>
                <w:rFonts w:cs="Arial"/>
              </w:rPr>
              <w:t>1719</w:t>
            </w:r>
          </w:p>
        </w:tc>
        <w:tc>
          <w:tcPr>
            <w:tcW w:w="3163" w:type="dxa"/>
            <w:vAlign w:val="center"/>
          </w:tcPr>
          <w:p w:rsidR="007C20F2" w:rsidRPr="00D33B70" w:rsidRDefault="007E1373" w:rsidP="007C764C">
            <w:pPr>
              <w:jc w:val="center"/>
              <w:rPr>
                <w:rFonts w:cs="Arial"/>
              </w:rPr>
            </w:pPr>
            <w:r w:rsidRPr="00D33B70">
              <w:rPr>
                <w:rFonts w:cs="Arial"/>
              </w:rPr>
              <w:t>16</w:t>
            </w:r>
          </w:p>
        </w:tc>
      </w:tr>
      <w:tr w:rsidR="007C20F2" w:rsidRPr="00D33B70" w:rsidTr="007C764C">
        <w:trPr>
          <w:trHeight w:val="376"/>
          <w:jc w:val="center"/>
        </w:trPr>
        <w:tc>
          <w:tcPr>
            <w:tcW w:w="733" w:type="dxa"/>
            <w:vAlign w:val="center"/>
          </w:tcPr>
          <w:p w:rsidR="007C20F2" w:rsidRPr="00D33B70" w:rsidRDefault="007C20F2" w:rsidP="007C764C">
            <w:pPr>
              <w:overflowPunct/>
              <w:spacing w:before="60" w:after="60"/>
              <w:jc w:val="center"/>
              <w:textAlignment w:val="auto"/>
              <w:rPr>
                <w:rFonts w:cs="Arial"/>
                <w:color w:val="000000"/>
                <w:spacing w:val="0"/>
              </w:rPr>
            </w:pPr>
            <w:r w:rsidRPr="00D33B70">
              <w:rPr>
                <w:rFonts w:cs="Arial"/>
                <w:color w:val="000000"/>
                <w:spacing w:val="0"/>
              </w:rPr>
              <w:t>5%</w:t>
            </w:r>
          </w:p>
        </w:tc>
        <w:tc>
          <w:tcPr>
            <w:tcW w:w="3163" w:type="dxa"/>
            <w:vAlign w:val="center"/>
          </w:tcPr>
          <w:p w:rsidR="007C20F2" w:rsidRPr="00D33B70" w:rsidRDefault="007E1373" w:rsidP="007C764C">
            <w:pPr>
              <w:jc w:val="center"/>
              <w:rPr>
                <w:rFonts w:cs="Arial"/>
              </w:rPr>
            </w:pPr>
            <w:r w:rsidRPr="00D33B70">
              <w:rPr>
                <w:rFonts w:cs="Arial"/>
              </w:rPr>
              <w:t>1976</w:t>
            </w:r>
          </w:p>
        </w:tc>
        <w:tc>
          <w:tcPr>
            <w:tcW w:w="3163" w:type="dxa"/>
            <w:vAlign w:val="center"/>
          </w:tcPr>
          <w:p w:rsidR="007C20F2" w:rsidRPr="00D33B70" w:rsidRDefault="00CA0A1A" w:rsidP="007C764C">
            <w:pPr>
              <w:jc w:val="center"/>
              <w:rPr>
                <w:rFonts w:cs="Arial"/>
              </w:rPr>
            </w:pPr>
            <w:r w:rsidRPr="00D33B70">
              <w:rPr>
                <w:rFonts w:cs="Arial"/>
              </w:rPr>
              <w:t>2</w:t>
            </w:r>
            <w:r w:rsidR="007E1373" w:rsidRPr="00D33B70">
              <w:rPr>
                <w:rFonts w:cs="Arial"/>
              </w:rPr>
              <w:t>2</w:t>
            </w:r>
          </w:p>
        </w:tc>
      </w:tr>
      <w:tr w:rsidR="007C20F2" w:rsidRPr="00D33B70" w:rsidTr="007C764C">
        <w:trPr>
          <w:trHeight w:val="376"/>
          <w:jc w:val="center"/>
        </w:trPr>
        <w:tc>
          <w:tcPr>
            <w:tcW w:w="733" w:type="dxa"/>
            <w:vAlign w:val="center"/>
          </w:tcPr>
          <w:p w:rsidR="007C20F2" w:rsidRPr="00D33B70" w:rsidRDefault="007C20F2" w:rsidP="007C764C">
            <w:pPr>
              <w:overflowPunct/>
              <w:spacing w:before="60" w:after="60"/>
              <w:jc w:val="center"/>
              <w:textAlignment w:val="auto"/>
              <w:rPr>
                <w:rFonts w:cs="Arial"/>
                <w:color w:val="000000"/>
                <w:spacing w:val="0"/>
              </w:rPr>
            </w:pPr>
            <w:r w:rsidRPr="00D33B70">
              <w:rPr>
                <w:rFonts w:cs="Arial"/>
                <w:color w:val="000000"/>
                <w:spacing w:val="0"/>
              </w:rPr>
              <w:t>1%</w:t>
            </w:r>
          </w:p>
        </w:tc>
        <w:tc>
          <w:tcPr>
            <w:tcW w:w="3163" w:type="dxa"/>
            <w:vAlign w:val="center"/>
          </w:tcPr>
          <w:p w:rsidR="007C20F2" w:rsidRPr="00D33B70" w:rsidRDefault="007E1373" w:rsidP="007C764C">
            <w:pPr>
              <w:jc w:val="center"/>
              <w:rPr>
                <w:rFonts w:cs="Arial"/>
              </w:rPr>
            </w:pPr>
            <w:r w:rsidRPr="00D33B70">
              <w:rPr>
                <w:rFonts w:cs="Arial"/>
              </w:rPr>
              <w:t>2318</w:t>
            </w:r>
          </w:p>
        </w:tc>
        <w:tc>
          <w:tcPr>
            <w:tcW w:w="3163" w:type="dxa"/>
            <w:vAlign w:val="center"/>
          </w:tcPr>
          <w:p w:rsidR="007C20F2" w:rsidRPr="00D33B70" w:rsidRDefault="00CA0A1A" w:rsidP="007C764C">
            <w:pPr>
              <w:jc w:val="center"/>
              <w:rPr>
                <w:rFonts w:cs="Arial"/>
              </w:rPr>
            </w:pPr>
            <w:r w:rsidRPr="00D33B70">
              <w:rPr>
                <w:rFonts w:cs="Arial"/>
              </w:rPr>
              <w:t>3</w:t>
            </w:r>
            <w:r w:rsidR="002857F3" w:rsidRPr="00D33B70">
              <w:rPr>
                <w:rFonts w:cs="Arial"/>
              </w:rPr>
              <w:t>5</w:t>
            </w:r>
          </w:p>
        </w:tc>
      </w:tr>
    </w:tbl>
    <w:p w:rsidR="00927BE2" w:rsidRPr="00D33B70" w:rsidRDefault="00CA0A1A" w:rsidP="00CA0A1A">
      <w:pPr>
        <w:pStyle w:val="Text"/>
        <w:spacing w:before="0"/>
        <w:ind w:left="1276"/>
        <w:rPr>
          <w:sz w:val="16"/>
          <w:szCs w:val="16"/>
        </w:rPr>
      </w:pPr>
      <w:r w:rsidRPr="00D33B70">
        <w:rPr>
          <w:sz w:val="16"/>
          <w:szCs w:val="16"/>
        </w:rPr>
        <w:t>*Results based on properties surveyed by CoGG.</w:t>
      </w:r>
    </w:p>
    <w:p w:rsidR="00927BE2" w:rsidRPr="00D33B70" w:rsidRDefault="00927BE2">
      <w:pPr>
        <w:overflowPunct/>
        <w:autoSpaceDE/>
        <w:autoSpaceDN/>
        <w:adjustRightInd/>
        <w:jc w:val="left"/>
        <w:textAlignment w:val="auto"/>
      </w:pPr>
      <w:r w:rsidRPr="00D33B70">
        <w:br w:type="page"/>
      </w:r>
    </w:p>
    <w:p w:rsidR="00E93A42" w:rsidRPr="00D33B70" w:rsidRDefault="00E93A42" w:rsidP="00E93A42">
      <w:pPr>
        <w:pStyle w:val="Text"/>
      </w:pPr>
    </w:p>
    <w:p w:rsidR="00927BE2" w:rsidRPr="00D33B70" w:rsidRDefault="00927BE2" w:rsidP="00927BE2">
      <w:pPr>
        <w:pStyle w:val="Caption"/>
      </w:pPr>
      <w:bookmarkStart w:id="228" w:name="_Ref349152144"/>
      <w:bookmarkStart w:id="229" w:name="_Toc387308945"/>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5</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1</w:t>
      </w:r>
      <w:r w:rsidR="00FF3C04" w:rsidRPr="00D33B70">
        <w:fldChar w:fldCharType="end"/>
      </w:r>
      <w:bookmarkEnd w:id="228"/>
      <w:r w:rsidRPr="00D33B70">
        <w:tab/>
        <w:t>20% AEP Peak Flood Depth</w:t>
      </w:r>
      <w:bookmarkEnd w:id="229"/>
    </w:p>
    <w:p w:rsidR="00927BE2" w:rsidRPr="00D33B70" w:rsidRDefault="00927BE2" w:rsidP="00E93A42">
      <w:pPr>
        <w:pStyle w:val="Text"/>
      </w:pPr>
    </w:p>
    <w:p w:rsidR="00927BE2" w:rsidRPr="00D33B70" w:rsidRDefault="00927BE2" w:rsidP="00E93A42">
      <w:pPr>
        <w:pStyle w:val="Text"/>
      </w:pPr>
    </w:p>
    <w:p w:rsidR="00927BE2" w:rsidRPr="00D33B70" w:rsidRDefault="00927BE2">
      <w:pPr>
        <w:overflowPunct/>
        <w:autoSpaceDE/>
        <w:autoSpaceDN/>
        <w:adjustRightInd/>
        <w:jc w:val="left"/>
        <w:textAlignment w:val="auto"/>
      </w:pPr>
      <w:r w:rsidRPr="00D33B70">
        <w:br w:type="page"/>
      </w:r>
    </w:p>
    <w:p w:rsidR="00927BE2" w:rsidRPr="00D33B70" w:rsidRDefault="00927BE2">
      <w:pPr>
        <w:overflowPunct/>
        <w:autoSpaceDE/>
        <w:autoSpaceDN/>
        <w:adjustRightInd/>
        <w:jc w:val="left"/>
        <w:textAlignment w:val="auto"/>
      </w:pPr>
    </w:p>
    <w:p w:rsidR="00927BE2" w:rsidRPr="00D33B70" w:rsidRDefault="00927BE2" w:rsidP="00927BE2">
      <w:pPr>
        <w:pStyle w:val="Caption"/>
      </w:pPr>
      <w:bookmarkStart w:id="230" w:name="_Toc387308946"/>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5</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2</w:t>
      </w:r>
      <w:r w:rsidR="00FF3C04" w:rsidRPr="00D33B70">
        <w:fldChar w:fldCharType="end"/>
      </w:r>
      <w:r w:rsidRPr="00D33B70">
        <w:tab/>
        <w:t>10% AEP Peak Flood Depth</w:t>
      </w:r>
      <w:bookmarkEnd w:id="230"/>
    </w:p>
    <w:p w:rsidR="00927BE2" w:rsidRPr="00D33B70" w:rsidRDefault="00927BE2">
      <w:pPr>
        <w:overflowPunct/>
        <w:autoSpaceDE/>
        <w:autoSpaceDN/>
        <w:adjustRightInd/>
        <w:jc w:val="left"/>
        <w:textAlignment w:val="auto"/>
      </w:pPr>
    </w:p>
    <w:p w:rsidR="00927BE2" w:rsidRPr="00D33B70" w:rsidRDefault="00927BE2">
      <w:pPr>
        <w:overflowPunct/>
        <w:autoSpaceDE/>
        <w:autoSpaceDN/>
        <w:adjustRightInd/>
        <w:jc w:val="left"/>
        <w:textAlignment w:val="auto"/>
      </w:pPr>
    </w:p>
    <w:p w:rsidR="00927BE2" w:rsidRPr="00D33B70" w:rsidRDefault="00927BE2">
      <w:pPr>
        <w:overflowPunct/>
        <w:autoSpaceDE/>
        <w:autoSpaceDN/>
        <w:adjustRightInd/>
        <w:jc w:val="left"/>
        <w:textAlignment w:val="auto"/>
      </w:pPr>
      <w:r w:rsidRPr="00D33B70">
        <w:br w:type="page"/>
      </w:r>
    </w:p>
    <w:p w:rsidR="00927BE2" w:rsidRPr="00D33B70" w:rsidRDefault="00927BE2">
      <w:pPr>
        <w:overflowPunct/>
        <w:autoSpaceDE/>
        <w:autoSpaceDN/>
        <w:adjustRightInd/>
        <w:jc w:val="left"/>
        <w:textAlignment w:val="auto"/>
      </w:pPr>
    </w:p>
    <w:p w:rsidR="00927BE2" w:rsidRPr="00D33B70" w:rsidRDefault="00927BE2" w:rsidP="00927BE2">
      <w:pPr>
        <w:pStyle w:val="Caption"/>
      </w:pPr>
      <w:bookmarkStart w:id="231" w:name="_Toc387308947"/>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5</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3</w:t>
      </w:r>
      <w:r w:rsidR="00FF3C04" w:rsidRPr="00D33B70">
        <w:fldChar w:fldCharType="end"/>
      </w:r>
      <w:r w:rsidRPr="00D33B70">
        <w:tab/>
        <w:t>5% AEP Peak Flood Depth</w:t>
      </w:r>
      <w:bookmarkEnd w:id="231"/>
    </w:p>
    <w:p w:rsidR="00927BE2" w:rsidRPr="00D33B70" w:rsidRDefault="00927BE2">
      <w:pPr>
        <w:overflowPunct/>
        <w:autoSpaceDE/>
        <w:autoSpaceDN/>
        <w:adjustRightInd/>
        <w:jc w:val="left"/>
        <w:textAlignment w:val="auto"/>
      </w:pPr>
    </w:p>
    <w:p w:rsidR="00927BE2" w:rsidRPr="00D33B70" w:rsidRDefault="00927BE2">
      <w:pPr>
        <w:overflowPunct/>
        <w:autoSpaceDE/>
        <w:autoSpaceDN/>
        <w:adjustRightInd/>
        <w:jc w:val="left"/>
        <w:textAlignment w:val="auto"/>
      </w:pPr>
    </w:p>
    <w:p w:rsidR="00927BE2" w:rsidRPr="00D33B70" w:rsidRDefault="00927BE2">
      <w:pPr>
        <w:overflowPunct/>
        <w:autoSpaceDE/>
        <w:autoSpaceDN/>
        <w:adjustRightInd/>
        <w:jc w:val="left"/>
        <w:textAlignment w:val="auto"/>
      </w:pPr>
    </w:p>
    <w:p w:rsidR="00927BE2" w:rsidRPr="00D33B70" w:rsidRDefault="00927BE2">
      <w:pPr>
        <w:overflowPunct/>
        <w:autoSpaceDE/>
        <w:autoSpaceDN/>
        <w:adjustRightInd/>
        <w:jc w:val="left"/>
        <w:textAlignment w:val="auto"/>
      </w:pPr>
    </w:p>
    <w:p w:rsidR="00927BE2" w:rsidRPr="00D33B70" w:rsidRDefault="00927BE2">
      <w:pPr>
        <w:overflowPunct/>
        <w:autoSpaceDE/>
        <w:autoSpaceDN/>
        <w:adjustRightInd/>
        <w:jc w:val="left"/>
        <w:textAlignment w:val="auto"/>
      </w:pPr>
      <w:r w:rsidRPr="00D33B70">
        <w:br w:type="page"/>
      </w:r>
    </w:p>
    <w:p w:rsidR="00927BE2" w:rsidRPr="00D33B70" w:rsidRDefault="00927BE2" w:rsidP="00E93A42">
      <w:pPr>
        <w:pStyle w:val="Text"/>
      </w:pPr>
    </w:p>
    <w:p w:rsidR="00927BE2" w:rsidRPr="00D33B70" w:rsidRDefault="00927BE2" w:rsidP="00E93A42">
      <w:pPr>
        <w:pStyle w:val="Text"/>
      </w:pPr>
    </w:p>
    <w:p w:rsidR="00927BE2" w:rsidRPr="00D33B70" w:rsidRDefault="00927BE2" w:rsidP="00927BE2">
      <w:pPr>
        <w:pStyle w:val="Caption"/>
      </w:pPr>
      <w:bookmarkStart w:id="232" w:name="_Ref349152156"/>
      <w:bookmarkStart w:id="233" w:name="_Toc387308948"/>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5</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4</w:t>
      </w:r>
      <w:r w:rsidR="00FF3C04" w:rsidRPr="00D33B70">
        <w:fldChar w:fldCharType="end"/>
      </w:r>
      <w:bookmarkEnd w:id="232"/>
      <w:r w:rsidRPr="00D33B70">
        <w:tab/>
        <w:t>1% AEP Peak Flood Depth</w:t>
      </w:r>
      <w:bookmarkEnd w:id="233"/>
    </w:p>
    <w:p w:rsidR="00927BE2" w:rsidRPr="00D33B70" w:rsidRDefault="00927BE2" w:rsidP="00927BE2">
      <w:pPr>
        <w:pStyle w:val="Text"/>
      </w:pPr>
    </w:p>
    <w:p w:rsidR="00927BE2" w:rsidRPr="00D33B70" w:rsidRDefault="00927BE2" w:rsidP="00927BE2">
      <w:pPr>
        <w:pStyle w:val="Text"/>
      </w:pPr>
    </w:p>
    <w:p w:rsidR="00927BE2" w:rsidRPr="00D33B70" w:rsidRDefault="00927BE2" w:rsidP="00927BE2">
      <w:pPr>
        <w:pStyle w:val="Text"/>
      </w:pPr>
    </w:p>
    <w:p w:rsidR="00927BE2" w:rsidRPr="00D33B70" w:rsidRDefault="00927BE2" w:rsidP="00927BE2">
      <w:pPr>
        <w:pStyle w:val="Text"/>
      </w:pPr>
    </w:p>
    <w:p w:rsidR="00927BE2" w:rsidRPr="00D33B70" w:rsidRDefault="00927BE2">
      <w:pPr>
        <w:overflowPunct/>
        <w:autoSpaceDE/>
        <w:autoSpaceDN/>
        <w:adjustRightInd/>
        <w:jc w:val="left"/>
        <w:textAlignment w:val="auto"/>
      </w:pPr>
      <w:r w:rsidRPr="00D33B70">
        <w:br w:type="page"/>
      </w:r>
    </w:p>
    <w:p w:rsidR="00927BE2" w:rsidRPr="00D33B70" w:rsidRDefault="00927BE2">
      <w:pPr>
        <w:overflowPunct/>
        <w:autoSpaceDE/>
        <w:autoSpaceDN/>
        <w:adjustRightInd/>
        <w:jc w:val="left"/>
        <w:textAlignment w:val="auto"/>
      </w:pPr>
    </w:p>
    <w:p w:rsidR="00927BE2" w:rsidRPr="00D33B70" w:rsidRDefault="00927BE2" w:rsidP="00927BE2">
      <w:pPr>
        <w:pStyle w:val="Caption"/>
      </w:pPr>
      <w:bookmarkStart w:id="234" w:name="_Ref349202608"/>
      <w:bookmarkStart w:id="235" w:name="_Toc387308949"/>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5</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5</w:t>
      </w:r>
      <w:r w:rsidR="00FF3C04" w:rsidRPr="00D33B70">
        <w:fldChar w:fldCharType="end"/>
      </w:r>
      <w:bookmarkEnd w:id="234"/>
      <w:r w:rsidRPr="00D33B70">
        <w:tab/>
        <w:t>20% AEP Flood Hazard</w:t>
      </w:r>
      <w:bookmarkEnd w:id="235"/>
    </w:p>
    <w:p w:rsidR="00927BE2" w:rsidRPr="00D33B70" w:rsidRDefault="00927BE2">
      <w:pPr>
        <w:overflowPunct/>
        <w:autoSpaceDE/>
        <w:autoSpaceDN/>
        <w:adjustRightInd/>
        <w:jc w:val="left"/>
        <w:textAlignment w:val="auto"/>
      </w:pPr>
    </w:p>
    <w:p w:rsidR="00927BE2" w:rsidRPr="00D33B70" w:rsidRDefault="00927BE2">
      <w:pPr>
        <w:overflowPunct/>
        <w:autoSpaceDE/>
        <w:autoSpaceDN/>
        <w:adjustRightInd/>
        <w:jc w:val="left"/>
        <w:textAlignment w:val="auto"/>
      </w:pPr>
    </w:p>
    <w:p w:rsidR="00927BE2" w:rsidRPr="00D33B70" w:rsidRDefault="00927BE2">
      <w:pPr>
        <w:overflowPunct/>
        <w:autoSpaceDE/>
        <w:autoSpaceDN/>
        <w:adjustRightInd/>
        <w:jc w:val="left"/>
        <w:textAlignment w:val="auto"/>
      </w:pPr>
    </w:p>
    <w:p w:rsidR="00927BE2" w:rsidRPr="00D33B70" w:rsidRDefault="00927BE2">
      <w:pPr>
        <w:overflowPunct/>
        <w:autoSpaceDE/>
        <w:autoSpaceDN/>
        <w:adjustRightInd/>
        <w:jc w:val="left"/>
        <w:textAlignment w:val="auto"/>
      </w:pPr>
    </w:p>
    <w:p w:rsidR="00927BE2" w:rsidRPr="00D33B70" w:rsidRDefault="00927BE2">
      <w:pPr>
        <w:overflowPunct/>
        <w:autoSpaceDE/>
        <w:autoSpaceDN/>
        <w:adjustRightInd/>
        <w:jc w:val="left"/>
        <w:textAlignment w:val="auto"/>
      </w:pPr>
      <w:r w:rsidRPr="00D33B70">
        <w:br w:type="page"/>
      </w:r>
    </w:p>
    <w:p w:rsidR="00927BE2" w:rsidRPr="00D33B70" w:rsidRDefault="00927BE2">
      <w:pPr>
        <w:overflowPunct/>
        <w:autoSpaceDE/>
        <w:autoSpaceDN/>
        <w:adjustRightInd/>
        <w:jc w:val="left"/>
        <w:textAlignment w:val="auto"/>
      </w:pPr>
    </w:p>
    <w:p w:rsidR="00927BE2" w:rsidRPr="00D33B70" w:rsidRDefault="00927BE2">
      <w:pPr>
        <w:overflowPunct/>
        <w:autoSpaceDE/>
        <w:autoSpaceDN/>
        <w:adjustRightInd/>
        <w:jc w:val="left"/>
        <w:textAlignment w:val="auto"/>
      </w:pPr>
    </w:p>
    <w:p w:rsidR="00927BE2" w:rsidRPr="00D33B70" w:rsidRDefault="00927BE2" w:rsidP="00927BE2">
      <w:pPr>
        <w:pStyle w:val="Caption"/>
      </w:pPr>
      <w:bookmarkStart w:id="236" w:name="_Toc387308950"/>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5</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6</w:t>
      </w:r>
      <w:r w:rsidR="00FF3C04" w:rsidRPr="00D33B70">
        <w:fldChar w:fldCharType="end"/>
      </w:r>
      <w:r w:rsidRPr="00D33B70">
        <w:tab/>
        <w:t>10% AEP Flood Hazard</w:t>
      </w:r>
      <w:bookmarkEnd w:id="236"/>
    </w:p>
    <w:p w:rsidR="00927BE2" w:rsidRPr="00D33B70" w:rsidRDefault="00927BE2">
      <w:pPr>
        <w:overflowPunct/>
        <w:autoSpaceDE/>
        <w:autoSpaceDN/>
        <w:adjustRightInd/>
        <w:jc w:val="left"/>
        <w:textAlignment w:val="auto"/>
      </w:pPr>
    </w:p>
    <w:p w:rsidR="00927BE2" w:rsidRPr="00D33B70" w:rsidRDefault="00927BE2">
      <w:pPr>
        <w:overflowPunct/>
        <w:autoSpaceDE/>
        <w:autoSpaceDN/>
        <w:adjustRightInd/>
        <w:jc w:val="left"/>
        <w:textAlignment w:val="auto"/>
      </w:pPr>
    </w:p>
    <w:p w:rsidR="00406817" w:rsidRPr="00D33B70" w:rsidRDefault="00406817">
      <w:pPr>
        <w:overflowPunct/>
        <w:autoSpaceDE/>
        <w:autoSpaceDN/>
        <w:adjustRightInd/>
        <w:jc w:val="left"/>
        <w:textAlignment w:val="auto"/>
      </w:pPr>
    </w:p>
    <w:p w:rsidR="00927BE2" w:rsidRPr="00D33B70" w:rsidRDefault="00927BE2">
      <w:pPr>
        <w:overflowPunct/>
        <w:autoSpaceDE/>
        <w:autoSpaceDN/>
        <w:adjustRightInd/>
        <w:jc w:val="left"/>
        <w:textAlignment w:val="auto"/>
      </w:pPr>
    </w:p>
    <w:p w:rsidR="00927BE2" w:rsidRPr="00D33B70" w:rsidRDefault="00927BE2">
      <w:pPr>
        <w:overflowPunct/>
        <w:autoSpaceDE/>
        <w:autoSpaceDN/>
        <w:adjustRightInd/>
        <w:jc w:val="left"/>
        <w:textAlignment w:val="auto"/>
      </w:pPr>
      <w:r w:rsidRPr="00D33B70">
        <w:br w:type="page"/>
      </w:r>
    </w:p>
    <w:p w:rsidR="00927BE2" w:rsidRPr="00D33B70" w:rsidRDefault="00927BE2">
      <w:pPr>
        <w:overflowPunct/>
        <w:autoSpaceDE/>
        <w:autoSpaceDN/>
        <w:adjustRightInd/>
        <w:jc w:val="left"/>
        <w:textAlignment w:val="auto"/>
      </w:pPr>
    </w:p>
    <w:p w:rsidR="00927BE2" w:rsidRPr="00D33B70" w:rsidRDefault="00927BE2">
      <w:pPr>
        <w:overflowPunct/>
        <w:autoSpaceDE/>
        <w:autoSpaceDN/>
        <w:adjustRightInd/>
        <w:jc w:val="left"/>
        <w:textAlignment w:val="auto"/>
      </w:pPr>
    </w:p>
    <w:p w:rsidR="00927BE2" w:rsidRPr="00D33B70" w:rsidRDefault="00927BE2" w:rsidP="00927BE2">
      <w:pPr>
        <w:pStyle w:val="Caption"/>
      </w:pPr>
      <w:bookmarkStart w:id="237" w:name="_Toc387308951"/>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5</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7</w:t>
      </w:r>
      <w:r w:rsidR="00FF3C04" w:rsidRPr="00D33B70">
        <w:fldChar w:fldCharType="end"/>
      </w:r>
      <w:r w:rsidRPr="00D33B70">
        <w:tab/>
        <w:t>5% AEP Flood Hazard</w:t>
      </w:r>
      <w:bookmarkEnd w:id="237"/>
    </w:p>
    <w:p w:rsidR="00927BE2" w:rsidRPr="00D33B70" w:rsidRDefault="00927BE2">
      <w:pPr>
        <w:overflowPunct/>
        <w:autoSpaceDE/>
        <w:autoSpaceDN/>
        <w:adjustRightInd/>
        <w:jc w:val="left"/>
        <w:textAlignment w:val="auto"/>
      </w:pPr>
    </w:p>
    <w:p w:rsidR="00633451" w:rsidRPr="00D33B70" w:rsidRDefault="00633451">
      <w:pPr>
        <w:overflowPunct/>
        <w:autoSpaceDE/>
        <w:autoSpaceDN/>
        <w:adjustRightInd/>
        <w:jc w:val="left"/>
        <w:textAlignment w:val="auto"/>
      </w:pPr>
    </w:p>
    <w:p w:rsidR="00927BE2" w:rsidRPr="00D33B70" w:rsidRDefault="00927BE2">
      <w:pPr>
        <w:overflowPunct/>
        <w:autoSpaceDE/>
        <w:autoSpaceDN/>
        <w:adjustRightInd/>
        <w:jc w:val="left"/>
        <w:textAlignment w:val="auto"/>
      </w:pPr>
    </w:p>
    <w:p w:rsidR="00927BE2" w:rsidRPr="00D33B70" w:rsidRDefault="00927BE2">
      <w:pPr>
        <w:overflowPunct/>
        <w:autoSpaceDE/>
        <w:autoSpaceDN/>
        <w:adjustRightInd/>
        <w:jc w:val="left"/>
        <w:textAlignment w:val="auto"/>
      </w:pPr>
    </w:p>
    <w:p w:rsidR="00927BE2" w:rsidRPr="00D33B70" w:rsidRDefault="00927BE2">
      <w:pPr>
        <w:overflowPunct/>
        <w:autoSpaceDE/>
        <w:autoSpaceDN/>
        <w:adjustRightInd/>
        <w:jc w:val="left"/>
        <w:textAlignment w:val="auto"/>
      </w:pPr>
    </w:p>
    <w:p w:rsidR="00927BE2" w:rsidRPr="00D33B70" w:rsidRDefault="00927BE2">
      <w:pPr>
        <w:overflowPunct/>
        <w:autoSpaceDE/>
        <w:autoSpaceDN/>
        <w:adjustRightInd/>
        <w:jc w:val="left"/>
        <w:textAlignment w:val="auto"/>
      </w:pPr>
      <w:r w:rsidRPr="00D33B70">
        <w:br w:type="page"/>
      </w:r>
    </w:p>
    <w:p w:rsidR="00927BE2" w:rsidRPr="00D33B70" w:rsidRDefault="00927BE2" w:rsidP="00E93A42">
      <w:pPr>
        <w:pStyle w:val="Text"/>
      </w:pPr>
    </w:p>
    <w:p w:rsidR="00927BE2" w:rsidRPr="00D33B70" w:rsidRDefault="00927BE2" w:rsidP="00E93A42">
      <w:pPr>
        <w:pStyle w:val="Text"/>
      </w:pPr>
    </w:p>
    <w:p w:rsidR="00927BE2" w:rsidRPr="00D33B70" w:rsidRDefault="00927BE2" w:rsidP="00927BE2">
      <w:pPr>
        <w:pStyle w:val="Caption"/>
      </w:pPr>
      <w:bookmarkStart w:id="238" w:name="_Ref349202618"/>
      <w:bookmarkStart w:id="239" w:name="_Toc387308952"/>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5</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8</w:t>
      </w:r>
      <w:r w:rsidR="00FF3C04" w:rsidRPr="00D33B70">
        <w:fldChar w:fldCharType="end"/>
      </w:r>
      <w:bookmarkEnd w:id="238"/>
      <w:r w:rsidRPr="00D33B70">
        <w:tab/>
        <w:t>1% AEP Flood Hazard</w:t>
      </w:r>
      <w:bookmarkEnd w:id="239"/>
    </w:p>
    <w:p w:rsidR="00A83F38" w:rsidRPr="00D33B70" w:rsidRDefault="00A83F38" w:rsidP="00430B8C">
      <w:pPr>
        <w:pStyle w:val="Text"/>
      </w:pPr>
    </w:p>
    <w:p w:rsidR="00927BE2" w:rsidRPr="00D33B70" w:rsidRDefault="00927BE2" w:rsidP="00430B8C">
      <w:pPr>
        <w:pStyle w:val="Text"/>
      </w:pPr>
    </w:p>
    <w:p w:rsidR="00927BE2" w:rsidRPr="00D33B70" w:rsidRDefault="00927BE2" w:rsidP="00430B8C">
      <w:pPr>
        <w:pStyle w:val="Text"/>
      </w:pPr>
    </w:p>
    <w:p w:rsidR="00927BE2" w:rsidRPr="00D33B70" w:rsidRDefault="00927BE2" w:rsidP="00430B8C">
      <w:pPr>
        <w:pStyle w:val="Text"/>
        <w:sectPr w:rsidR="00927BE2" w:rsidRPr="00D33B70" w:rsidSect="007018E6">
          <w:pgSz w:w="11907" w:h="16840"/>
          <w:pgMar w:top="1418" w:right="1134" w:bottom="1418" w:left="1134" w:header="851" w:footer="828" w:gutter="0"/>
          <w:pgNumType w:start="1" w:chapStyle="1"/>
          <w:cols w:space="720"/>
        </w:sectPr>
      </w:pPr>
    </w:p>
    <w:p w:rsidR="00A83F38" w:rsidRPr="00D33B70" w:rsidRDefault="007C764C" w:rsidP="00430B8C">
      <w:pPr>
        <w:pStyle w:val="Heading1"/>
      </w:pPr>
      <w:bookmarkStart w:id="240" w:name="_Ref367885804"/>
      <w:bookmarkStart w:id="241" w:name="_Ref367885850"/>
      <w:bookmarkStart w:id="242" w:name="_Ref367885863"/>
      <w:bookmarkStart w:id="243" w:name="_Toc387308895"/>
      <w:r w:rsidRPr="00D33B70">
        <w:lastRenderedPageBreak/>
        <w:t>Flood Damages Assessment</w:t>
      </w:r>
      <w:bookmarkEnd w:id="240"/>
      <w:bookmarkEnd w:id="241"/>
      <w:bookmarkEnd w:id="242"/>
      <w:bookmarkEnd w:id="243"/>
    </w:p>
    <w:p w:rsidR="007C764C" w:rsidRPr="00D33B70" w:rsidRDefault="007C764C" w:rsidP="007C764C">
      <w:pPr>
        <w:pStyle w:val="Text"/>
      </w:pPr>
      <w:r w:rsidRPr="00D33B70">
        <w:t>Flood damage assessment is an important component of any floodplain management framework.  This type of analysis enables the floodplain manager to gain an understanding of the magnitude of assets under threat from flooding.  The method adopted for the study is ANUFLOOD, which is described in more detail in the following sections.</w:t>
      </w:r>
    </w:p>
    <w:p w:rsidR="007C764C" w:rsidRPr="00D33B70" w:rsidRDefault="007C764C" w:rsidP="00B26EF8">
      <w:pPr>
        <w:pStyle w:val="Heading2"/>
      </w:pPr>
      <w:bookmarkStart w:id="244" w:name="_Toc387308896"/>
      <w:r w:rsidRPr="00D33B70">
        <w:t>Methodology</w:t>
      </w:r>
      <w:bookmarkEnd w:id="244"/>
    </w:p>
    <w:p w:rsidR="007C764C" w:rsidRPr="00D33B70" w:rsidRDefault="007C764C" w:rsidP="007C764C">
      <w:pPr>
        <w:pStyle w:val="Text"/>
        <w:numPr>
          <w:ilvl w:val="12"/>
          <w:numId w:val="0"/>
        </w:numPr>
        <w:ind w:left="851"/>
      </w:pPr>
      <w:r w:rsidRPr="00D33B70">
        <w:t>The basic procedure for calculating the monetary flood damages is provided below.</w:t>
      </w:r>
    </w:p>
    <w:p w:rsidR="00201269" w:rsidRPr="00D33B70" w:rsidRDefault="00201269" w:rsidP="00A95E7A">
      <w:pPr>
        <w:pStyle w:val="Text"/>
        <w:numPr>
          <w:ilvl w:val="0"/>
          <w:numId w:val="16"/>
        </w:numPr>
        <w:ind w:left="1587"/>
        <w:textAlignment w:val="auto"/>
      </w:pPr>
      <w:r w:rsidRPr="00D33B70">
        <w:t>Prepare the appropriate relationships between depth of flooding and the assigned monetary value of damages (stage-damage curves).</w:t>
      </w:r>
    </w:p>
    <w:p w:rsidR="00201269" w:rsidRPr="00D33B70" w:rsidRDefault="00201269" w:rsidP="00A95E7A">
      <w:pPr>
        <w:pStyle w:val="Text"/>
        <w:numPr>
          <w:ilvl w:val="0"/>
          <w:numId w:val="16"/>
        </w:numPr>
        <w:ind w:left="1587"/>
        <w:textAlignment w:val="auto"/>
      </w:pPr>
      <w:r w:rsidRPr="00D33B70">
        <w:t>Gather the required input information detailing the characteristics of the buildings, agricultural enterprises and infrastructure that will be assessed.  This in</w:t>
      </w:r>
      <w:r w:rsidR="003708BE" w:rsidRPr="00D33B70">
        <w:t>cludes data such as floor level and,</w:t>
      </w:r>
      <w:r w:rsidRPr="00D33B70">
        <w:t xml:space="preserve"> building type, size and condition</w:t>
      </w:r>
      <w:r w:rsidR="003708BE" w:rsidRPr="00D33B70">
        <w:t>.</w:t>
      </w:r>
    </w:p>
    <w:p w:rsidR="00201269" w:rsidRPr="00D33B70" w:rsidRDefault="00201269" w:rsidP="00A95E7A">
      <w:pPr>
        <w:pStyle w:val="Text"/>
        <w:numPr>
          <w:ilvl w:val="0"/>
          <w:numId w:val="16"/>
        </w:numPr>
        <w:ind w:left="1587"/>
        <w:textAlignment w:val="auto"/>
      </w:pPr>
      <w:r w:rsidRPr="00D33B70">
        <w:t xml:space="preserve">Determine the design flood event impacts on individual </w:t>
      </w:r>
      <w:r w:rsidR="003708BE" w:rsidRPr="00D33B70">
        <w:t xml:space="preserve">properties and </w:t>
      </w:r>
      <w:r w:rsidRPr="00D33B70">
        <w:t>buildings</w:t>
      </w:r>
      <w:r w:rsidR="003708BE" w:rsidRPr="00D33B70">
        <w:t xml:space="preserve">.  </w:t>
      </w:r>
      <w:r w:rsidRPr="00D33B70">
        <w:t xml:space="preserve">For this assessment the 20%, 10%, 5%, </w:t>
      </w:r>
      <w:r w:rsidR="003708BE" w:rsidRPr="00D33B70">
        <w:t>and</w:t>
      </w:r>
      <w:r w:rsidRPr="00D33B70">
        <w:t xml:space="preserve"> 1% design flood events have been used.</w:t>
      </w:r>
    </w:p>
    <w:p w:rsidR="00201269" w:rsidRPr="00D33B70" w:rsidRDefault="00201269" w:rsidP="00A95E7A">
      <w:pPr>
        <w:pStyle w:val="Text"/>
        <w:numPr>
          <w:ilvl w:val="0"/>
          <w:numId w:val="16"/>
        </w:numPr>
        <w:ind w:left="1587"/>
        <w:textAlignment w:val="auto"/>
      </w:pPr>
      <w:r w:rsidRPr="00D33B70">
        <w:t>Produce the total estimated potential damages for each design flood event across the study area and present the results in a probability-damage graph.</w:t>
      </w:r>
    </w:p>
    <w:p w:rsidR="00201269" w:rsidRPr="00D33B70" w:rsidRDefault="00201269" w:rsidP="00A95E7A">
      <w:pPr>
        <w:pStyle w:val="Text"/>
        <w:numPr>
          <w:ilvl w:val="0"/>
          <w:numId w:val="16"/>
        </w:numPr>
        <w:ind w:left="1587"/>
        <w:textAlignment w:val="auto"/>
      </w:pPr>
      <w:r w:rsidRPr="00D33B70">
        <w:t>Assume indirect damages based on the magnitude of direct damages.</w:t>
      </w:r>
    </w:p>
    <w:p w:rsidR="00201269" w:rsidRPr="00D33B70" w:rsidRDefault="00201269" w:rsidP="00A95E7A">
      <w:pPr>
        <w:pStyle w:val="Bullets"/>
        <w:numPr>
          <w:ilvl w:val="0"/>
          <w:numId w:val="16"/>
        </w:numPr>
        <w:tabs>
          <w:tab w:val="left" w:pos="1560"/>
        </w:tabs>
        <w:ind w:left="1587" w:right="838"/>
        <w:jc w:val="both"/>
      </w:pPr>
      <w:r w:rsidRPr="00D33B70">
        <w:t>Determine the average annual damages (AAD).</w:t>
      </w:r>
    </w:p>
    <w:p w:rsidR="003708BE" w:rsidRPr="00D33B70" w:rsidRDefault="003708BE" w:rsidP="00B26EF8">
      <w:pPr>
        <w:pStyle w:val="Heading3"/>
      </w:pPr>
      <w:bookmarkStart w:id="245" w:name="_Toc387308897"/>
      <w:r w:rsidRPr="00D33B70">
        <w:t>Key Assumptions</w:t>
      </w:r>
      <w:bookmarkEnd w:id="245"/>
    </w:p>
    <w:p w:rsidR="003708BE" w:rsidRPr="00D33B70" w:rsidRDefault="003708BE" w:rsidP="003708BE">
      <w:pPr>
        <w:pStyle w:val="Text"/>
      </w:pPr>
      <w:r w:rsidRPr="00D33B70">
        <w:t>In order to undertake a damage assessment a number of assumptions are required.  The key assumptions for the flood damages assessment for the study were as follows</w:t>
      </w:r>
      <w:r w:rsidR="00A62145" w:rsidRPr="00D33B70">
        <w:t>:</w:t>
      </w:r>
    </w:p>
    <w:p w:rsidR="003708BE" w:rsidRPr="00D33B70" w:rsidRDefault="003708BE" w:rsidP="003708BE">
      <w:pPr>
        <w:pStyle w:val="Text"/>
        <w:numPr>
          <w:ilvl w:val="0"/>
          <w:numId w:val="18"/>
        </w:numPr>
        <w:textAlignment w:val="auto"/>
      </w:pPr>
      <w:r w:rsidRPr="00D33B70">
        <w:t xml:space="preserve">The damage rates used </w:t>
      </w:r>
      <w:r w:rsidR="00D360C4" w:rsidRPr="00D33B70">
        <w:t>were based on</w:t>
      </w:r>
      <w:r w:rsidRPr="00D33B70">
        <w:t xml:space="preserve"> th</w:t>
      </w:r>
      <w:r w:rsidR="00D360C4" w:rsidRPr="00D33B70">
        <w:t xml:space="preserve">ose contained in the </w:t>
      </w:r>
      <w:r w:rsidRPr="00D33B70">
        <w:t>RAM and ANUFLOOD methods</w:t>
      </w:r>
      <w:r w:rsidR="00D360C4" w:rsidRPr="00D33B70">
        <w:t>.  They</w:t>
      </w:r>
      <w:r w:rsidRPr="00D33B70">
        <w:t xml:space="preserve"> were indexed to a monetary value relative to that at the end of the </w:t>
      </w:r>
      <w:r w:rsidR="00BA58E5" w:rsidRPr="00D33B70">
        <w:t>December</w:t>
      </w:r>
      <w:r w:rsidRPr="00D33B70">
        <w:t xml:space="preserve"> quarter of 2012.</w:t>
      </w:r>
    </w:p>
    <w:p w:rsidR="0047013F" w:rsidRPr="00D33B70" w:rsidRDefault="0047013F" w:rsidP="0047013F">
      <w:pPr>
        <w:pStyle w:val="Text"/>
        <w:numPr>
          <w:ilvl w:val="0"/>
          <w:numId w:val="18"/>
        </w:numPr>
        <w:textAlignment w:val="auto"/>
      </w:pPr>
      <w:r w:rsidRPr="00D33B70">
        <w:t>Property boundaries were defined by the cadastral layer provided by CoGG.  The properties within this were then given a land use type based on the planning scheme zones provided by CoGG.</w:t>
      </w:r>
    </w:p>
    <w:p w:rsidR="0047013F" w:rsidRPr="00D33B70" w:rsidRDefault="0047013F" w:rsidP="00007E4E">
      <w:pPr>
        <w:pStyle w:val="Text"/>
        <w:numPr>
          <w:ilvl w:val="0"/>
          <w:numId w:val="18"/>
        </w:numPr>
        <w:textAlignment w:val="auto"/>
      </w:pPr>
      <w:r w:rsidRPr="00D33B70">
        <w:t>Building floor levels were provided for properties identified by the CoGG as being “at risk” of flooding.</w:t>
      </w:r>
    </w:p>
    <w:p w:rsidR="0047013F" w:rsidRPr="00D33B70" w:rsidRDefault="0047013F" w:rsidP="0047013F">
      <w:pPr>
        <w:pStyle w:val="Text"/>
        <w:numPr>
          <w:ilvl w:val="0"/>
          <w:numId w:val="18"/>
        </w:numPr>
        <w:textAlignment w:val="auto"/>
      </w:pPr>
      <w:r w:rsidRPr="00D33B70">
        <w:t>External residential damages were determined for all properties within the study area</w:t>
      </w:r>
      <w:r w:rsidR="007A5E51" w:rsidRPr="00D33B70">
        <w:t>,</w:t>
      </w:r>
      <w:r w:rsidRPr="00D33B70">
        <w:t xml:space="preserve"> while building damages were determined for those with floor levels supplied by CoGG.</w:t>
      </w:r>
    </w:p>
    <w:p w:rsidR="0047013F" w:rsidRPr="00D33B70" w:rsidRDefault="00632DC5" w:rsidP="0047013F">
      <w:pPr>
        <w:pStyle w:val="Text"/>
        <w:numPr>
          <w:ilvl w:val="0"/>
          <w:numId w:val="18"/>
        </w:numPr>
        <w:textAlignment w:val="auto"/>
      </w:pPr>
      <w:r w:rsidRPr="00D33B70">
        <w:t>On a given property, a</w:t>
      </w:r>
      <w:r w:rsidR="0047013F" w:rsidRPr="00D33B70">
        <w:t xml:space="preserve"> mean flood depth of below 50 mm results in no external damages</w:t>
      </w:r>
      <w:r w:rsidR="007A5E51" w:rsidRPr="00D33B70">
        <w:t xml:space="preserve"> and maximum external damages are </w:t>
      </w:r>
      <w:r w:rsidR="00BE725D" w:rsidRPr="00D33B70">
        <w:t xml:space="preserve">incurred </w:t>
      </w:r>
      <w:r w:rsidR="007A5E51" w:rsidRPr="00D33B70">
        <w:t>at a mean flood depth of 500 mm.</w:t>
      </w:r>
    </w:p>
    <w:p w:rsidR="003708BE" w:rsidRPr="00D33B70" w:rsidRDefault="003708BE" w:rsidP="003708BE">
      <w:pPr>
        <w:pStyle w:val="Bullets"/>
        <w:numPr>
          <w:ilvl w:val="0"/>
          <w:numId w:val="18"/>
        </w:numPr>
        <w:tabs>
          <w:tab w:val="left" w:pos="1560"/>
        </w:tabs>
        <w:ind w:right="838"/>
        <w:jc w:val="both"/>
        <w:textAlignment w:val="auto"/>
      </w:pPr>
      <w:r w:rsidRPr="00D33B70">
        <w:lastRenderedPageBreak/>
        <w:t>There are no damages as a result of flooding in a 50% AEP (2 year ARI) design event.</w:t>
      </w:r>
    </w:p>
    <w:p w:rsidR="003708BE" w:rsidRPr="00D33B70" w:rsidRDefault="003708BE" w:rsidP="003708BE">
      <w:pPr>
        <w:pStyle w:val="Bullets"/>
        <w:numPr>
          <w:ilvl w:val="0"/>
          <w:numId w:val="18"/>
        </w:numPr>
        <w:tabs>
          <w:tab w:val="left" w:pos="1560"/>
        </w:tabs>
        <w:ind w:right="838"/>
        <w:jc w:val="both"/>
        <w:textAlignment w:val="auto"/>
      </w:pPr>
      <w:r w:rsidRPr="00D33B70">
        <w:t>Velocities experienced within the floodplain were not of a magnitude to destroy a building beyond repair.</w:t>
      </w:r>
    </w:p>
    <w:p w:rsidR="003708BE" w:rsidRPr="00D33B70" w:rsidRDefault="003708BE" w:rsidP="003708BE">
      <w:pPr>
        <w:pStyle w:val="Bullets"/>
        <w:numPr>
          <w:ilvl w:val="0"/>
          <w:numId w:val="18"/>
        </w:numPr>
        <w:tabs>
          <w:tab w:val="left" w:pos="1560"/>
        </w:tabs>
        <w:ind w:right="838"/>
        <w:jc w:val="both"/>
        <w:textAlignment w:val="auto"/>
      </w:pPr>
      <w:r w:rsidRPr="00D33B70">
        <w:t>Indirect damages were 30% of direct damages as recommended in the RAM guidelines (NRE 2000).</w:t>
      </w:r>
    </w:p>
    <w:p w:rsidR="003708BE" w:rsidRPr="00D33B70" w:rsidRDefault="003708BE" w:rsidP="003708BE">
      <w:pPr>
        <w:pStyle w:val="Bullets"/>
        <w:numPr>
          <w:ilvl w:val="0"/>
          <w:numId w:val="18"/>
        </w:numPr>
        <w:tabs>
          <w:tab w:val="left" w:pos="1560"/>
        </w:tabs>
        <w:ind w:right="838"/>
        <w:jc w:val="both"/>
        <w:textAlignment w:val="auto"/>
      </w:pPr>
      <w:r w:rsidRPr="00D33B70">
        <w:t>The community is inexperienced with flooding</w:t>
      </w:r>
      <w:r w:rsidR="00632DC5" w:rsidRPr="00D33B70">
        <w:t xml:space="preserve">.  </w:t>
      </w:r>
      <w:r w:rsidRPr="00D33B70">
        <w:t xml:space="preserve">This assumption was based on the potentially long time periods between major flood events in </w:t>
      </w:r>
      <w:r w:rsidR="009239F3" w:rsidRPr="00D33B70">
        <w:t>the catchment</w:t>
      </w:r>
      <w:r w:rsidRPr="00D33B70">
        <w:t>.</w:t>
      </w:r>
    </w:p>
    <w:p w:rsidR="00632DC5" w:rsidRPr="00D33B70" w:rsidRDefault="00632DC5" w:rsidP="003708BE">
      <w:pPr>
        <w:pStyle w:val="Bullets"/>
        <w:numPr>
          <w:ilvl w:val="0"/>
          <w:numId w:val="18"/>
        </w:numPr>
        <w:tabs>
          <w:tab w:val="left" w:pos="1560"/>
        </w:tabs>
        <w:ind w:right="838"/>
        <w:jc w:val="both"/>
        <w:textAlignment w:val="auto"/>
      </w:pPr>
      <w:r w:rsidRPr="00D33B70">
        <w:t>The community have less than 2 hours warning time before a flood event occurs.</w:t>
      </w:r>
    </w:p>
    <w:p w:rsidR="003708BE" w:rsidRPr="00D33B70" w:rsidRDefault="003708BE" w:rsidP="00007E4E">
      <w:pPr>
        <w:pStyle w:val="Bullets"/>
        <w:numPr>
          <w:ilvl w:val="0"/>
          <w:numId w:val="18"/>
        </w:numPr>
        <w:tabs>
          <w:tab w:val="left" w:pos="1560"/>
        </w:tabs>
        <w:ind w:right="838"/>
        <w:jc w:val="both"/>
        <w:textAlignment w:val="auto"/>
      </w:pPr>
      <w:r w:rsidRPr="00D33B70">
        <w:t xml:space="preserve">The condition of all buildings is </w:t>
      </w:r>
      <w:r w:rsidR="007A5E51" w:rsidRPr="00D33B70">
        <w:t>good</w:t>
      </w:r>
      <w:r w:rsidRPr="00D33B70">
        <w:t>.  This assumption was made as there is no data available describing the condition of individual buildings.</w:t>
      </w:r>
    </w:p>
    <w:p w:rsidR="007C764C" w:rsidRPr="00D33B70" w:rsidRDefault="007C764C" w:rsidP="00B26EF8">
      <w:pPr>
        <w:pStyle w:val="Heading3"/>
      </w:pPr>
      <w:bookmarkStart w:id="246" w:name="_Toc387308898"/>
      <w:r w:rsidRPr="00D33B70">
        <w:t>Stage</w:t>
      </w:r>
      <w:r w:rsidR="00632DC5" w:rsidRPr="00D33B70">
        <w:t>-</w:t>
      </w:r>
      <w:r w:rsidRPr="00D33B70">
        <w:t>Damage Curves</w:t>
      </w:r>
      <w:bookmarkEnd w:id="246"/>
    </w:p>
    <w:p w:rsidR="00756E6A" w:rsidRPr="00D33B70" w:rsidRDefault="00756E6A" w:rsidP="007A5E51">
      <w:pPr>
        <w:pStyle w:val="Text"/>
      </w:pPr>
      <w:r w:rsidRPr="00D33B70">
        <w:t xml:space="preserve">ANUFLOOD residential stage-damage curves were used for this flood damage assessment.  These curves were sourced from the </w:t>
      </w:r>
      <w:r w:rsidRPr="00D33B70">
        <w:rPr>
          <w:i/>
        </w:rPr>
        <w:t>RAM Guidelines</w:t>
      </w:r>
      <w:r w:rsidRPr="00D33B70">
        <w:t xml:space="preserve"> (DNRE, 2000).  The non-residential stage-damage curves, also ANUFLOOD curves, were sourced from a journal paper by Smith (1994)</w:t>
      </w:r>
      <w:r w:rsidR="00162C9C" w:rsidRPr="00D33B70">
        <w:t>,</w:t>
      </w:r>
      <w:r w:rsidRPr="00D33B70">
        <w:t xml:space="preserve"> </w:t>
      </w:r>
      <w:r w:rsidRPr="00D33B70">
        <w:rPr>
          <w:i/>
        </w:rPr>
        <w:t>Flood Damage Estimation – A review of urban stage-damage curves and loss functions</w:t>
      </w:r>
      <w:r w:rsidRPr="00D33B70">
        <w:t xml:space="preserve">.  </w:t>
      </w:r>
    </w:p>
    <w:p w:rsidR="007A5E51" w:rsidRPr="00D33B70" w:rsidRDefault="007A5E51" w:rsidP="007A5E51">
      <w:pPr>
        <w:pStyle w:val="Text"/>
      </w:pPr>
      <w:r w:rsidRPr="00D33B70">
        <w:t>The RAM Guidelines suggest that the ANUFLOOD curves underestimate flood damages and should be increased by 60%.  In order to convert the potential damages to actual damages the curves were also factored by 0.8 to account for an inexperienced community with less than 2 hours warning.</w:t>
      </w:r>
    </w:p>
    <w:p w:rsidR="007A5E51" w:rsidRPr="00D33B70" w:rsidRDefault="007A5E51" w:rsidP="007A5E51">
      <w:pPr>
        <w:pStyle w:val="Text"/>
      </w:pPr>
      <w:r w:rsidRPr="00D33B70">
        <w:t xml:space="preserve">For the external damages to residential properties stage-damage curves were sourced from </w:t>
      </w:r>
      <w:r w:rsidRPr="00D33B70">
        <w:rPr>
          <w:i/>
        </w:rPr>
        <w:t>Floodplain Management in Australia</w:t>
      </w:r>
      <w:r w:rsidRPr="00D33B70">
        <w:t xml:space="preserve"> (DPIE 1992).  It is assumed that a mean flood depth of below 50 mm results in no external damages and maximum external damages are </w:t>
      </w:r>
      <w:r w:rsidR="00BE725D" w:rsidRPr="00D33B70">
        <w:t xml:space="preserve">incurred </w:t>
      </w:r>
      <w:r w:rsidRPr="00D33B70">
        <w:t>at a mean flood depth of 500 mm.</w:t>
      </w:r>
    </w:p>
    <w:p w:rsidR="007A5E51" w:rsidRPr="00D33B70" w:rsidRDefault="007A5E51" w:rsidP="007A5E51">
      <w:pPr>
        <w:pStyle w:val="Text"/>
      </w:pPr>
      <w:r w:rsidRPr="00D33B70">
        <w:t>T</w:t>
      </w:r>
      <w:r w:rsidR="00756E6A" w:rsidRPr="00D33B70">
        <w:t>he non-residential (commercial/i</w:t>
      </w:r>
      <w:r w:rsidRPr="00D33B70">
        <w:t xml:space="preserve">ndustrial) stage-damage curves used for this assessment were </w:t>
      </w:r>
      <w:r w:rsidR="00162C9C" w:rsidRPr="00D33B70">
        <w:t xml:space="preserve">also </w:t>
      </w:r>
      <w:r w:rsidRPr="00D33B70">
        <w:t xml:space="preserve">sourced from Smith </w:t>
      </w:r>
      <w:r w:rsidR="00162C9C" w:rsidRPr="00D33B70">
        <w:t>(</w:t>
      </w:r>
      <w:r w:rsidRPr="00D33B70">
        <w:t>1994).  These curves represent damages for buildings in fair condition.  There are three building size classes:</w:t>
      </w:r>
    </w:p>
    <w:p w:rsidR="007A5E51" w:rsidRPr="00D33B70" w:rsidRDefault="007A5E51" w:rsidP="007A5E51">
      <w:pPr>
        <w:pStyle w:val="Text"/>
        <w:numPr>
          <w:ilvl w:val="0"/>
          <w:numId w:val="19"/>
        </w:numPr>
        <w:textAlignment w:val="auto"/>
      </w:pPr>
      <w:r w:rsidRPr="00D33B70">
        <w:t>small – smaller than 186m</w:t>
      </w:r>
      <w:r w:rsidRPr="00D33B70">
        <w:rPr>
          <w:vertAlign w:val="superscript"/>
        </w:rPr>
        <w:t>2</w:t>
      </w:r>
      <w:r w:rsidRPr="00D33B70">
        <w:t>,</w:t>
      </w:r>
    </w:p>
    <w:p w:rsidR="007A5E51" w:rsidRPr="00D33B70" w:rsidRDefault="007A5E51" w:rsidP="007A5E51">
      <w:pPr>
        <w:pStyle w:val="Text"/>
        <w:numPr>
          <w:ilvl w:val="0"/>
          <w:numId w:val="19"/>
        </w:numPr>
        <w:textAlignment w:val="auto"/>
      </w:pPr>
      <w:r w:rsidRPr="00D33B70">
        <w:t>medium – between 186 and 650m</w:t>
      </w:r>
      <w:r w:rsidRPr="00D33B70">
        <w:rPr>
          <w:vertAlign w:val="superscript"/>
        </w:rPr>
        <w:t>2</w:t>
      </w:r>
      <w:r w:rsidRPr="00D33B70">
        <w:t>, and</w:t>
      </w:r>
    </w:p>
    <w:p w:rsidR="007A5E51" w:rsidRPr="00D33B70" w:rsidRDefault="007A5E51" w:rsidP="007A5E51">
      <w:pPr>
        <w:pStyle w:val="Text"/>
        <w:numPr>
          <w:ilvl w:val="0"/>
          <w:numId w:val="19"/>
        </w:numPr>
        <w:textAlignment w:val="auto"/>
      </w:pPr>
      <w:r w:rsidRPr="00D33B70">
        <w:t>large – larger than 650m</w:t>
      </w:r>
      <w:r w:rsidRPr="00D33B70">
        <w:rPr>
          <w:vertAlign w:val="superscript"/>
        </w:rPr>
        <w:t>2</w:t>
      </w:r>
      <w:r w:rsidRPr="00D33B70">
        <w:t>.</w:t>
      </w:r>
    </w:p>
    <w:p w:rsidR="007C764C" w:rsidRPr="00D33B70" w:rsidRDefault="007A5E51" w:rsidP="00661FD8">
      <w:pPr>
        <w:pStyle w:val="Text"/>
        <w:numPr>
          <w:ilvl w:val="12"/>
          <w:numId w:val="0"/>
        </w:numPr>
        <w:ind w:left="851"/>
      </w:pPr>
      <w:r w:rsidRPr="00D33B70">
        <w:t>As with the residential damages, the non-residential damages have been increased by 60% and factored by 0.8 to convert from potential to actual damages.</w:t>
      </w:r>
    </w:p>
    <w:p w:rsidR="007C764C" w:rsidRPr="00D33B70" w:rsidRDefault="007C764C" w:rsidP="00B26EF8">
      <w:pPr>
        <w:pStyle w:val="Heading3"/>
      </w:pPr>
      <w:bookmarkStart w:id="247" w:name="_Toc387308899"/>
      <w:r w:rsidRPr="00D33B70">
        <w:t>Damage Calculations</w:t>
      </w:r>
      <w:bookmarkEnd w:id="247"/>
    </w:p>
    <w:p w:rsidR="007C764C" w:rsidRPr="00D33B70" w:rsidRDefault="007C764C" w:rsidP="00CB2DA9">
      <w:pPr>
        <w:pStyle w:val="Text"/>
        <w:numPr>
          <w:ilvl w:val="12"/>
          <w:numId w:val="0"/>
        </w:numPr>
        <w:ind w:left="851"/>
      </w:pPr>
      <w:r w:rsidRPr="00D33B70">
        <w:t xml:space="preserve">The </w:t>
      </w:r>
      <w:r w:rsidR="00CB2DA9" w:rsidRPr="00D33B70">
        <w:t xml:space="preserve">mean </w:t>
      </w:r>
      <w:r w:rsidRPr="00D33B70">
        <w:t>depth of flooding was determined at each property</w:t>
      </w:r>
      <w:r w:rsidR="00CB2DA9" w:rsidRPr="00D33B70">
        <w:t xml:space="preserve"> within the study area and the depth of flooding above floor level was determined for those properties identified as be</w:t>
      </w:r>
      <w:r w:rsidR="00007E4E" w:rsidRPr="00D33B70">
        <w:t>ing</w:t>
      </w:r>
      <w:r w:rsidR="00CB2DA9" w:rsidRPr="00D33B70">
        <w:t xml:space="preserve"> “at risk” for the 20%, 10%, 5% and 1% AEP events.  The associated damages were then extracted from the stage-damage </w:t>
      </w:r>
      <w:r w:rsidR="00CB2DA9" w:rsidRPr="00D33B70">
        <w:lastRenderedPageBreak/>
        <w:t>relationships.</w:t>
      </w:r>
      <w:r w:rsidR="00007E4E" w:rsidRPr="00D33B70">
        <w:t xml:space="preserve">  </w:t>
      </w:r>
      <w:r w:rsidRPr="00D33B70">
        <w:t>Total damages for each flood event were determined by summing the predicted damages for each individual dwelling.  The AAD was then calculated.</w:t>
      </w:r>
    </w:p>
    <w:p w:rsidR="00E924B2" w:rsidRPr="00D33B70" w:rsidRDefault="007C764C" w:rsidP="007C764C">
      <w:pPr>
        <w:pStyle w:val="Text"/>
      </w:pPr>
      <w:r w:rsidRPr="00D33B70">
        <w:t>The AAD is the average damage in dollars per year that would occur in a designated area from flooding over a long period of time.  In many years there may be no flood damage, in some years there will be minor damage (caused by small, relatively frequent floods) and, in a few years, there will be major flood damage (caused by large, rare flood events).  Estimation of the AAD provides a basis for comparing the effectiveness of different management measures (i.e. the reduction in the AAD).  The AAD is the area under the probability-damage graph.  Ideally the probable maximum flood damages are included in the AAD analysis, and it is also necessary to assume a flood AEP in which no damages occur.  As no flood larger than the 1% AEP event was modelled, the probability-damages graph was extrapolated, and it was assumed that no damages would occur in the 50% AEP event.</w:t>
      </w:r>
    </w:p>
    <w:p w:rsidR="007C764C" w:rsidRPr="00D33B70" w:rsidRDefault="007C764C" w:rsidP="00B26EF8">
      <w:pPr>
        <w:pStyle w:val="Heading2"/>
      </w:pPr>
      <w:bookmarkStart w:id="248" w:name="_Toc387308900"/>
      <w:r w:rsidRPr="00D33B70">
        <w:t>Existing Conditions Flood Damages</w:t>
      </w:r>
      <w:bookmarkEnd w:id="248"/>
    </w:p>
    <w:p w:rsidR="007C764C" w:rsidRPr="00D33B70" w:rsidRDefault="007C764C" w:rsidP="007C764C">
      <w:pPr>
        <w:pStyle w:val="Text"/>
      </w:pPr>
      <w:r w:rsidRPr="00D33B70">
        <w:t>The total existing conditions damages for each design flood event are presented in</w:t>
      </w:r>
      <w:r w:rsidR="00446F54" w:rsidRPr="00D33B70">
        <w:t xml:space="preserve"> </w:t>
      </w:r>
      <w:r w:rsidR="00446F54" w:rsidRPr="00D33B70">
        <w:fldChar w:fldCharType="begin"/>
      </w:r>
      <w:r w:rsidR="00446F54" w:rsidRPr="00D33B70">
        <w:instrText xml:space="preserve"> REF _Ref349201616 \h </w:instrText>
      </w:r>
      <w:r w:rsidR="00F041A4" w:rsidRPr="00D33B70">
        <w:instrText xml:space="preserve"> \* MERGEFORMAT </w:instrText>
      </w:r>
      <w:r w:rsidR="00446F54" w:rsidRPr="00D33B70">
        <w:fldChar w:fldCharType="separate"/>
      </w:r>
      <w:r w:rsidR="00AC6986" w:rsidRPr="00D33B70">
        <w:t xml:space="preserve">Table </w:t>
      </w:r>
      <w:r w:rsidR="00AC6986">
        <w:rPr>
          <w:noProof/>
        </w:rPr>
        <w:t>6</w:t>
      </w:r>
      <w:r w:rsidR="00AC6986" w:rsidRPr="00D33B70">
        <w:rPr>
          <w:noProof/>
        </w:rPr>
        <w:noBreakHyphen/>
      </w:r>
      <w:r w:rsidR="00AC6986">
        <w:rPr>
          <w:noProof/>
        </w:rPr>
        <w:t>1</w:t>
      </w:r>
      <w:r w:rsidR="00446F54" w:rsidRPr="00D33B70">
        <w:fldChar w:fldCharType="end"/>
      </w:r>
      <w:r w:rsidRPr="00D33B70">
        <w:t>.  They are also illustrated in</w:t>
      </w:r>
      <w:r w:rsidR="00446F54" w:rsidRPr="00D33B70">
        <w:t xml:space="preserve"> </w:t>
      </w:r>
      <w:r w:rsidR="00446F54" w:rsidRPr="00D33B70">
        <w:fldChar w:fldCharType="begin"/>
      </w:r>
      <w:r w:rsidR="00446F54" w:rsidRPr="00D33B70">
        <w:instrText xml:space="preserve"> REF _Ref349201655 \h </w:instrText>
      </w:r>
      <w:r w:rsidR="00164C0E" w:rsidRPr="00D33B70">
        <w:instrText xml:space="preserve"> \* MERGEFORMAT </w:instrText>
      </w:r>
      <w:r w:rsidR="00446F54" w:rsidRPr="00D33B70">
        <w:fldChar w:fldCharType="separate"/>
      </w:r>
      <w:r w:rsidR="00AC6986" w:rsidRPr="00D33B70">
        <w:t xml:space="preserve">Figure </w:t>
      </w:r>
      <w:r w:rsidR="00AC6986">
        <w:rPr>
          <w:noProof/>
        </w:rPr>
        <w:t>6</w:t>
      </w:r>
      <w:r w:rsidR="00AC6986" w:rsidRPr="00D33B70">
        <w:rPr>
          <w:noProof/>
        </w:rPr>
        <w:noBreakHyphen/>
      </w:r>
      <w:r w:rsidR="00AC6986">
        <w:rPr>
          <w:noProof/>
        </w:rPr>
        <w:t>1</w:t>
      </w:r>
      <w:r w:rsidR="00446F54" w:rsidRPr="00D33B70">
        <w:fldChar w:fldCharType="end"/>
      </w:r>
      <w:r w:rsidRPr="00D33B70">
        <w:t xml:space="preserve">.  The existing conditions AAD for the </w:t>
      </w:r>
      <w:r w:rsidR="00446F54" w:rsidRPr="00D33B70">
        <w:t>Highton</w:t>
      </w:r>
      <w:r w:rsidRPr="00D33B70">
        <w:t xml:space="preserve"> </w:t>
      </w:r>
      <w:r w:rsidR="00645AD5" w:rsidRPr="00D33B70">
        <w:t>study area</w:t>
      </w:r>
      <w:r w:rsidRPr="00D33B70">
        <w:t>, as presented in</w:t>
      </w:r>
      <w:r w:rsidR="00446F54" w:rsidRPr="00D33B70">
        <w:t xml:space="preserve"> </w:t>
      </w:r>
      <w:r w:rsidR="00446F54" w:rsidRPr="00D33B70">
        <w:fldChar w:fldCharType="begin"/>
      </w:r>
      <w:r w:rsidR="00446F54" w:rsidRPr="00D33B70">
        <w:instrText xml:space="preserve"> REF _Ref349201616 \h </w:instrText>
      </w:r>
      <w:r w:rsidR="00164C0E" w:rsidRPr="00D33B70">
        <w:instrText xml:space="preserve"> \* MERGEFORMAT </w:instrText>
      </w:r>
      <w:r w:rsidR="00446F54" w:rsidRPr="00D33B70">
        <w:fldChar w:fldCharType="separate"/>
      </w:r>
      <w:r w:rsidR="00AC6986" w:rsidRPr="00D33B70">
        <w:t xml:space="preserve">Table </w:t>
      </w:r>
      <w:r w:rsidR="00AC6986">
        <w:rPr>
          <w:noProof/>
        </w:rPr>
        <w:t>6</w:t>
      </w:r>
      <w:r w:rsidR="00AC6986" w:rsidRPr="00D33B70">
        <w:rPr>
          <w:noProof/>
        </w:rPr>
        <w:noBreakHyphen/>
      </w:r>
      <w:r w:rsidR="00AC6986">
        <w:rPr>
          <w:noProof/>
        </w:rPr>
        <w:t>1</w:t>
      </w:r>
      <w:r w:rsidR="00446F54" w:rsidRPr="00D33B70">
        <w:fldChar w:fldCharType="end"/>
      </w:r>
      <w:r w:rsidRPr="00D33B70">
        <w:t xml:space="preserve">, is </w:t>
      </w:r>
      <w:r w:rsidR="00164C0E" w:rsidRPr="00D33B70">
        <w:t>$</w:t>
      </w:r>
      <w:r w:rsidR="00F97F35" w:rsidRPr="00D33B70">
        <w:t>3</w:t>
      </w:r>
      <w:r w:rsidR="009F1B7A" w:rsidRPr="00D33B70">
        <w:t>89</w:t>
      </w:r>
      <w:r w:rsidR="00F97F35" w:rsidRPr="00D33B70">
        <w:t>,000</w:t>
      </w:r>
      <w:r w:rsidRPr="00D33B70">
        <w:t>.</w:t>
      </w:r>
    </w:p>
    <w:p w:rsidR="007C764C" w:rsidRPr="00D33B70" w:rsidRDefault="007C764C" w:rsidP="007C764C">
      <w:pPr>
        <w:pStyle w:val="Caption"/>
        <w:keepNext/>
      </w:pPr>
      <w:bookmarkStart w:id="249" w:name="_Ref349201616"/>
      <w:bookmarkStart w:id="250" w:name="_Toc387308985"/>
      <w:r w:rsidRPr="00D33B70">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6</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1</w:t>
      </w:r>
      <w:r w:rsidR="00FF3C04" w:rsidRPr="00D33B70">
        <w:fldChar w:fldCharType="end"/>
      </w:r>
      <w:bookmarkEnd w:id="249"/>
      <w:r w:rsidRPr="00D33B70">
        <w:tab/>
        <w:t>Existing Conditions Damages Summary</w:t>
      </w:r>
      <w:bookmarkEnd w:id="250"/>
    </w:p>
    <w:tbl>
      <w:tblPr>
        <w:tblW w:w="9694" w:type="dxa"/>
        <w:tblLayout w:type="fixed"/>
        <w:tblCellMar>
          <w:left w:w="30" w:type="dxa"/>
          <w:right w:w="30" w:type="dxa"/>
        </w:tblCellMar>
        <w:tblLook w:val="0000" w:firstRow="0" w:lastRow="0" w:firstColumn="0" w:lastColumn="0" w:noHBand="0" w:noVBand="0"/>
      </w:tblPr>
      <w:tblGrid>
        <w:gridCol w:w="818"/>
        <w:gridCol w:w="770"/>
        <w:gridCol w:w="1417"/>
        <w:gridCol w:w="1641"/>
        <w:gridCol w:w="1701"/>
        <w:gridCol w:w="1701"/>
        <w:gridCol w:w="1646"/>
      </w:tblGrid>
      <w:tr w:rsidR="002365A6" w:rsidRPr="00D33B70" w:rsidTr="002365A6">
        <w:trPr>
          <w:trHeight w:val="742"/>
        </w:trPr>
        <w:tc>
          <w:tcPr>
            <w:tcW w:w="1588" w:type="dxa"/>
            <w:gridSpan w:val="2"/>
            <w:tcBorders>
              <w:top w:val="single" w:sz="4" w:space="0" w:color="auto"/>
              <w:left w:val="single" w:sz="4" w:space="0" w:color="auto"/>
              <w:bottom w:val="single" w:sz="6" w:space="0" w:color="auto"/>
              <w:right w:val="nil"/>
            </w:tcBorders>
            <w:shd w:val="pct10" w:color="auto" w:fill="auto"/>
            <w:vAlign w:val="center"/>
          </w:tcPr>
          <w:p w:rsidR="002365A6" w:rsidRPr="00D33B70" w:rsidRDefault="002365A6" w:rsidP="007C764C">
            <w:pPr>
              <w:numPr>
                <w:ilvl w:val="12"/>
                <w:numId w:val="0"/>
              </w:numPr>
              <w:jc w:val="center"/>
              <w:rPr>
                <w:rFonts w:cs="Arial"/>
                <w:b/>
              </w:rPr>
            </w:pPr>
            <w:r w:rsidRPr="00D33B70">
              <w:rPr>
                <w:rFonts w:cs="Arial"/>
                <w:b/>
              </w:rPr>
              <w:t>Event</w:t>
            </w:r>
          </w:p>
        </w:tc>
        <w:tc>
          <w:tcPr>
            <w:tcW w:w="8106" w:type="dxa"/>
            <w:gridSpan w:val="5"/>
            <w:tcBorders>
              <w:top w:val="single" w:sz="4" w:space="0" w:color="auto"/>
              <w:left w:val="single" w:sz="6" w:space="0" w:color="auto"/>
              <w:bottom w:val="single" w:sz="6" w:space="0" w:color="auto"/>
              <w:right w:val="single" w:sz="4" w:space="0" w:color="auto"/>
            </w:tcBorders>
            <w:shd w:val="pct10" w:color="auto" w:fill="auto"/>
            <w:vAlign w:val="center"/>
          </w:tcPr>
          <w:p w:rsidR="002365A6" w:rsidRPr="00D33B70" w:rsidRDefault="002365A6" w:rsidP="002365A6">
            <w:pPr>
              <w:numPr>
                <w:ilvl w:val="12"/>
                <w:numId w:val="0"/>
              </w:numPr>
              <w:jc w:val="center"/>
              <w:rPr>
                <w:rFonts w:cs="Arial"/>
                <w:b/>
              </w:rPr>
            </w:pPr>
            <w:r w:rsidRPr="00D33B70">
              <w:rPr>
                <w:rFonts w:cs="Arial"/>
                <w:b/>
              </w:rPr>
              <w:t>Existing Case</w:t>
            </w:r>
          </w:p>
        </w:tc>
      </w:tr>
      <w:tr w:rsidR="00F97F35" w:rsidRPr="00D33B70" w:rsidTr="0061246D">
        <w:trPr>
          <w:trHeight w:val="756"/>
        </w:trPr>
        <w:tc>
          <w:tcPr>
            <w:tcW w:w="818" w:type="dxa"/>
            <w:tcBorders>
              <w:top w:val="single" w:sz="6" w:space="0" w:color="auto"/>
              <w:left w:val="single" w:sz="4" w:space="0" w:color="auto"/>
              <w:bottom w:val="single" w:sz="6" w:space="0" w:color="auto"/>
              <w:right w:val="single" w:sz="6" w:space="0" w:color="auto"/>
            </w:tcBorders>
            <w:shd w:val="pct10" w:color="auto" w:fill="auto"/>
            <w:vAlign w:val="center"/>
          </w:tcPr>
          <w:p w:rsidR="00F97F35" w:rsidRPr="00D33B70" w:rsidRDefault="00F97F35" w:rsidP="0061246D">
            <w:pPr>
              <w:numPr>
                <w:ilvl w:val="12"/>
                <w:numId w:val="0"/>
              </w:numPr>
              <w:rPr>
                <w:rFonts w:cs="Arial"/>
                <w:b/>
              </w:rPr>
            </w:pPr>
            <w:r w:rsidRPr="00D33B70">
              <w:rPr>
                <w:rFonts w:cs="Arial"/>
                <w:b/>
              </w:rPr>
              <w:t>(Years ARI)</w:t>
            </w:r>
          </w:p>
        </w:tc>
        <w:tc>
          <w:tcPr>
            <w:tcW w:w="770" w:type="dxa"/>
            <w:tcBorders>
              <w:top w:val="single" w:sz="6" w:space="0" w:color="auto"/>
              <w:left w:val="single" w:sz="6" w:space="0" w:color="auto"/>
              <w:bottom w:val="single" w:sz="6" w:space="0" w:color="auto"/>
              <w:right w:val="single" w:sz="6" w:space="0" w:color="auto"/>
            </w:tcBorders>
            <w:shd w:val="pct10" w:color="auto" w:fill="auto"/>
            <w:vAlign w:val="center"/>
          </w:tcPr>
          <w:p w:rsidR="00F97F35" w:rsidRPr="00D33B70" w:rsidRDefault="00F97F35" w:rsidP="0061246D">
            <w:pPr>
              <w:numPr>
                <w:ilvl w:val="12"/>
                <w:numId w:val="0"/>
              </w:numPr>
              <w:rPr>
                <w:rFonts w:cs="Arial"/>
                <w:b/>
              </w:rPr>
            </w:pPr>
            <w:r w:rsidRPr="00D33B70">
              <w:rPr>
                <w:rFonts w:cs="Arial"/>
                <w:b/>
              </w:rPr>
              <w:t>AEP</w:t>
            </w:r>
          </w:p>
        </w:tc>
        <w:tc>
          <w:tcPr>
            <w:tcW w:w="1417" w:type="dxa"/>
            <w:tcBorders>
              <w:top w:val="single" w:sz="6" w:space="0" w:color="auto"/>
              <w:left w:val="single" w:sz="6" w:space="0" w:color="auto"/>
              <w:bottom w:val="single" w:sz="6" w:space="0" w:color="auto"/>
              <w:right w:val="single" w:sz="6" w:space="0" w:color="auto"/>
            </w:tcBorders>
            <w:shd w:val="pct10" w:color="auto" w:fill="auto"/>
            <w:vAlign w:val="center"/>
          </w:tcPr>
          <w:p w:rsidR="00F97F35" w:rsidRPr="00D33B70" w:rsidRDefault="00F97F35" w:rsidP="007C764C">
            <w:pPr>
              <w:numPr>
                <w:ilvl w:val="12"/>
                <w:numId w:val="0"/>
              </w:numPr>
              <w:jc w:val="center"/>
              <w:rPr>
                <w:rFonts w:cs="Arial"/>
                <w:b/>
              </w:rPr>
            </w:pPr>
            <w:r w:rsidRPr="00D33B70">
              <w:rPr>
                <w:rFonts w:cs="Arial"/>
                <w:b/>
              </w:rPr>
              <w:t>Residential Damages</w:t>
            </w:r>
          </w:p>
        </w:tc>
        <w:tc>
          <w:tcPr>
            <w:tcW w:w="1641" w:type="dxa"/>
            <w:tcBorders>
              <w:top w:val="single" w:sz="6" w:space="0" w:color="auto"/>
              <w:left w:val="single" w:sz="6" w:space="0" w:color="auto"/>
              <w:bottom w:val="single" w:sz="6" w:space="0" w:color="auto"/>
              <w:right w:val="single" w:sz="6" w:space="0" w:color="auto"/>
            </w:tcBorders>
            <w:shd w:val="pct10" w:color="auto" w:fill="auto"/>
          </w:tcPr>
          <w:p w:rsidR="00F97F35" w:rsidRPr="00D33B70" w:rsidRDefault="00F97F35" w:rsidP="00F97F35">
            <w:pPr>
              <w:numPr>
                <w:ilvl w:val="12"/>
                <w:numId w:val="0"/>
              </w:numPr>
              <w:jc w:val="center"/>
              <w:rPr>
                <w:rFonts w:cs="Arial"/>
                <w:b/>
              </w:rPr>
            </w:pPr>
            <w:r w:rsidRPr="00D33B70">
              <w:rPr>
                <w:rFonts w:cs="Arial"/>
                <w:b/>
              </w:rPr>
              <w:t>Commercial / Industrial Damages</w:t>
            </w:r>
          </w:p>
        </w:tc>
        <w:tc>
          <w:tcPr>
            <w:tcW w:w="1701" w:type="dxa"/>
            <w:tcBorders>
              <w:top w:val="single" w:sz="6" w:space="0" w:color="auto"/>
              <w:left w:val="single" w:sz="6" w:space="0" w:color="auto"/>
              <w:bottom w:val="single" w:sz="6" w:space="0" w:color="auto"/>
              <w:right w:val="single" w:sz="6" w:space="0" w:color="auto"/>
            </w:tcBorders>
            <w:shd w:val="pct10" w:color="auto" w:fill="auto"/>
            <w:vAlign w:val="center"/>
          </w:tcPr>
          <w:p w:rsidR="00F97F35" w:rsidRPr="00D33B70" w:rsidRDefault="00F97F35" w:rsidP="007C764C">
            <w:pPr>
              <w:numPr>
                <w:ilvl w:val="12"/>
                <w:numId w:val="0"/>
              </w:numPr>
              <w:jc w:val="center"/>
              <w:rPr>
                <w:rFonts w:cs="Arial"/>
                <w:b/>
              </w:rPr>
            </w:pPr>
            <w:r w:rsidRPr="00D33B70">
              <w:rPr>
                <w:rFonts w:cs="Arial"/>
                <w:b/>
              </w:rPr>
              <w:t>Total Indirect Damages</w:t>
            </w:r>
          </w:p>
        </w:tc>
        <w:tc>
          <w:tcPr>
            <w:tcW w:w="1701" w:type="dxa"/>
            <w:tcBorders>
              <w:top w:val="single" w:sz="6" w:space="0" w:color="auto"/>
              <w:left w:val="single" w:sz="6" w:space="0" w:color="auto"/>
              <w:bottom w:val="single" w:sz="6" w:space="0" w:color="auto"/>
              <w:right w:val="single" w:sz="6" w:space="0" w:color="auto"/>
            </w:tcBorders>
            <w:shd w:val="pct10" w:color="auto" w:fill="auto"/>
            <w:vAlign w:val="center"/>
          </w:tcPr>
          <w:p w:rsidR="00F97F35" w:rsidRPr="00D33B70" w:rsidRDefault="00F97F35" w:rsidP="007C764C">
            <w:pPr>
              <w:numPr>
                <w:ilvl w:val="12"/>
                <w:numId w:val="0"/>
              </w:numPr>
              <w:jc w:val="center"/>
              <w:rPr>
                <w:rFonts w:cs="Arial"/>
                <w:b/>
              </w:rPr>
            </w:pPr>
            <w:r w:rsidRPr="00D33B70">
              <w:rPr>
                <w:rFonts w:cs="Arial"/>
                <w:b/>
              </w:rPr>
              <w:t>Total Damages</w:t>
            </w:r>
          </w:p>
        </w:tc>
        <w:tc>
          <w:tcPr>
            <w:tcW w:w="1646" w:type="dxa"/>
            <w:tcBorders>
              <w:top w:val="single" w:sz="6" w:space="0" w:color="auto"/>
              <w:left w:val="single" w:sz="6" w:space="0" w:color="auto"/>
              <w:bottom w:val="single" w:sz="6" w:space="0" w:color="auto"/>
              <w:right w:val="single" w:sz="4" w:space="0" w:color="auto"/>
            </w:tcBorders>
            <w:shd w:val="pct10" w:color="auto" w:fill="auto"/>
            <w:vAlign w:val="center"/>
          </w:tcPr>
          <w:p w:rsidR="00F97F35" w:rsidRPr="00D33B70" w:rsidRDefault="00F97F35" w:rsidP="007C764C">
            <w:pPr>
              <w:numPr>
                <w:ilvl w:val="12"/>
                <w:numId w:val="0"/>
              </w:numPr>
              <w:jc w:val="center"/>
              <w:rPr>
                <w:rFonts w:cs="Arial"/>
                <w:b/>
              </w:rPr>
            </w:pPr>
            <w:r w:rsidRPr="00D33B70">
              <w:rPr>
                <w:rFonts w:cs="Arial"/>
                <w:b/>
              </w:rPr>
              <w:t>Incremental Average Annual Damages</w:t>
            </w:r>
          </w:p>
        </w:tc>
      </w:tr>
      <w:tr w:rsidR="00F97F35" w:rsidRPr="00D33B70" w:rsidTr="0061246D">
        <w:trPr>
          <w:trHeight w:val="440"/>
        </w:trPr>
        <w:tc>
          <w:tcPr>
            <w:tcW w:w="818" w:type="dxa"/>
            <w:tcBorders>
              <w:top w:val="single" w:sz="6" w:space="0" w:color="auto"/>
              <w:left w:val="single" w:sz="4" w:space="0" w:color="auto"/>
              <w:bottom w:val="single" w:sz="6" w:space="0" w:color="auto"/>
              <w:right w:val="single" w:sz="6" w:space="0" w:color="auto"/>
            </w:tcBorders>
            <w:vAlign w:val="center"/>
          </w:tcPr>
          <w:p w:rsidR="00F97F35" w:rsidRPr="00D33B70" w:rsidRDefault="00F97F35" w:rsidP="0061246D">
            <w:pPr>
              <w:numPr>
                <w:ilvl w:val="12"/>
                <w:numId w:val="0"/>
              </w:numPr>
              <w:jc w:val="center"/>
              <w:rPr>
                <w:rFonts w:cs="Arial"/>
              </w:rPr>
            </w:pPr>
            <w:r w:rsidRPr="00D33B70">
              <w:rPr>
                <w:rFonts w:cs="Arial"/>
              </w:rPr>
              <w:t>PMF*</w:t>
            </w:r>
          </w:p>
        </w:tc>
        <w:tc>
          <w:tcPr>
            <w:tcW w:w="770" w:type="dxa"/>
            <w:tcBorders>
              <w:top w:val="single" w:sz="6" w:space="0" w:color="auto"/>
              <w:left w:val="single" w:sz="6" w:space="0" w:color="auto"/>
              <w:bottom w:val="single" w:sz="6" w:space="0" w:color="auto"/>
              <w:right w:val="single" w:sz="6" w:space="0" w:color="auto"/>
            </w:tcBorders>
            <w:vAlign w:val="center"/>
          </w:tcPr>
          <w:p w:rsidR="00F97F35" w:rsidRPr="00D33B70" w:rsidRDefault="00F97F35" w:rsidP="0061246D">
            <w:pPr>
              <w:numPr>
                <w:ilvl w:val="12"/>
                <w:numId w:val="0"/>
              </w:numPr>
              <w:jc w:val="center"/>
              <w:rPr>
                <w:rFonts w:cs="Arial"/>
              </w:rPr>
            </w:pPr>
            <w:r w:rsidRPr="00D33B70">
              <w:rPr>
                <w:rFonts w:cs="Arial"/>
              </w:rPr>
              <w:t>0.0%</w:t>
            </w:r>
          </w:p>
        </w:tc>
        <w:tc>
          <w:tcPr>
            <w:tcW w:w="1417" w:type="dxa"/>
            <w:tcBorders>
              <w:top w:val="single" w:sz="6" w:space="0" w:color="auto"/>
              <w:left w:val="single" w:sz="6" w:space="0" w:color="auto"/>
              <w:bottom w:val="single" w:sz="6" w:space="0" w:color="auto"/>
              <w:right w:val="single" w:sz="6" w:space="0" w:color="auto"/>
            </w:tcBorders>
            <w:vAlign w:val="center"/>
          </w:tcPr>
          <w:p w:rsidR="00F97F35" w:rsidRPr="00D33B70" w:rsidRDefault="00F97F35" w:rsidP="0061246D">
            <w:pPr>
              <w:numPr>
                <w:ilvl w:val="12"/>
                <w:numId w:val="0"/>
              </w:numPr>
              <w:jc w:val="center"/>
              <w:rPr>
                <w:rFonts w:cs="Arial"/>
              </w:rPr>
            </w:pPr>
          </w:p>
        </w:tc>
        <w:tc>
          <w:tcPr>
            <w:tcW w:w="1641" w:type="dxa"/>
            <w:tcBorders>
              <w:top w:val="single" w:sz="6" w:space="0" w:color="auto"/>
              <w:left w:val="single" w:sz="6" w:space="0" w:color="auto"/>
              <w:bottom w:val="single" w:sz="6" w:space="0" w:color="auto"/>
              <w:right w:val="single" w:sz="6" w:space="0" w:color="auto"/>
            </w:tcBorders>
          </w:tcPr>
          <w:p w:rsidR="00F97F35" w:rsidRPr="00D33B70" w:rsidRDefault="00F97F35" w:rsidP="0061246D">
            <w:pPr>
              <w:numPr>
                <w:ilvl w:val="12"/>
                <w:numId w:val="0"/>
              </w:numPr>
              <w:jc w:val="center"/>
              <w:rPr>
                <w:rFonts w:cs="Arial"/>
              </w:rPr>
            </w:pPr>
          </w:p>
        </w:tc>
        <w:tc>
          <w:tcPr>
            <w:tcW w:w="1701" w:type="dxa"/>
            <w:tcBorders>
              <w:top w:val="single" w:sz="6" w:space="0" w:color="auto"/>
              <w:left w:val="single" w:sz="6" w:space="0" w:color="auto"/>
              <w:bottom w:val="single" w:sz="6" w:space="0" w:color="auto"/>
              <w:right w:val="single" w:sz="6" w:space="0" w:color="auto"/>
            </w:tcBorders>
            <w:vAlign w:val="center"/>
          </w:tcPr>
          <w:p w:rsidR="00F97F35" w:rsidRPr="00D33B70" w:rsidRDefault="00F97F35" w:rsidP="0061246D">
            <w:pPr>
              <w:numPr>
                <w:ilvl w:val="12"/>
                <w:numId w:val="0"/>
              </w:numPr>
              <w:jc w:val="center"/>
              <w:rPr>
                <w:rFonts w:cs="Arial"/>
              </w:rPr>
            </w:pPr>
          </w:p>
        </w:tc>
        <w:tc>
          <w:tcPr>
            <w:tcW w:w="1701" w:type="dxa"/>
            <w:tcBorders>
              <w:top w:val="single" w:sz="6" w:space="0" w:color="auto"/>
              <w:left w:val="single" w:sz="6" w:space="0" w:color="auto"/>
              <w:bottom w:val="single" w:sz="6" w:space="0" w:color="auto"/>
              <w:right w:val="single" w:sz="6" w:space="0" w:color="auto"/>
            </w:tcBorders>
            <w:vAlign w:val="center"/>
          </w:tcPr>
          <w:p w:rsidR="00F97F35" w:rsidRPr="00D33B70" w:rsidRDefault="00F97F35" w:rsidP="007E1373">
            <w:pPr>
              <w:numPr>
                <w:ilvl w:val="12"/>
                <w:numId w:val="0"/>
              </w:numPr>
              <w:jc w:val="center"/>
              <w:rPr>
                <w:rFonts w:cs="Arial"/>
              </w:rPr>
            </w:pPr>
            <w:r w:rsidRPr="00D33B70">
              <w:rPr>
                <w:rFonts w:cs="Arial"/>
              </w:rPr>
              <w:t>$3,</w:t>
            </w:r>
            <w:r w:rsidR="007E1373" w:rsidRPr="00D33B70">
              <w:rPr>
                <w:rFonts w:cs="Arial"/>
              </w:rPr>
              <w:t>430</w:t>
            </w:r>
            <w:r w:rsidRPr="00D33B70">
              <w:rPr>
                <w:rFonts w:cs="Arial"/>
              </w:rPr>
              <w:t>,000</w:t>
            </w:r>
            <w:r w:rsidR="00985FB2" w:rsidRPr="00D33B70">
              <w:rPr>
                <w:rFonts w:cs="Arial"/>
              </w:rPr>
              <w:t>*</w:t>
            </w:r>
          </w:p>
        </w:tc>
        <w:tc>
          <w:tcPr>
            <w:tcW w:w="1646" w:type="dxa"/>
            <w:tcBorders>
              <w:top w:val="single" w:sz="6" w:space="0" w:color="auto"/>
              <w:left w:val="single" w:sz="6" w:space="0" w:color="auto"/>
              <w:bottom w:val="single" w:sz="6" w:space="0" w:color="auto"/>
              <w:right w:val="single" w:sz="4" w:space="0" w:color="auto"/>
            </w:tcBorders>
            <w:vAlign w:val="center"/>
          </w:tcPr>
          <w:p w:rsidR="00F97F35" w:rsidRPr="00D33B70" w:rsidRDefault="00F97F35" w:rsidP="0061246D">
            <w:pPr>
              <w:numPr>
                <w:ilvl w:val="12"/>
                <w:numId w:val="0"/>
              </w:numPr>
              <w:jc w:val="center"/>
              <w:rPr>
                <w:rFonts w:cs="Arial"/>
              </w:rPr>
            </w:pPr>
          </w:p>
        </w:tc>
      </w:tr>
      <w:tr w:rsidR="00F97F35" w:rsidRPr="00D33B70" w:rsidTr="0061246D">
        <w:trPr>
          <w:trHeight w:val="404"/>
        </w:trPr>
        <w:tc>
          <w:tcPr>
            <w:tcW w:w="818" w:type="dxa"/>
            <w:tcBorders>
              <w:top w:val="single" w:sz="6" w:space="0" w:color="auto"/>
              <w:left w:val="single" w:sz="4" w:space="0" w:color="auto"/>
              <w:bottom w:val="single" w:sz="6" w:space="0" w:color="auto"/>
              <w:right w:val="single" w:sz="6" w:space="0" w:color="auto"/>
            </w:tcBorders>
            <w:vAlign w:val="center"/>
          </w:tcPr>
          <w:p w:rsidR="00F97F35" w:rsidRPr="00D33B70" w:rsidRDefault="00F97F35" w:rsidP="0061246D">
            <w:pPr>
              <w:numPr>
                <w:ilvl w:val="12"/>
                <w:numId w:val="0"/>
              </w:numPr>
              <w:jc w:val="center"/>
              <w:rPr>
                <w:rFonts w:cs="Arial"/>
              </w:rPr>
            </w:pPr>
            <w:r w:rsidRPr="00D33B70">
              <w:rPr>
                <w:rFonts w:cs="Arial"/>
              </w:rPr>
              <w:t>100</w:t>
            </w:r>
          </w:p>
        </w:tc>
        <w:tc>
          <w:tcPr>
            <w:tcW w:w="770" w:type="dxa"/>
            <w:tcBorders>
              <w:top w:val="single" w:sz="6" w:space="0" w:color="auto"/>
              <w:left w:val="single" w:sz="6" w:space="0" w:color="auto"/>
              <w:bottom w:val="single" w:sz="6" w:space="0" w:color="auto"/>
              <w:right w:val="single" w:sz="6" w:space="0" w:color="auto"/>
            </w:tcBorders>
            <w:vAlign w:val="center"/>
          </w:tcPr>
          <w:p w:rsidR="00F97F35" w:rsidRPr="00D33B70" w:rsidRDefault="00F97F35" w:rsidP="0061246D">
            <w:pPr>
              <w:numPr>
                <w:ilvl w:val="12"/>
                <w:numId w:val="0"/>
              </w:numPr>
              <w:jc w:val="center"/>
              <w:rPr>
                <w:rFonts w:cs="Arial"/>
              </w:rPr>
            </w:pPr>
            <w:r w:rsidRPr="00D33B70">
              <w:rPr>
                <w:rFonts w:cs="Arial"/>
              </w:rPr>
              <w:t>1%</w:t>
            </w:r>
          </w:p>
        </w:tc>
        <w:tc>
          <w:tcPr>
            <w:tcW w:w="1417" w:type="dxa"/>
            <w:tcBorders>
              <w:top w:val="single" w:sz="6" w:space="0" w:color="auto"/>
              <w:left w:val="single" w:sz="6" w:space="0" w:color="auto"/>
              <w:bottom w:val="single" w:sz="6" w:space="0" w:color="auto"/>
              <w:right w:val="single" w:sz="6" w:space="0" w:color="auto"/>
            </w:tcBorders>
            <w:vAlign w:val="center"/>
          </w:tcPr>
          <w:p w:rsidR="00F97F35" w:rsidRPr="00D33B70" w:rsidRDefault="007E1373" w:rsidP="0061246D">
            <w:pPr>
              <w:numPr>
                <w:ilvl w:val="12"/>
                <w:numId w:val="0"/>
              </w:numPr>
              <w:jc w:val="center"/>
              <w:rPr>
                <w:rFonts w:cs="Arial"/>
              </w:rPr>
            </w:pPr>
            <w:r w:rsidRPr="00D33B70">
              <w:rPr>
                <w:rFonts w:cs="Arial"/>
              </w:rPr>
              <w:t>$2,284</w:t>
            </w:r>
            <w:r w:rsidR="00F97F35" w:rsidRPr="00D33B70">
              <w:rPr>
                <w:rFonts w:cs="Arial"/>
              </w:rPr>
              <w:t>,000</w:t>
            </w:r>
          </w:p>
        </w:tc>
        <w:tc>
          <w:tcPr>
            <w:tcW w:w="1641" w:type="dxa"/>
            <w:tcBorders>
              <w:top w:val="single" w:sz="6" w:space="0" w:color="auto"/>
              <w:left w:val="single" w:sz="6" w:space="0" w:color="auto"/>
              <w:bottom w:val="single" w:sz="6" w:space="0" w:color="auto"/>
              <w:right w:val="single" w:sz="6" w:space="0" w:color="auto"/>
            </w:tcBorders>
            <w:vAlign w:val="center"/>
          </w:tcPr>
          <w:p w:rsidR="00F97F35" w:rsidRPr="00D33B70" w:rsidRDefault="00F97F35" w:rsidP="0061246D">
            <w:pPr>
              <w:numPr>
                <w:ilvl w:val="12"/>
                <w:numId w:val="0"/>
              </w:numPr>
              <w:jc w:val="center"/>
              <w:rPr>
                <w:rFonts w:cs="Arial"/>
              </w:rPr>
            </w:pPr>
            <w:r w:rsidRPr="00D33B70">
              <w:rPr>
                <w:rFonts w:cs="Arial"/>
              </w:rPr>
              <w:t>$77,000</w:t>
            </w:r>
          </w:p>
        </w:tc>
        <w:tc>
          <w:tcPr>
            <w:tcW w:w="1701" w:type="dxa"/>
            <w:tcBorders>
              <w:top w:val="single" w:sz="6" w:space="0" w:color="auto"/>
              <w:left w:val="single" w:sz="6" w:space="0" w:color="auto"/>
              <w:bottom w:val="single" w:sz="6" w:space="0" w:color="auto"/>
              <w:right w:val="single" w:sz="6" w:space="0" w:color="auto"/>
            </w:tcBorders>
            <w:vAlign w:val="center"/>
          </w:tcPr>
          <w:p w:rsidR="00F97F35" w:rsidRPr="00D33B70" w:rsidRDefault="007E1373" w:rsidP="0061246D">
            <w:pPr>
              <w:numPr>
                <w:ilvl w:val="12"/>
                <w:numId w:val="0"/>
              </w:numPr>
              <w:jc w:val="center"/>
              <w:rPr>
                <w:rFonts w:cs="Arial"/>
              </w:rPr>
            </w:pPr>
            <w:r w:rsidRPr="00D33B70">
              <w:rPr>
                <w:rFonts w:cs="Arial"/>
              </w:rPr>
              <w:t>$708</w:t>
            </w:r>
            <w:r w:rsidR="00F97F35" w:rsidRPr="00D33B70">
              <w:rPr>
                <w:rFonts w:cs="Arial"/>
              </w:rPr>
              <w:t>,000</w:t>
            </w:r>
          </w:p>
        </w:tc>
        <w:tc>
          <w:tcPr>
            <w:tcW w:w="1701" w:type="dxa"/>
            <w:tcBorders>
              <w:top w:val="single" w:sz="6" w:space="0" w:color="auto"/>
              <w:left w:val="single" w:sz="6" w:space="0" w:color="auto"/>
              <w:bottom w:val="single" w:sz="6" w:space="0" w:color="auto"/>
              <w:right w:val="single" w:sz="6" w:space="0" w:color="auto"/>
            </w:tcBorders>
            <w:vAlign w:val="center"/>
          </w:tcPr>
          <w:p w:rsidR="00F97F35" w:rsidRPr="00D33B70" w:rsidRDefault="007E1373" w:rsidP="0061246D">
            <w:pPr>
              <w:numPr>
                <w:ilvl w:val="12"/>
                <w:numId w:val="0"/>
              </w:numPr>
              <w:jc w:val="center"/>
              <w:rPr>
                <w:rFonts w:cs="Arial"/>
              </w:rPr>
            </w:pPr>
            <w:r w:rsidRPr="00D33B70">
              <w:rPr>
                <w:rFonts w:cs="Arial"/>
              </w:rPr>
              <w:t>$3,069</w:t>
            </w:r>
            <w:r w:rsidR="00F97F35" w:rsidRPr="00D33B70">
              <w:rPr>
                <w:rFonts w:cs="Arial"/>
              </w:rPr>
              <w:t>,000</w:t>
            </w:r>
          </w:p>
        </w:tc>
        <w:tc>
          <w:tcPr>
            <w:tcW w:w="1646" w:type="dxa"/>
            <w:tcBorders>
              <w:top w:val="single" w:sz="6" w:space="0" w:color="auto"/>
              <w:left w:val="single" w:sz="6" w:space="0" w:color="auto"/>
              <w:bottom w:val="single" w:sz="6" w:space="0" w:color="auto"/>
              <w:right w:val="single" w:sz="4" w:space="0" w:color="auto"/>
            </w:tcBorders>
            <w:vAlign w:val="center"/>
          </w:tcPr>
          <w:p w:rsidR="00F97F35" w:rsidRPr="00D33B70" w:rsidRDefault="007E1373" w:rsidP="0061246D">
            <w:pPr>
              <w:numPr>
                <w:ilvl w:val="12"/>
                <w:numId w:val="0"/>
              </w:numPr>
              <w:jc w:val="center"/>
              <w:rPr>
                <w:rFonts w:cs="Arial"/>
              </w:rPr>
            </w:pPr>
            <w:r w:rsidRPr="00D33B70">
              <w:rPr>
                <w:rFonts w:cs="Arial"/>
              </w:rPr>
              <w:t>$32</w:t>
            </w:r>
            <w:r w:rsidR="00F97F35" w:rsidRPr="00D33B70">
              <w:rPr>
                <w:rFonts w:cs="Arial"/>
              </w:rPr>
              <w:t>,000</w:t>
            </w:r>
          </w:p>
        </w:tc>
      </w:tr>
      <w:tr w:rsidR="00F97F35" w:rsidRPr="00D33B70" w:rsidTr="0061246D">
        <w:trPr>
          <w:trHeight w:val="410"/>
        </w:trPr>
        <w:tc>
          <w:tcPr>
            <w:tcW w:w="818" w:type="dxa"/>
            <w:tcBorders>
              <w:top w:val="single" w:sz="6" w:space="0" w:color="auto"/>
              <w:left w:val="single" w:sz="4" w:space="0" w:color="auto"/>
              <w:bottom w:val="single" w:sz="6" w:space="0" w:color="auto"/>
              <w:right w:val="single" w:sz="6" w:space="0" w:color="auto"/>
            </w:tcBorders>
            <w:vAlign w:val="center"/>
          </w:tcPr>
          <w:p w:rsidR="00F97F35" w:rsidRPr="00D33B70" w:rsidRDefault="00F97F35" w:rsidP="0061246D">
            <w:pPr>
              <w:numPr>
                <w:ilvl w:val="12"/>
                <w:numId w:val="0"/>
              </w:numPr>
              <w:jc w:val="center"/>
              <w:rPr>
                <w:rFonts w:cs="Arial"/>
              </w:rPr>
            </w:pPr>
            <w:r w:rsidRPr="00D33B70">
              <w:rPr>
                <w:rFonts w:cs="Arial"/>
              </w:rPr>
              <w:t>20</w:t>
            </w:r>
          </w:p>
        </w:tc>
        <w:tc>
          <w:tcPr>
            <w:tcW w:w="770" w:type="dxa"/>
            <w:tcBorders>
              <w:top w:val="single" w:sz="6" w:space="0" w:color="auto"/>
              <w:left w:val="single" w:sz="6" w:space="0" w:color="auto"/>
              <w:bottom w:val="single" w:sz="6" w:space="0" w:color="auto"/>
              <w:right w:val="single" w:sz="6" w:space="0" w:color="auto"/>
            </w:tcBorders>
            <w:vAlign w:val="center"/>
          </w:tcPr>
          <w:p w:rsidR="00F97F35" w:rsidRPr="00D33B70" w:rsidRDefault="00F97F35" w:rsidP="0061246D">
            <w:pPr>
              <w:numPr>
                <w:ilvl w:val="12"/>
                <w:numId w:val="0"/>
              </w:numPr>
              <w:jc w:val="center"/>
              <w:rPr>
                <w:rFonts w:cs="Arial"/>
              </w:rPr>
            </w:pPr>
            <w:r w:rsidRPr="00D33B70">
              <w:rPr>
                <w:rFonts w:cs="Arial"/>
              </w:rPr>
              <w:t>5%</w:t>
            </w:r>
          </w:p>
        </w:tc>
        <w:tc>
          <w:tcPr>
            <w:tcW w:w="1417" w:type="dxa"/>
            <w:tcBorders>
              <w:top w:val="single" w:sz="6" w:space="0" w:color="auto"/>
              <w:left w:val="single" w:sz="6" w:space="0" w:color="auto"/>
              <w:bottom w:val="single" w:sz="6" w:space="0" w:color="auto"/>
              <w:right w:val="single" w:sz="6" w:space="0" w:color="auto"/>
            </w:tcBorders>
            <w:vAlign w:val="center"/>
          </w:tcPr>
          <w:p w:rsidR="00F97F35" w:rsidRPr="00D33B70" w:rsidRDefault="007E1373" w:rsidP="0061246D">
            <w:pPr>
              <w:numPr>
                <w:ilvl w:val="12"/>
                <w:numId w:val="0"/>
              </w:numPr>
              <w:jc w:val="center"/>
              <w:rPr>
                <w:rFonts w:cs="Arial"/>
              </w:rPr>
            </w:pPr>
            <w:r w:rsidRPr="00D33B70">
              <w:rPr>
                <w:rFonts w:cs="Arial"/>
              </w:rPr>
              <w:t>$1,206</w:t>
            </w:r>
            <w:r w:rsidR="001278F9" w:rsidRPr="00D33B70">
              <w:rPr>
                <w:rFonts w:cs="Arial"/>
              </w:rPr>
              <w:t>,</w:t>
            </w:r>
            <w:r w:rsidR="00F97F35" w:rsidRPr="00D33B70">
              <w:rPr>
                <w:rFonts w:cs="Arial"/>
              </w:rPr>
              <w:t>000</w:t>
            </w:r>
          </w:p>
        </w:tc>
        <w:tc>
          <w:tcPr>
            <w:tcW w:w="1641" w:type="dxa"/>
            <w:tcBorders>
              <w:top w:val="single" w:sz="6" w:space="0" w:color="auto"/>
              <w:left w:val="single" w:sz="6" w:space="0" w:color="auto"/>
              <w:bottom w:val="single" w:sz="6" w:space="0" w:color="auto"/>
              <w:right w:val="single" w:sz="6" w:space="0" w:color="auto"/>
            </w:tcBorders>
            <w:vAlign w:val="center"/>
          </w:tcPr>
          <w:p w:rsidR="00F97F35" w:rsidRPr="00D33B70" w:rsidRDefault="001278F9" w:rsidP="0061246D">
            <w:pPr>
              <w:numPr>
                <w:ilvl w:val="12"/>
                <w:numId w:val="0"/>
              </w:numPr>
              <w:jc w:val="center"/>
              <w:rPr>
                <w:rFonts w:cs="Arial"/>
              </w:rPr>
            </w:pPr>
            <w:r w:rsidRPr="00D33B70">
              <w:rPr>
                <w:rFonts w:cs="Arial"/>
              </w:rPr>
              <w:t>$45</w:t>
            </w:r>
            <w:r w:rsidR="00F97F35" w:rsidRPr="00D33B70">
              <w:rPr>
                <w:rFonts w:cs="Arial"/>
              </w:rPr>
              <w:t>,000</w:t>
            </w:r>
          </w:p>
        </w:tc>
        <w:tc>
          <w:tcPr>
            <w:tcW w:w="1701" w:type="dxa"/>
            <w:tcBorders>
              <w:top w:val="single" w:sz="6" w:space="0" w:color="auto"/>
              <w:left w:val="single" w:sz="6" w:space="0" w:color="auto"/>
              <w:bottom w:val="single" w:sz="6" w:space="0" w:color="auto"/>
              <w:right w:val="single" w:sz="6" w:space="0" w:color="auto"/>
            </w:tcBorders>
            <w:vAlign w:val="center"/>
          </w:tcPr>
          <w:p w:rsidR="00F97F35" w:rsidRPr="00D33B70" w:rsidRDefault="007E1373" w:rsidP="0061246D">
            <w:pPr>
              <w:numPr>
                <w:ilvl w:val="12"/>
                <w:numId w:val="0"/>
              </w:numPr>
              <w:jc w:val="center"/>
              <w:rPr>
                <w:rFonts w:cs="Arial"/>
              </w:rPr>
            </w:pPr>
            <w:r w:rsidRPr="00D33B70">
              <w:rPr>
                <w:rFonts w:cs="Arial"/>
              </w:rPr>
              <w:t>$375</w:t>
            </w:r>
            <w:r w:rsidR="00F97F35" w:rsidRPr="00D33B70">
              <w:rPr>
                <w:rFonts w:cs="Arial"/>
              </w:rPr>
              <w:t>,000</w:t>
            </w:r>
          </w:p>
        </w:tc>
        <w:tc>
          <w:tcPr>
            <w:tcW w:w="1701" w:type="dxa"/>
            <w:tcBorders>
              <w:top w:val="single" w:sz="6" w:space="0" w:color="auto"/>
              <w:left w:val="single" w:sz="6" w:space="0" w:color="auto"/>
              <w:bottom w:val="single" w:sz="6" w:space="0" w:color="auto"/>
              <w:right w:val="single" w:sz="6" w:space="0" w:color="auto"/>
            </w:tcBorders>
            <w:vAlign w:val="center"/>
          </w:tcPr>
          <w:p w:rsidR="00F97F35" w:rsidRPr="00D33B70" w:rsidRDefault="007E1373" w:rsidP="0061246D">
            <w:pPr>
              <w:numPr>
                <w:ilvl w:val="12"/>
                <w:numId w:val="0"/>
              </w:numPr>
              <w:jc w:val="center"/>
              <w:rPr>
                <w:rFonts w:cs="Arial"/>
              </w:rPr>
            </w:pPr>
            <w:r w:rsidRPr="00D33B70">
              <w:rPr>
                <w:rFonts w:cs="Arial"/>
              </w:rPr>
              <w:t>$1,626</w:t>
            </w:r>
            <w:r w:rsidR="00F97F35" w:rsidRPr="00D33B70">
              <w:rPr>
                <w:rFonts w:cs="Arial"/>
              </w:rPr>
              <w:t>,000</w:t>
            </w:r>
          </w:p>
        </w:tc>
        <w:tc>
          <w:tcPr>
            <w:tcW w:w="1646" w:type="dxa"/>
            <w:tcBorders>
              <w:top w:val="single" w:sz="6" w:space="0" w:color="auto"/>
              <w:left w:val="single" w:sz="6" w:space="0" w:color="auto"/>
              <w:bottom w:val="single" w:sz="6" w:space="0" w:color="auto"/>
              <w:right w:val="single" w:sz="4" w:space="0" w:color="auto"/>
            </w:tcBorders>
            <w:vAlign w:val="center"/>
          </w:tcPr>
          <w:p w:rsidR="00F97F35" w:rsidRPr="00D33B70" w:rsidRDefault="007E1373" w:rsidP="0061246D">
            <w:pPr>
              <w:numPr>
                <w:ilvl w:val="12"/>
                <w:numId w:val="0"/>
              </w:numPr>
              <w:jc w:val="center"/>
              <w:rPr>
                <w:rFonts w:cs="Arial"/>
              </w:rPr>
            </w:pPr>
            <w:r w:rsidRPr="00D33B70">
              <w:rPr>
                <w:rFonts w:cs="Arial"/>
              </w:rPr>
              <w:t>$94</w:t>
            </w:r>
            <w:r w:rsidR="00F97F35" w:rsidRPr="00D33B70">
              <w:rPr>
                <w:rFonts w:cs="Arial"/>
              </w:rPr>
              <w:t>,000</w:t>
            </w:r>
          </w:p>
        </w:tc>
      </w:tr>
      <w:tr w:rsidR="00F97F35" w:rsidRPr="00D33B70" w:rsidTr="0061246D">
        <w:trPr>
          <w:trHeight w:val="415"/>
        </w:trPr>
        <w:tc>
          <w:tcPr>
            <w:tcW w:w="818" w:type="dxa"/>
            <w:tcBorders>
              <w:top w:val="single" w:sz="6" w:space="0" w:color="auto"/>
              <w:left w:val="single" w:sz="4" w:space="0" w:color="auto"/>
              <w:bottom w:val="single" w:sz="6" w:space="0" w:color="auto"/>
              <w:right w:val="single" w:sz="6" w:space="0" w:color="auto"/>
            </w:tcBorders>
            <w:vAlign w:val="center"/>
          </w:tcPr>
          <w:p w:rsidR="00F97F35" w:rsidRPr="00D33B70" w:rsidRDefault="00F97F35" w:rsidP="0061246D">
            <w:pPr>
              <w:numPr>
                <w:ilvl w:val="12"/>
                <w:numId w:val="0"/>
              </w:numPr>
              <w:jc w:val="center"/>
              <w:rPr>
                <w:rFonts w:cs="Arial"/>
              </w:rPr>
            </w:pPr>
            <w:r w:rsidRPr="00D33B70">
              <w:rPr>
                <w:rFonts w:cs="Arial"/>
              </w:rPr>
              <w:t>10</w:t>
            </w:r>
          </w:p>
        </w:tc>
        <w:tc>
          <w:tcPr>
            <w:tcW w:w="770" w:type="dxa"/>
            <w:tcBorders>
              <w:top w:val="single" w:sz="6" w:space="0" w:color="auto"/>
              <w:left w:val="single" w:sz="6" w:space="0" w:color="auto"/>
              <w:bottom w:val="single" w:sz="6" w:space="0" w:color="auto"/>
              <w:right w:val="single" w:sz="6" w:space="0" w:color="auto"/>
            </w:tcBorders>
            <w:vAlign w:val="center"/>
          </w:tcPr>
          <w:p w:rsidR="00F97F35" w:rsidRPr="00D33B70" w:rsidRDefault="00F97F35" w:rsidP="0061246D">
            <w:pPr>
              <w:numPr>
                <w:ilvl w:val="12"/>
                <w:numId w:val="0"/>
              </w:numPr>
              <w:jc w:val="center"/>
              <w:rPr>
                <w:rFonts w:cs="Arial"/>
              </w:rPr>
            </w:pPr>
            <w:r w:rsidRPr="00D33B70">
              <w:rPr>
                <w:rFonts w:cs="Arial"/>
              </w:rPr>
              <w:t>10%</w:t>
            </w:r>
          </w:p>
        </w:tc>
        <w:tc>
          <w:tcPr>
            <w:tcW w:w="1417" w:type="dxa"/>
            <w:tcBorders>
              <w:top w:val="single" w:sz="6" w:space="0" w:color="auto"/>
              <w:left w:val="single" w:sz="6" w:space="0" w:color="auto"/>
              <w:bottom w:val="single" w:sz="6" w:space="0" w:color="auto"/>
              <w:right w:val="single" w:sz="6" w:space="0" w:color="auto"/>
            </w:tcBorders>
            <w:vAlign w:val="center"/>
          </w:tcPr>
          <w:p w:rsidR="00F97F35" w:rsidRPr="00D33B70" w:rsidRDefault="007E1373" w:rsidP="0061246D">
            <w:pPr>
              <w:numPr>
                <w:ilvl w:val="12"/>
                <w:numId w:val="0"/>
              </w:numPr>
              <w:jc w:val="center"/>
              <w:rPr>
                <w:rFonts w:cs="Arial"/>
              </w:rPr>
            </w:pPr>
            <w:r w:rsidRPr="00D33B70">
              <w:rPr>
                <w:rFonts w:cs="Arial"/>
              </w:rPr>
              <w:t>$816</w:t>
            </w:r>
            <w:r w:rsidR="001278F9" w:rsidRPr="00D33B70">
              <w:rPr>
                <w:rFonts w:cs="Arial"/>
              </w:rPr>
              <w:t>,</w:t>
            </w:r>
            <w:r w:rsidR="00F97F35" w:rsidRPr="00D33B70">
              <w:rPr>
                <w:rFonts w:cs="Arial"/>
              </w:rPr>
              <w:t>000</w:t>
            </w:r>
          </w:p>
        </w:tc>
        <w:tc>
          <w:tcPr>
            <w:tcW w:w="1641" w:type="dxa"/>
            <w:tcBorders>
              <w:top w:val="single" w:sz="6" w:space="0" w:color="auto"/>
              <w:left w:val="single" w:sz="6" w:space="0" w:color="auto"/>
              <w:bottom w:val="single" w:sz="6" w:space="0" w:color="auto"/>
              <w:right w:val="single" w:sz="6" w:space="0" w:color="auto"/>
            </w:tcBorders>
            <w:vAlign w:val="center"/>
          </w:tcPr>
          <w:p w:rsidR="00F97F35" w:rsidRPr="00D33B70" w:rsidRDefault="00F97F35" w:rsidP="0061246D">
            <w:pPr>
              <w:numPr>
                <w:ilvl w:val="12"/>
                <w:numId w:val="0"/>
              </w:numPr>
              <w:jc w:val="center"/>
              <w:rPr>
                <w:rFonts w:cs="Arial"/>
              </w:rPr>
            </w:pPr>
            <w:r w:rsidRPr="00D33B70">
              <w:rPr>
                <w:rFonts w:cs="Arial"/>
              </w:rPr>
              <w:t>$28,000</w:t>
            </w:r>
          </w:p>
        </w:tc>
        <w:tc>
          <w:tcPr>
            <w:tcW w:w="1701" w:type="dxa"/>
            <w:tcBorders>
              <w:top w:val="single" w:sz="6" w:space="0" w:color="auto"/>
              <w:left w:val="single" w:sz="6" w:space="0" w:color="auto"/>
              <w:bottom w:val="single" w:sz="6" w:space="0" w:color="auto"/>
              <w:right w:val="single" w:sz="6" w:space="0" w:color="auto"/>
            </w:tcBorders>
            <w:vAlign w:val="center"/>
          </w:tcPr>
          <w:p w:rsidR="00F97F35" w:rsidRPr="00D33B70" w:rsidRDefault="007E1373" w:rsidP="0061246D">
            <w:pPr>
              <w:numPr>
                <w:ilvl w:val="12"/>
                <w:numId w:val="0"/>
              </w:numPr>
              <w:jc w:val="center"/>
              <w:rPr>
                <w:rFonts w:cs="Arial"/>
              </w:rPr>
            </w:pPr>
            <w:r w:rsidRPr="00D33B70">
              <w:rPr>
                <w:rFonts w:cs="Arial"/>
              </w:rPr>
              <w:t>$253</w:t>
            </w:r>
            <w:r w:rsidR="00F97F35" w:rsidRPr="00D33B70">
              <w:rPr>
                <w:rFonts w:cs="Arial"/>
              </w:rPr>
              <w:t>,000</w:t>
            </w:r>
          </w:p>
        </w:tc>
        <w:tc>
          <w:tcPr>
            <w:tcW w:w="1701" w:type="dxa"/>
            <w:tcBorders>
              <w:top w:val="single" w:sz="6" w:space="0" w:color="auto"/>
              <w:left w:val="single" w:sz="6" w:space="0" w:color="auto"/>
              <w:bottom w:val="single" w:sz="6" w:space="0" w:color="auto"/>
              <w:right w:val="single" w:sz="6" w:space="0" w:color="auto"/>
            </w:tcBorders>
            <w:vAlign w:val="center"/>
          </w:tcPr>
          <w:p w:rsidR="00F97F35" w:rsidRPr="00D33B70" w:rsidRDefault="007E1373" w:rsidP="0061246D">
            <w:pPr>
              <w:numPr>
                <w:ilvl w:val="12"/>
                <w:numId w:val="0"/>
              </w:numPr>
              <w:jc w:val="center"/>
              <w:rPr>
                <w:rFonts w:cs="Arial"/>
              </w:rPr>
            </w:pPr>
            <w:r w:rsidRPr="00D33B70">
              <w:rPr>
                <w:rFonts w:cs="Arial"/>
              </w:rPr>
              <w:t>$1,097</w:t>
            </w:r>
            <w:r w:rsidR="00F97F35" w:rsidRPr="00D33B70">
              <w:rPr>
                <w:rFonts w:cs="Arial"/>
              </w:rPr>
              <w:t>,000</w:t>
            </w:r>
          </w:p>
        </w:tc>
        <w:tc>
          <w:tcPr>
            <w:tcW w:w="1646" w:type="dxa"/>
            <w:tcBorders>
              <w:top w:val="single" w:sz="6" w:space="0" w:color="auto"/>
              <w:left w:val="single" w:sz="6" w:space="0" w:color="auto"/>
              <w:bottom w:val="single" w:sz="6" w:space="0" w:color="auto"/>
              <w:right w:val="single" w:sz="4" w:space="0" w:color="auto"/>
            </w:tcBorders>
            <w:vAlign w:val="center"/>
          </w:tcPr>
          <w:p w:rsidR="00F97F35" w:rsidRPr="00D33B70" w:rsidRDefault="007E1373" w:rsidP="0061246D">
            <w:pPr>
              <w:numPr>
                <w:ilvl w:val="12"/>
                <w:numId w:val="0"/>
              </w:numPr>
              <w:jc w:val="center"/>
              <w:rPr>
                <w:rFonts w:cs="Arial"/>
              </w:rPr>
            </w:pPr>
            <w:r w:rsidRPr="00D33B70">
              <w:rPr>
                <w:rFonts w:cs="Arial"/>
              </w:rPr>
              <w:t>$68</w:t>
            </w:r>
            <w:r w:rsidR="00F97F35" w:rsidRPr="00D33B70">
              <w:rPr>
                <w:rFonts w:cs="Arial"/>
              </w:rPr>
              <w:t>,000</w:t>
            </w:r>
          </w:p>
        </w:tc>
      </w:tr>
      <w:tr w:rsidR="00F97F35" w:rsidRPr="00D33B70" w:rsidTr="0061246D">
        <w:trPr>
          <w:trHeight w:val="408"/>
        </w:trPr>
        <w:tc>
          <w:tcPr>
            <w:tcW w:w="818" w:type="dxa"/>
            <w:tcBorders>
              <w:top w:val="single" w:sz="6" w:space="0" w:color="auto"/>
              <w:left w:val="single" w:sz="4" w:space="0" w:color="auto"/>
              <w:bottom w:val="single" w:sz="6" w:space="0" w:color="auto"/>
              <w:right w:val="single" w:sz="6" w:space="0" w:color="auto"/>
            </w:tcBorders>
            <w:vAlign w:val="center"/>
          </w:tcPr>
          <w:p w:rsidR="00F97F35" w:rsidRPr="00D33B70" w:rsidRDefault="00F97F35" w:rsidP="0061246D">
            <w:pPr>
              <w:numPr>
                <w:ilvl w:val="12"/>
                <w:numId w:val="0"/>
              </w:numPr>
              <w:jc w:val="center"/>
              <w:rPr>
                <w:rFonts w:cs="Arial"/>
              </w:rPr>
            </w:pPr>
            <w:r w:rsidRPr="00D33B70">
              <w:rPr>
                <w:rFonts w:cs="Arial"/>
              </w:rPr>
              <w:t>5</w:t>
            </w:r>
          </w:p>
        </w:tc>
        <w:tc>
          <w:tcPr>
            <w:tcW w:w="770" w:type="dxa"/>
            <w:tcBorders>
              <w:top w:val="single" w:sz="6" w:space="0" w:color="auto"/>
              <w:left w:val="single" w:sz="6" w:space="0" w:color="auto"/>
              <w:bottom w:val="single" w:sz="6" w:space="0" w:color="auto"/>
              <w:right w:val="single" w:sz="6" w:space="0" w:color="auto"/>
            </w:tcBorders>
            <w:vAlign w:val="center"/>
          </w:tcPr>
          <w:p w:rsidR="00F97F35" w:rsidRPr="00D33B70" w:rsidRDefault="00F97F35" w:rsidP="0061246D">
            <w:pPr>
              <w:numPr>
                <w:ilvl w:val="12"/>
                <w:numId w:val="0"/>
              </w:numPr>
              <w:jc w:val="center"/>
              <w:rPr>
                <w:rFonts w:cs="Arial"/>
              </w:rPr>
            </w:pPr>
            <w:r w:rsidRPr="00D33B70">
              <w:rPr>
                <w:rFonts w:cs="Arial"/>
              </w:rPr>
              <w:t>20%</w:t>
            </w:r>
          </w:p>
        </w:tc>
        <w:tc>
          <w:tcPr>
            <w:tcW w:w="1417" w:type="dxa"/>
            <w:tcBorders>
              <w:top w:val="single" w:sz="6" w:space="0" w:color="auto"/>
              <w:left w:val="single" w:sz="6" w:space="0" w:color="auto"/>
              <w:bottom w:val="single" w:sz="6" w:space="0" w:color="auto"/>
              <w:right w:val="single" w:sz="6" w:space="0" w:color="auto"/>
            </w:tcBorders>
            <w:vAlign w:val="center"/>
          </w:tcPr>
          <w:p w:rsidR="00F97F35" w:rsidRPr="00D33B70" w:rsidRDefault="007E1373" w:rsidP="0061246D">
            <w:pPr>
              <w:numPr>
                <w:ilvl w:val="12"/>
                <w:numId w:val="0"/>
              </w:numPr>
              <w:jc w:val="center"/>
              <w:rPr>
                <w:rFonts w:cs="Arial"/>
              </w:rPr>
            </w:pPr>
            <w:r w:rsidRPr="00D33B70">
              <w:rPr>
                <w:rFonts w:cs="Arial"/>
              </w:rPr>
              <w:t>$519</w:t>
            </w:r>
            <w:r w:rsidR="00F97F35" w:rsidRPr="00D33B70">
              <w:rPr>
                <w:rFonts w:cs="Arial"/>
              </w:rPr>
              <w:t>,000</w:t>
            </w:r>
          </w:p>
        </w:tc>
        <w:tc>
          <w:tcPr>
            <w:tcW w:w="1641" w:type="dxa"/>
            <w:tcBorders>
              <w:top w:val="single" w:sz="6" w:space="0" w:color="auto"/>
              <w:left w:val="single" w:sz="6" w:space="0" w:color="auto"/>
              <w:bottom w:val="single" w:sz="6" w:space="0" w:color="auto"/>
              <w:right w:val="single" w:sz="6" w:space="0" w:color="auto"/>
            </w:tcBorders>
            <w:vAlign w:val="center"/>
          </w:tcPr>
          <w:p w:rsidR="00F97F35" w:rsidRPr="00D33B70" w:rsidRDefault="007E1373" w:rsidP="0061246D">
            <w:pPr>
              <w:numPr>
                <w:ilvl w:val="12"/>
                <w:numId w:val="0"/>
              </w:numPr>
              <w:jc w:val="center"/>
              <w:rPr>
                <w:rFonts w:cs="Arial"/>
              </w:rPr>
            </w:pPr>
            <w:r w:rsidRPr="00D33B70">
              <w:rPr>
                <w:rFonts w:cs="Arial"/>
              </w:rPr>
              <w:t>$17</w:t>
            </w:r>
            <w:r w:rsidR="00F97F35" w:rsidRPr="00D33B70">
              <w:rPr>
                <w:rFonts w:cs="Arial"/>
              </w:rPr>
              <w:t>,000</w:t>
            </w:r>
          </w:p>
        </w:tc>
        <w:tc>
          <w:tcPr>
            <w:tcW w:w="1701" w:type="dxa"/>
            <w:tcBorders>
              <w:top w:val="single" w:sz="6" w:space="0" w:color="auto"/>
              <w:left w:val="single" w:sz="6" w:space="0" w:color="auto"/>
              <w:bottom w:val="single" w:sz="6" w:space="0" w:color="auto"/>
              <w:right w:val="single" w:sz="6" w:space="0" w:color="auto"/>
            </w:tcBorders>
            <w:vAlign w:val="center"/>
          </w:tcPr>
          <w:p w:rsidR="00F97F35" w:rsidRPr="00D33B70" w:rsidRDefault="007E1373" w:rsidP="0061246D">
            <w:pPr>
              <w:numPr>
                <w:ilvl w:val="12"/>
                <w:numId w:val="0"/>
              </w:numPr>
              <w:jc w:val="center"/>
              <w:rPr>
                <w:rFonts w:cs="Arial"/>
              </w:rPr>
            </w:pPr>
            <w:r w:rsidRPr="00D33B70">
              <w:rPr>
                <w:rFonts w:cs="Arial"/>
              </w:rPr>
              <w:t>$161</w:t>
            </w:r>
            <w:r w:rsidR="00F97F35" w:rsidRPr="00D33B70">
              <w:rPr>
                <w:rFonts w:cs="Arial"/>
              </w:rPr>
              <w:t>,000</w:t>
            </w:r>
          </w:p>
        </w:tc>
        <w:tc>
          <w:tcPr>
            <w:tcW w:w="1701" w:type="dxa"/>
            <w:tcBorders>
              <w:top w:val="single" w:sz="6" w:space="0" w:color="auto"/>
              <w:left w:val="single" w:sz="6" w:space="0" w:color="auto"/>
              <w:bottom w:val="single" w:sz="6" w:space="0" w:color="auto"/>
              <w:right w:val="single" w:sz="6" w:space="0" w:color="auto"/>
            </w:tcBorders>
            <w:vAlign w:val="center"/>
          </w:tcPr>
          <w:p w:rsidR="00F97F35" w:rsidRPr="00D33B70" w:rsidRDefault="007E1373" w:rsidP="0061246D">
            <w:pPr>
              <w:numPr>
                <w:ilvl w:val="12"/>
                <w:numId w:val="0"/>
              </w:numPr>
              <w:jc w:val="center"/>
              <w:rPr>
                <w:rFonts w:cs="Arial"/>
              </w:rPr>
            </w:pPr>
            <w:r w:rsidRPr="00D33B70">
              <w:rPr>
                <w:rFonts w:cs="Arial"/>
              </w:rPr>
              <w:t>$697</w:t>
            </w:r>
            <w:r w:rsidR="00F97F35" w:rsidRPr="00D33B70">
              <w:rPr>
                <w:rFonts w:cs="Arial"/>
              </w:rPr>
              <w:t>,000</w:t>
            </w:r>
          </w:p>
        </w:tc>
        <w:tc>
          <w:tcPr>
            <w:tcW w:w="1646" w:type="dxa"/>
            <w:tcBorders>
              <w:top w:val="single" w:sz="6" w:space="0" w:color="auto"/>
              <w:left w:val="single" w:sz="6" w:space="0" w:color="auto"/>
              <w:bottom w:val="single" w:sz="6" w:space="0" w:color="auto"/>
              <w:right w:val="single" w:sz="4" w:space="0" w:color="auto"/>
            </w:tcBorders>
            <w:vAlign w:val="center"/>
          </w:tcPr>
          <w:p w:rsidR="00F97F35" w:rsidRPr="00D33B70" w:rsidRDefault="007E1373" w:rsidP="0061246D">
            <w:pPr>
              <w:numPr>
                <w:ilvl w:val="12"/>
                <w:numId w:val="0"/>
              </w:numPr>
              <w:jc w:val="center"/>
              <w:rPr>
                <w:rFonts w:cs="Arial"/>
              </w:rPr>
            </w:pPr>
            <w:r w:rsidRPr="00D33B70">
              <w:rPr>
                <w:rFonts w:cs="Arial"/>
              </w:rPr>
              <w:t>$90</w:t>
            </w:r>
            <w:r w:rsidR="00F97F35" w:rsidRPr="00D33B70">
              <w:rPr>
                <w:rFonts w:cs="Arial"/>
              </w:rPr>
              <w:t>,000</w:t>
            </w:r>
          </w:p>
        </w:tc>
      </w:tr>
      <w:tr w:rsidR="00F97F35" w:rsidRPr="00D33B70" w:rsidTr="0061246D">
        <w:trPr>
          <w:trHeight w:val="414"/>
        </w:trPr>
        <w:tc>
          <w:tcPr>
            <w:tcW w:w="818" w:type="dxa"/>
            <w:tcBorders>
              <w:top w:val="single" w:sz="6" w:space="0" w:color="auto"/>
              <w:left w:val="single" w:sz="4" w:space="0" w:color="auto"/>
              <w:bottom w:val="single" w:sz="6" w:space="0" w:color="auto"/>
              <w:right w:val="single" w:sz="6" w:space="0" w:color="auto"/>
            </w:tcBorders>
            <w:vAlign w:val="center"/>
          </w:tcPr>
          <w:p w:rsidR="00F97F35" w:rsidRPr="00D33B70" w:rsidRDefault="00F97F35" w:rsidP="0061246D">
            <w:pPr>
              <w:numPr>
                <w:ilvl w:val="12"/>
                <w:numId w:val="0"/>
              </w:numPr>
              <w:jc w:val="center"/>
              <w:rPr>
                <w:rFonts w:cs="Arial"/>
              </w:rPr>
            </w:pPr>
            <w:r w:rsidRPr="00D33B70">
              <w:rPr>
                <w:rFonts w:cs="Arial"/>
              </w:rPr>
              <w:t>2</w:t>
            </w:r>
          </w:p>
        </w:tc>
        <w:tc>
          <w:tcPr>
            <w:tcW w:w="770" w:type="dxa"/>
            <w:tcBorders>
              <w:top w:val="single" w:sz="6" w:space="0" w:color="auto"/>
              <w:left w:val="single" w:sz="6" w:space="0" w:color="auto"/>
              <w:bottom w:val="single" w:sz="6" w:space="0" w:color="auto"/>
              <w:right w:val="single" w:sz="6" w:space="0" w:color="auto"/>
            </w:tcBorders>
            <w:vAlign w:val="center"/>
          </w:tcPr>
          <w:p w:rsidR="00F97F35" w:rsidRPr="00D33B70" w:rsidRDefault="00F97F35" w:rsidP="0061246D">
            <w:pPr>
              <w:numPr>
                <w:ilvl w:val="12"/>
                <w:numId w:val="0"/>
              </w:numPr>
              <w:jc w:val="center"/>
              <w:rPr>
                <w:rFonts w:cs="Arial"/>
              </w:rPr>
            </w:pPr>
            <w:r w:rsidRPr="00D33B70">
              <w:rPr>
                <w:rFonts w:cs="Arial"/>
              </w:rPr>
              <w:t>50%</w:t>
            </w:r>
          </w:p>
        </w:tc>
        <w:tc>
          <w:tcPr>
            <w:tcW w:w="1417" w:type="dxa"/>
            <w:tcBorders>
              <w:top w:val="single" w:sz="6" w:space="0" w:color="auto"/>
              <w:left w:val="single" w:sz="6" w:space="0" w:color="auto"/>
              <w:bottom w:val="single" w:sz="6" w:space="0" w:color="auto"/>
              <w:right w:val="single" w:sz="6" w:space="0" w:color="auto"/>
            </w:tcBorders>
            <w:vAlign w:val="center"/>
          </w:tcPr>
          <w:p w:rsidR="00F97F35" w:rsidRPr="00D33B70" w:rsidRDefault="00F97F35" w:rsidP="0061246D">
            <w:pPr>
              <w:numPr>
                <w:ilvl w:val="12"/>
                <w:numId w:val="0"/>
              </w:numPr>
              <w:jc w:val="center"/>
              <w:rPr>
                <w:rFonts w:cs="Arial"/>
              </w:rPr>
            </w:pPr>
          </w:p>
        </w:tc>
        <w:tc>
          <w:tcPr>
            <w:tcW w:w="1641" w:type="dxa"/>
            <w:tcBorders>
              <w:top w:val="single" w:sz="6" w:space="0" w:color="auto"/>
              <w:left w:val="single" w:sz="6" w:space="0" w:color="auto"/>
              <w:bottom w:val="single" w:sz="6" w:space="0" w:color="auto"/>
              <w:right w:val="single" w:sz="6" w:space="0" w:color="auto"/>
            </w:tcBorders>
            <w:vAlign w:val="center"/>
          </w:tcPr>
          <w:p w:rsidR="00F97F35" w:rsidRPr="00D33B70" w:rsidRDefault="00F97F35" w:rsidP="0061246D">
            <w:pPr>
              <w:numPr>
                <w:ilvl w:val="12"/>
                <w:numId w:val="0"/>
              </w:numPr>
              <w:jc w:val="center"/>
              <w:rPr>
                <w:rFonts w:cs="Arial"/>
              </w:rPr>
            </w:pPr>
          </w:p>
        </w:tc>
        <w:tc>
          <w:tcPr>
            <w:tcW w:w="1701" w:type="dxa"/>
            <w:tcBorders>
              <w:top w:val="single" w:sz="6" w:space="0" w:color="auto"/>
              <w:left w:val="single" w:sz="6" w:space="0" w:color="auto"/>
              <w:bottom w:val="single" w:sz="6" w:space="0" w:color="auto"/>
              <w:right w:val="single" w:sz="6" w:space="0" w:color="auto"/>
            </w:tcBorders>
            <w:vAlign w:val="center"/>
          </w:tcPr>
          <w:p w:rsidR="00F97F35" w:rsidRPr="00D33B70" w:rsidRDefault="00F97F35" w:rsidP="0061246D">
            <w:pPr>
              <w:numPr>
                <w:ilvl w:val="12"/>
                <w:numId w:val="0"/>
              </w:numPr>
              <w:jc w:val="center"/>
              <w:rPr>
                <w:rFonts w:cs="Arial"/>
              </w:rPr>
            </w:pPr>
          </w:p>
        </w:tc>
        <w:tc>
          <w:tcPr>
            <w:tcW w:w="1701" w:type="dxa"/>
            <w:tcBorders>
              <w:top w:val="single" w:sz="6" w:space="0" w:color="auto"/>
              <w:left w:val="single" w:sz="6" w:space="0" w:color="auto"/>
              <w:bottom w:val="single" w:sz="6" w:space="0" w:color="auto"/>
              <w:right w:val="single" w:sz="6" w:space="0" w:color="auto"/>
            </w:tcBorders>
            <w:vAlign w:val="center"/>
          </w:tcPr>
          <w:p w:rsidR="00F97F35" w:rsidRPr="00D33B70" w:rsidRDefault="00F97F35" w:rsidP="0061246D">
            <w:pPr>
              <w:numPr>
                <w:ilvl w:val="12"/>
                <w:numId w:val="0"/>
              </w:numPr>
              <w:jc w:val="center"/>
              <w:rPr>
                <w:rFonts w:cs="Arial"/>
              </w:rPr>
            </w:pPr>
          </w:p>
        </w:tc>
        <w:tc>
          <w:tcPr>
            <w:tcW w:w="1646" w:type="dxa"/>
            <w:tcBorders>
              <w:top w:val="single" w:sz="6" w:space="0" w:color="auto"/>
              <w:left w:val="single" w:sz="6" w:space="0" w:color="auto"/>
              <w:bottom w:val="single" w:sz="6" w:space="0" w:color="auto"/>
              <w:right w:val="single" w:sz="4" w:space="0" w:color="auto"/>
            </w:tcBorders>
            <w:vAlign w:val="center"/>
          </w:tcPr>
          <w:p w:rsidR="00F97F35" w:rsidRPr="00D33B70" w:rsidRDefault="007E1373" w:rsidP="0061246D">
            <w:pPr>
              <w:numPr>
                <w:ilvl w:val="12"/>
                <w:numId w:val="0"/>
              </w:numPr>
              <w:jc w:val="center"/>
              <w:rPr>
                <w:rFonts w:cs="Arial"/>
              </w:rPr>
            </w:pPr>
            <w:r w:rsidRPr="00D33B70">
              <w:rPr>
                <w:rFonts w:cs="Arial"/>
              </w:rPr>
              <w:t>$105</w:t>
            </w:r>
            <w:r w:rsidR="00F97F35" w:rsidRPr="00D33B70">
              <w:rPr>
                <w:rFonts w:cs="Arial"/>
              </w:rPr>
              <w:t>,000</w:t>
            </w:r>
          </w:p>
        </w:tc>
      </w:tr>
      <w:tr w:rsidR="00F97F35" w:rsidRPr="00D33B70" w:rsidTr="0061246D">
        <w:trPr>
          <w:trHeight w:val="391"/>
        </w:trPr>
        <w:tc>
          <w:tcPr>
            <w:tcW w:w="3005" w:type="dxa"/>
            <w:gridSpan w:val="3"/>
            <w:tcBorders>
              <w:top w:val="single" w:sz="6" w:space="0" w:color="auto"/>
              <w:left w:val="single" w:sz="4" w:space="0" w:color="auto"/>
              <w:bottom w:val="single" w:sz="4" w:space="0" w:color="auto"/>
              <w:right w:val="single" w:sz="6" w:space="0" w:color="auto"/>
            </w:tcBorders>
            <w:shd w:val="pct10" w:color="auto" w:fill="auto"/>
            <w:vAlign w:val="center"/>
          </w:tcPr>
          <w:p w:rsidR="00F97F35" w:rsidRPr="00D33B70" w:rsidRDefault="00F97F35" w:rsidP="007C764C">
            <w:pPr>
              <w:numPr>
                <w:ilvl w:val="12"/>
                <w:numId w:val="0"/>
              </w:numPr>
              <w:jc w:val="center"/>
              <w:rPr>
                <w:rFonts w:cs="Arial"/>
                <w:b/>
              </w:rPr>
            </w:pPr>
            <w:r w:rsidRPr="00D33B70">
              <w:rPr>
                <w:rFonts w:cs="Arial"/>
                <w:b/>
              </w:rPr>
              <w:t>Average Annual Damage</w:t>
            </w:r>
          </w:p>
        </w:tc>
        <w:tc>
          <w:tcPr>
            <w:tcW w:w="1641" w:type="dxa"/>
            <w:tcBorders>
              <w:top w:val="single" w:sz="6" w:space="0" w:color="auto"/>
              <w:left w:val="single" w:sz="6" w:space="0" w:color="auto"/>
              <w:bottom w:val="single" w:sz="4" w:space="0" w:color="auto"/>
              <w:right w:val="single" w:sz="6" w:space="0" w:color="auto"/>
            </w:tcBorders>
            <w:shd w:val="pct10" w:color="auto" w:fill="auto"/>
          </w:tcPr>
          <w:p w:rsidR="00F97F35" w:rsidRPr="00D33B70" w:rsidRDefault="00F97F35" w:rsidP="007C764C">
            <w:pPr>
              <w:numPr>
                <w:ilvl w:val="12"/>
                <w:numId w:val="0"/>
              </w:numPr>
              <w:jc w:val="center"/>
              <w:rPr>
                <w:rFonts w:cs="Arial"/>
                <w:b/>
              </w:rPr>
            </w:pPr>
          </w:p>
        </w:tc>
        <w:tc>
          <w:tcPr>
            <w:tcW w:w="1701" w:type="dxa"/>
            <w:tcBorders>
              <w:top w:val="single" w:sz="6" w:space="0" w:color="auto"/>
              <w:left w:val="single" w:sz="6" w:space="0" w:color="auto"/>
              <w:bottom w:val="single" w:sz="4" w:space="0" w:color="auto"/>
              <w:right w:val="single" w:sz="6" w:space="0" w:color="auto"/>
            </w:tcBorders>
            <w:shd w:val="pct10" w:color="auto" w:fill="auto"/>
            <w:vAlign w:val="center"/>
          </w:tcPr>
          <w:p w:rsidR="00F97F35" w:rsidRPr="00D33B70" w:rsidRDefault="00F97F35" w:rsidP="007C764C">
            <w:pPr>
              <w:numPr>
                <w:ilvl w:val="12"/>
                <w:numId w:val="0"/>
              </w:numPr>
              <w:jc w:val="center"/>
              <w:rPr>
                <w:rFonts w:cs="Arial"/>
                <w:b/>
              </w:rPr>
            </w:pPr>
          </w:p>
        </w:tc>
        <w:tc>
          <w:tcPr>
            <w:tcW w:w="1701" w:type="dxa"/>
            <w:tcBorders>
              <w:top w:val="single" w:sz="6" w:space="0" w:color="auto"/>
              <w:left w:val="single" w:sz="6" w:space="0" w:color="auto"/>
              <w:bottom w:val="single" w:sz="4" w:space="0" w:color="auto"/>
              <w:right w:val="single" w:sz="6" w:space="0" w:color="auto"/>
            </w:tcBorders>
            <w:shd w:val="pct10" w:color="auto" w:fill="auto"/>
            <w:vAlign w:val="center"/>
          </w:tcPr>
          <w:p w:rsidR="00F97F35" w:rsidRPr="00D33B70" w:rsidRDefault="00F97F35" w:rsidP="007C764C">
            <w:pPr>
              <w:numPr>
                <w:ilvl w:val="12"/>
                <w:numId w:val="0"/>
              </w:numPr>
              <w:jc w:val="center"/>
              <w:rPr>
                <w:rFonts w:cs="Arial"/>
                <w:b/>
              </w:rPr>
            </w:pPr>
          </w:p>
        </w:tc>
        <w:tc>
          <w:tcPr>
            <w:tcW w:w="1646" w:type="dxa"/>
            <w:tcBorders>
              <w:top w:val="single" w:sz="6" w:space="0" w:color="auto"/>
              <w:left w:val="single" w:sz="6" w:space="0" w:color="auto"/>
              <w:bottom w:val="single" w:sz="4" w:space="0" w:color="auto"/>
              <w:right w:val="single" w:sz="4" w:space="0" w:color="auto"/>
            </w:tcBorders>
            <w:shd w:val="pct10" w:color="auto" w:fill="auto"/>
            <w:vAlign w:val="center"/>
          </w:tcPr>
          <w:p w:rsidR="00F97F35" w:rsidRPr="00D33B70" w:rsidRDefault="007E1373" w:rsidP="00F97F35">
            <w:pPr>
              <w:numPr>
                <w:ilvl w:val="12"/>
                <w:numId w:val="0"/>
              </w:numPr>
              <w:jc w:val="center"/>
              <w:rPr>
                <w:rFonts w:cs="Arial"/>
                <w:b/>
              </w:rPr>
            </w:pPr>
            <w:r w:rsidRPr="00D33B70">
              <w:rPr>
                <w:rFonts w:cs="Arial"/>
                <w:b/>
              </w:rPr>
              <w:t>$389</w:t>
            </w:r>
            <w:r w:rsidR="00F97F35" w:rsidRPr="00D33B70">
              <w:rPr>
                <w:rFonts w:cs="Arial"/>
                <w:b/>
              </w:rPr>
              <w:t>,000</w:t>
            </w:r>
          </w:p>
        </w:tc>
      </w:tr>
    </w:tbl>
    <w:p w:rsidR="00E924B2" w:rsidRPr="00D33B70" w:rsidRDefault="00E924B2" w:rsidP="00D90785">
      <w:pPr>
        <w:pStyle w:val="Text"/>
        <w:spacing w:before="0"/>
        <w:ind w:left="142"/>
        <w:rPr>
          <w:sz w:val="16"/>
          <w:szCs w:val="16"/>
        </w:rPr>
      </w:pPr>
      <w:r w:rsidRPr="00D33B70">
        <w:rPr>
          <w:sz w:val="16"/>
          <w:szCs w:val="16"/>
        </w:rPr>
        <w:t xml:space="preserve">*PMF damages are an </w:t>
      </w:r>
      <w:r w:rsidR="0061246D" w:rsidRPr="00D33B70">
        <w:rPr>
          <w:sz w:val="16"/>
          <w:szCs w:val="16"/>
        </w:rPr>
        <w:t>extrapolation</w:t>
      </w:r>
      <w:r w:rsidRPr="00D33B70">
        <w:rPr>
          <w:sz w:val="16"/>
          <w:szCs w:val="16"/>
        </w:rPr>
        <w:t xml:space="preserve"> of the 1% AEP data, i.e. they were not calculated using PMF flood levels.</w:t>
      </w:r>
    </w:p>
    <w:p w:rsidR="00446F54" w:rsidRPr="00D33B70" w:rsidRDefault="007E1373" w:rsidP="007E1373">
      <w:pPr>
        <w:spacing w:before="240"/>
        <w:jc w:val="left"/>
      </w:pPr>
      <w:r w:rsidRPr="00D33B70">
        <w:rPr>
          <w:noProof/>
          <w:lang w:eastAsia="en-AU"/>
        </w:rPr>
        <w:lastRenderedPageBreak/>
        <w:drawing>
          <wp:inline distT="0" distB="0" distL="0" distR="0" wp14:anchorId="60DE114B" wp14:editId="424A4390">
            <wp:extent cx="6103917" cy="3992076"/>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16128" cy="4000062"/>
                    </a:xfrm>
                    <a:prstGeom prst="rect">
                      <a:avLst/>
                    </a:prstGeom>
                    <a:noFill/>
                  </pic:spPr>
                </pic:pic>
              </a:graphicData>
            </a:graphic>
          </wp:inline>
        </w:drawing>
      </w:r>
    </w:p>
    <w:p w:rsidR="007C764C" w:rsidRPr="00D33B70" w:rsidRDefault="00446F54" w:rsidP="00446F54">
      <w:pPr>
        <w:pStyle w:val="Caption"/>
      </w:pPr>
      <w:bookmarkStart w:id="251" w:name="_Ref349201655"/>
      <w:bookmarkStart w:id="252" w:name="_Toc387308953"/>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6</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1</w:t>
      </w:r>
      <w:r w:rsidR="00FF3C04" w:rsidRPr="00D33B70">
        <w:fldChar w:fldCharType="end"/>
      </w:r>
      <w:bookmarkEnd w:id="251"/>
      <w:r w:rsidRPr="00D33B70">
        <w:tab/>
        <w:t>Existing Conditions Damages Probability Curve</w:t>
      </w:r>
      <w:bookmarkEnd w:id="252"/>
    </w:p>
    <w:p w:rsidR="007C764C" w:rsidRPr="00D33B70" w:rsidRDefault="007C764C" w:rsidP="00430B8C">
      <w:pPr>
        <w:pStyle w:val="Text"/>
        <w:sectPr w:rsidR="007C764C" w:rsidRPr="00D33B70" w:rsidSect="007018E6">
          <w:pgSz w:w="11907" w:h="16840"/>
          <w:pgMar w:top="1418" w:right="1134" w:bottom="1418" w:left="1134" w:header="851" w:footer="828" w:gutter="0"/>
          <w:pgNumType w:start="1" w:chapStyle="1"/>
          <w:cols w:space="720"/>
        </w:sectPr>
      </w:pPr>
    </w:p>
    <w:p w:rsidR="007C764C" w:rsidRPr="00D33B70" w:rsidRDefault="00E86295" w:rsidP="007C764C">
      <w:pPr>
        <w:pStyle w:val="Heading1"/>
      </w:pPr>
      <w:bookmarkStart w:id="253" w:name="_Toc387308901"/>
      <w:r w:rsidRPr="00D33B70">
        <w:lastRenderedPageBreak/>
        <w:t>Mitigation Schemes Assessment</w:t>
      </w:r>
      <w:bookmarkEnd w:id="253"/>
    </w:p>
    <w:p w:rsidR="00E85910" w:rsidRPr="00D33B70" w:rsidRDefault="00E85910" w:rsidP="00E85910">
      <w:pPr>
        <w:pStyle w:val="Text"/>
        <w:numPr>
          <w:ilvl w:val="12"/>
          <w:numId w:val="0"/>
        </w:numPr>
        <w:ind w:left="851"/>
      </w:pPr>
      <w:r w:rsidRPr="00D33B70">
        <w:t xml:space="preserve">This section outlines and investigates </w:t>
      </w:r>
      <w:r w:rsidR="002247D2" w:rsidRPr="00D33B70">
        <w:t>mitigation s</w:t>
      </w:r>
      <w:r w:rsidRPr="00D33B70">
        <w:t xml:space="preserve">chemes designed to reduce existing flood damages: a scheme is a combination of several mitigation options.  This section provides details on the formulation and evaluation of each of the </w:t>
      </w:r>
      <w:r w:rsidR="002247D2" w:rsidRPr="00D33B70">
        <w:t>s</w:t>
      </w:r>
      <w:r w:rsidRPr="00D33B70">
        <w:t>chemes and considers the benefit/cost of the proposed works (tangible benefits) along with various other economic and non-economic factors to assist in recommending a preferred strategy.</w:t>
      </w:r>
    </w:p>
    <w:p w:rsidR="00E85910" w:rsidRPr="00D33B70" w:rsidRDefault="00E85910" w:rsidP="00E85910">
      <w:pPr>
        <w:pStyle w:val="Text"/>
        <w:numPr>
          <w:ilvl w:val="12"/>
          <w:numId w:val="0"/>
        </w:numPr>
        <w:ind w:left="851"/>
      </w:pPr>
      <w:r w:rsidRPr="00D33B70">
        <w:t>The assessment followed four key stages:</w:t>
      </w:r>
    </w:p>
    <w:p w:rsidR="00E85910" w:rsidRPr="00D33B70" w:rsidRDefault="00E85910" w:rsidP="00E85910">
      <w:pPr>
        <w:pStyle w:val="Text"/>
        <w:numPr>
          <w:ilvl w:val="0"/>
          <w:numId w:val="22"/>
        </w:numPr>
        <w:tabs>
          <w:tab w:val="left" w:pos="1571"/>
        </w:tabs>
      </w:pPr>
      <w:r w:rsidRPr="00D33B70">
        <w:t>identification of focus areas;</w:t>
      </w:r>
    </w:p>
    <w:p w:rsidR="00E85910" w:rsidRPr="00D33B70" w:rsidRDefault="00E85910" w:rsidP="00E85910">
      <w:pPr>
        <w:pStyle w:val="Text"/>
        <w:numPr>
          <w:ilvl w:val="0"/>
          <w:numId w:val="22"/>
        </w:numPr>
        <w:tabs>
          <w:tab w:val="left" w:pos="1571"/>
        </w:tabs>
      </w:pPr>
      <w:r w:rsidRPr="00D33B70">
        <w:t>mitigation option screening;</w:t>
      </w:r>
    </w:p>
    <w:p w:rsidR="00E85910" w:rsidRPr="00D33B70" w:rsidRDefault="00E85910" w:rsidP="00E85910">
      <w:pPr>
        <w:pStyle w:val="Text"/>
        <w:numPr>
          <w:ilvl w:val="0"/>
          <w:numId w:val="22"/>
        </w:numPr>
        <w:tabs>
          <w:tab w:val="left" w:pos="1571"/>
        </w:tabs>
      </w:pPr>
      <w:r w:rsidRPr="00D33B70">
        <w:t>preliminary assessment of options; and</w:t>
      </w:r>
    </w:p>
    <w:p w:rsidR="00E85910" w:rsidRPr="00D33B70" w:rsidRDefault="00E85910" w:rsidP="00E85910">
      <w:pPr>
        <w:pStyle w:val="Text"/>
        <w:numPr>
          <w:ilvl w:val="0"/>
          <w:numId w:val="22"/>
        </w:numPr>
        <w:tabs>
          <w:tab w:val="left" w:pos="1571"/>
        </w:tabs>
      </w:pPr>
      <w:r w:rsidRPr="00D33B70">
        <w:t>detailed assessment of Schemes.</w:t>
      </w:r>
    </w:p>
    <w:p w:rsidR="00E86295" w:rsidRPr="00D33B70" w:rsidRDefault="00E85910" w:rsidP="00B26EF8">
      <w:pPr>
        <w:pStyle w:val="Heading2"/>
      </w:pPr>
      <w:bookmarkStart w:id="254" w:name="_Toc387308902"/>
      <w:r w:rsidRPr="00D33B70">
        <w:t>Focus Areas</w:t>
      </w:r>
      <w:bookmarkEnd w:id="254"/>
    </w:p>
    <w:p w:rsidR="00E85910" w:rsidRPr="00D33B70" w:rsidRDefault="00E85910" w:rsidP="00E85910">
      <w:pPr>
        <w:pStyle w:val="Text"/>
        <w:numPr>
          <w:ilvl w:val="12"/>
          <w:numId w:val="0"/>
        </w:numPr>
        <w:ind w:left="851"/>
      </w:pPr>
      <w:r w:rsidRPr="00D33B70">
        <w:t>Through the modelling of the existing conditions in the study area, widespread shallow flooding was observed throughout the study area.  Despite the number of properties exposed to flooding, relatively few houses had above floor flooding.  However, the majority of houses that would be subject to above floor flooding are concentrated within several different locations;</w:t>
      </w:r>
    </w:p>
    <w:p w:rsidR="00E85910" w:rsidRPr="00D33B70" w:rsidRDefault="004E4B9F" w:rsidP="00E85910">
      <w:pPr>
        <w:pStyle w:val="Text"/>
        <w:numPr>
          <w:ilvl w:val="0"/>
          <w:numId w:val="24"/>
        </w:numPr>
      </w:pPr>
      <w:r w:rsidRPr="00D33B70">
        <w:t>the intersect of Mount Pleasant Road and Murray Street</w:t>
      </w:r>
      <w:r w:rsidR="00E85910" w:rsidRPr="00D33B70">
        <w:t>,</w:t>
      </w:r>
    </w:p>
    <w:p w:rsidR="00E85910" w:rsidRPr="00D33B70" w:rsidRDefault="004E4B9F" w:rsidP="00E85910">
      <w:pPr>
        <w:pStyle w:val="Text"/>
        <w:numPr>
          <w:ilvl w:val="0"/>
          <w:numId w:val="23"/>
        </w:numPr>
      </w:pPr>
      <w:r w:rsidRPr="00D33B70">
        <w:t>along the major flow path downstream of the Barrabool Road Lower and Wandana Drive Retarding Basins between Scenic Rd and the intersection Barrabool Road and Glenmire Street</w:t>
      </w:r>
      <w:r w:rsidR="00876663" w:rsidRPr="00D33B70">
        <w:t>,</w:t>
      </w:r>
      <w:r w:rsidR="00E85910" w:rsidRPr="00D33B70">
        <w:t xml:space="preserve"> and</w:t>
      </w:r>
    </w:p>
    <w:p w:rsidR="00E85910" w:rsidRPr="00D33B70" w:rsidRDefault="00876663" w:rsidP="00876663">
      <w:pPr>
        <w:pStyle w:val="Text"/>
        <w:numPr>
          <w:ilvl w:val="0"/>
          <w:numId w:val="23"/>
        </w:numPr>
      </w:pPr>
      <w:r w:rsidRPr="00D33B70">
        <w:t xml:space="preserve">on </w:t>
      </w:r>
      <w:r w:rsidR="004E4B9F" w:rsidRPr="00D33B70">
        <w:t>the western side of Belle Vue Avenue between Roslyn Road and Patern Street.</w:t>
      </w:r>
    </w:p>
    <w:p w:rsidR="00E86295" w:rsidRPr="00D33B70" w:rsidRDefault="00E85910" w:rsidP="00876663">
      <w:pPr>
        <w:pStyle w:val="Text"/>
        <w:numPr>
          <w:ilvl w:val="12"/>
          <w:numId w:val="0"/>
        </w:numPr>
        <w:ind w:left="851"/>
      </w:pPr>
      <w:r w:rsidRPr="00D33B70">
        <w:t xml:space="preserve">Consequently, reducing the flood levels </w:t>
      </w:r>
      <w:r w:rsidR="00876663" w:rsidRPr="00D33B70">
        <w:t xml:space="preserve">at these three locations, in particular downstream of the Barrabool Road Lower and Wandana Drive Retarding Basins, </w:t>
      </w:r>
      <w:r w:rsidRPr="00D33B70">
        <w:t>formed the focus of the mitigation schemes.</w:t>
      </w:r>
    </w:p>
    <w:p w:rsidR="00876663" w:rsidRPr="00D33B70" w:rsidRDefault="00876663" w:rsidP="00B26EF8">
      <w:pPr>
        <w:pStyle w:val="Heading2"/>
      </w:pPr>
      <w:bookmarkStart w:id="255" w:name="_Toc387308903"/>
      <w:r w:rsidRPr="00D33B70">
        <w:t>Mitigation Option Screening</w:t>
      </w:r>
      <w:bookmarkEnd w:id="255"/>
    </w:p>
    <w:p w:rsidR="00876663" w:rsidRPr="00D33B70" w:rsidRDefault="00876663" w:rsidP="00876663">
      <w:pPr>
        <w:pStyle w:val="Text"/>
        <w:numPr>
          <w:ilvl w:val="12"/>
          <w:numId w:val="0"/>
        </w:numPr>
        <w:ind w:left="851"/>
      </w:pPr>
      <w:r w:rsidRPr="00D33B70">
        <w:t xml:space="preserve">A wide range of mitigation options were considered as part of the “first pass” assessment.  Options such as localised pipe system upgrades were considered to alleviate a number of the flooding issues in the areas of concern.  </w:t>
      </w:r>
      <w:r w:rsidRPr="00D33B70">
        <w:fldChar w:fldCharType="begin"/>
      </w:r>
      <w:r w:rsidRPr="00D33B70">
        <w:instrText xml:space="preserve"> REF _Ref34721003 \h  \* MERGEFORMAT </w:instrText>
      </w:r>
      <w:r w:rsidRPr="00D33B70">
        <w:fldChar w:fldCharType="separate"/>
      </w:r>
      <w:r w:rsidR="00AC6986" w:rsidRPr="00D33B70">
        <w:t xml:space="preserve">Table </w:t>
      </w:r>
      <w:r w:rsidR="00AC6986">
        <w:t>7</w:t>
      </w:r>
      <w:r w:rsidR="00AC6986" w:rsidRPr="00D33B70">
        <w:noBreakHyphen/>
      </w:r>
      <w:r w:rsidR="00AC6986">
        <w:t>1</w:t>
      </w:r>
      <w:r w:rsidRPr="00D33B70">
        <w:fldChar w:fldCharType="end"/>
      </w:r>
      <w:r w:rsidRPr="00D33B70">
        <w:t xml:space="preserve"> sets out the broad categories of options considered and whether any detailed investigation was undertaken.  The decision on which options were to be considered was undertaken in consultation with the CoGG.</w:t>
      </w:r>
    </w:p>
    <w:p w:rsidR="00876663" w:rsidRPr="00D33B70" w:rsidRDefault="00876663" w:rsidP="00876663">
      <w:pPr>
        <w:pStyle w:val="Text"/>
        <w:numPr>
          <w:ilvl w:val="12"/>
          <w:numId w:val="0"/>
        </w:numPr>
        <w:ind w:left="851"/>
      </w:pPr>
      <w:r w:rsidRPr="00D33B70">
        <w:t>The options that were selected for consideration are described in more detail in the following sections.</w:t>
      </w:r>
    </w:p>
    <w:p w:rsidR="00B26EF8" w:rsidRPr="00D33B70" w:rsidRDefault="00B26EF8" w:rsidP="00876663">
      <w:pPr>
        <w:pStyle w:val="Text"/>
        <w:numPr>
          <w:ilvl w:val="12"/>
          <w:numId w:val="0"/>
        </w:numPr>
        <w:ind w:left="851"/>
      </w:pPr>
    </w:p>
    <w:p w:rsidR="00876663" w:rsidRPr="00D33B70" w:rsidRDefault="00876663" w:rsidP="00876663">
      <w:pPr>
        <w:pStyle w:val="Caption"/>
        <w:numPr>
          <w:ilvl w:val="12"/>
          <w:numId w:val="0"/>
        </w:numPr>
        <w:ind w:left="851"/>
      </w:pPr>
      <w:bookmarkStart w:id="256" w:name="_Ref34721003"/>
      <w:bookmarkStart w:id="257" w:name="_Toc54070215"/>
      <w:bookmarkStart w:id="258" w:name="_Toc69118845"/>
      <w:bookmarkStart w:id="259" w:name="_Toc231362342"/>
      <w:bookmarkStart w:id="260" w:name="_Toc236553385"/>
      <w:bookmarkStart w:id="261" w:name="_Toc280014008"/>
      <w:bookmarkStart w:id="262" w:name="_Toc295475233"/>
      <w:bookmarkStart w:id="263" w:name="_Toc295914232"/>
      <w:bookmarkStart w:id="264" w:name="_Toc387308986"/>
      <w:r w:rsidRPr="00D33B70">
        <w:lastRenderedPageBreak/>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7</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1</w:t>
      </w:r>
      <w:r w:rsidR="00FF3C04" w:rsidRPr="00D33B70">
        <w:fldChar w:fldCharType="end"/>
      </w:r>
      <w:bookmarkEnd w:id="256"/>
      <w:r w:rsidRPr="00D33B70">
        <w:tab/>
        <w:t>Mitigation Option Element Screening</w:t>
      </w:r>
      <w:bookmarkEnd w:id="257"/>
      <w:bookmarkEnd w:id="258"/>
      <w:bookmarkEnd w:id="259"/>
      <w:bookmarkEnd w:id="260"/>
      <w:bookmarkEnd w:id="261"/>
      <w:bookmarkEnd w:id="262"/>
      <w:bookmarkEnd w:id="263"/>
      <w:bookmarkEnd w:id="264"/>
    </w:p>
    <w:tbl>
      <w:tblPr>
        <w:tblW w:w="0" w:type="auto"/>
        <w:tblLayout w:type="fixed"/>
        <w:tblCellMar>
          <w:left w:w="30" w:type="dxa"/>
          <w:right w:w="30" w:type="dxa"/>
        </w:tblCellMar>
        <w:tblLook w:val="0000" w:firstRow="0" w:lastRow="0" w:firstColumn="0" w:lastColumn="0" w:noHBand="0" w:noVBand="0"/>
      </w:tblPr>
      <w:tblGrid>
        <w:gridCol w:w="597"/>
        <w:gridCol w:w="993"/>
        <w:gridCol w:w="2534"/>
        <w:gridCol w:w="2520"/>
        <w:gridCol w:w="2033"/>
      </w:tblGrid>
      <w:tr w:rsidR="00876663" w:rsidRPr="00D33B70" w:rsidTr="00F049C4">
        <w:trPr>
          <w:trHeight w:val="513"/>
        </w:trPr>
        <w:tc>
          <w:tcPr>
            <w:tcW w:w="1590" w:type="dxa"/>
            <w:gridSpan w:val="2"/>
            <w:tcBorders>
              <w:top w:val="single" w:sz="18" w:space="0" w:color="auto"/>
              <w:left w:val="single" w:sz="12" w:space="0" w:color="auto"/>
              <w:bottom w:val="single" w:sz="18" w:space="0" w:color="auto"/>
              <w:right w:val="single" w:sz="18" w:space="0" w:color="auto"/>
            </w:tcBorders>
            <w:shd w:val="pct10" w:color="auto" w:fill="auto"/>
            <w:vAlign w:val="center"/>
          </w:tcPr>
          <w:p w:rsidR="00876663" w:rsidRPr="00D33B70" w:rsidRDefault="00876663" w:rsidP="00876663">
            <w:pPr>
              <w:framePr w:hSpace="181" w:wrap="around" w:vAnchor="text" w:hAnchor="text" w:x="908" w:y="1"/>
              <w:numPr>
                <w:ilvl w:val="12"/>
                <w:numId w:val="0"/>
              </w:numPr>
              <w:spacing w:before="120" w:after="120"/>
              <w:jc w:val="center"/>
              <w:rPr>
                <w:b/>
                <w:color w:val="000000"/>
                <w:spacing w:val="0"/>
              </w:rPr>
            </w:pPr>
            <w:r w:rsidRPr="00D33B70">
              <w:rPr>
                <w:b/>
                <w:color w:val="000000"/>
                <w:spacing w:val="0"/>
              </w:rPr>
              <w:t>Element Type</w:t>
            </w:r>
          </w:p>
        </w:tc>
        <w:tc>
          <w:tcPr>
            <w:tcW w:w="2534" w:type="dxa"/>
            <w:tcBorders>
              <w:top w:val="single" w:sz="18" w:space="0" w:color="auto"/>
              <w:left w:val="single" w:sz="18" w:space="0" w:color="auto"/>
              <w:bottom w:val="single" w:sz="18" w:space="0" w:color="auto"/>
              <w:right w:val="single" w:sz="6" w:space="0" w:color="auto"/>
            </w:tcBorders>
            <w:shd w:val="pct10" w:color="auto" w:fill="auto"/>
            <w:vAlign w:val="center"/>
          </w:tcPr>
          <w:p w:rsidR="00876663" w:rsidRPr="00D33B70" w:rsidRDefault="00876663" w:rsidP="00876663">
            <w:pPr>
              <w:framePr w:hSpace="181" w:wrap="around" w:vAnchor="text" w:hAnchor="text" w:x="908" w:y="1"/>
              <w:numPr>
                <w:ilvl w:val="12"/>
                <w:numId w:val="0"/>
              </w:numPr>
              <w:spacing w:before="120" w:after="120"/>
              <w:jc w:val="center"/>
              <w:rPr>
                <w:b/>
                <w:color w:val="000000"/>
                <w:spacing w:val="0"/>
              </w:rPr>
            </w:pPr>
            <w:r w:rsidRPr="00D33B70">
              <w:rPr>
                <w:b/>
                <w:color w:val="000000"/>
                <w:spacing w:val="0"/>
              </w:rPr>
              <w:t>Strategy Elements</w:t>
            </w:r>
          </w:p>
        </w:tc>
        <w:tc>
          <w:tcPr>
            <w:tcW w:w="2520" w:type="dxa"/>
            <w:tcBorders>
              <w:top w:val="single" w:sz="18" w:space="0" w:color="auto"/>
              <w:left w:val="single" w:sz="6" w:space="0" w:color="auto"/>
              <w:bottom w:val="single" w:sz="12" w:space="0" w:color="auto"/>
              <w:right w:val="single" w:sz="6" w:space="0" w:color="auto"/>
            </w:tcBorders>
            <w:shd w:val="pct10" w:color="auto" w:fill="auto"/>
            <w:vAlign w:val="center"/>
          </w:tcPr>
          <w:p w:rsidR="00876663" w:rsidRPr="00D33B70" w:rsidRDefault="00876663" w:rsidP="00876663">
            <w:pPr>
              <w:framePr w:hSpace="181" w:wrap="around" w:vAnchor="text" w:hAnchor="text" w:x="908" w:y="1"/>
              <w:numPr>
                <w:ilvl w:val="12"/>
                <w:numId w:val="0"/>
              </w:numPr>
              <w:spacing w:before="120" w:after="120"/>
              <w:jc w:val="center"/>
              <w:rPr>
                <w:b/>
                <w:color w:val="000000"/>
                <w:spacing w:val="0"/>
              </w:rPr>
            </w:pPr>
            <w:r w:rsidRPr="00D33B70">
              <w:rPr>
                <w:b/>
                <w:color w:val="000000"/>
                <w:spacing w:val="0"/>
              </w:rPr>
              <w:t>Comment</w:t>
            </w:r>
          </w:p>
        </w:tc>
        <w:tc>
          <w:tcPr>
            <w:tcW w:w="2033" w:type="dxa"/>
            <w:tcBorders>
              <w:top w:val="single" w:sz="18" w:space="0" w:color="auto"/>
              <w:left w:val="single" w:sz="6" w:space="0" w:color="auto"/>
              <w:bottom w:val="single" w:sz="18" w:space="0" w:color="auto"/>
              <w:right w:val="single" w:sz="18" w:space="0" w:color="auto"/>
            </w:tcBorders>
            <w:shd w:val="pct10" w:color="auto" w:fill="auto"/>
            <w:vAlign w:val="center"/>
          </w:tcPr>
          <w:p w:rsidR="00876663" w:rsidRPr="00D33B70" w:rsidRDefault="00876663" w:rsidP="00876663">
            <w:pPr>
              <w:framePr w:hSpace="181" w:wrap="around" w:vAnchor="text" w:hAnchor="text" w:x="908" w:y="1"/>
              <w:numPr>
                <w:ilvl w:val="12"/>
                <w:numId w:val="0"/>
              </w:numPr>
              <w:spacing w:before="120" w:after="120"/>
              <w:jc w:val="center"/>
              <w:rPr>
                <w:b/>
                <w:color w:val="000000"/>
                <w:spacing w:val="0"/>
              </w:rPr>
            </w:pPr>
            <w:r w:rsidRPr="00D33B70">
              <w:rPr>
                <w:b/>
                <w:color w:val="000000"/>
                <w:spacing w:val="0"/>
              </w:rPr>
              <w:t>Assessed</w:t>
            </w:r>
          </w:p>
        </w:tc>
      </w:tr>
      <w:tr w:rsidR="00876663" w:rsidRPr="00D33B70" w:rsidTr="00F049C4">
        <w:trPr>
          <w:cantSplit/>
          <w:trHeight w:val="247"/>
        </w:trPr>
        <w:tc>
          <w:tcPr>
            <w:tcW w:w="597" w:type="dxa"/>
            <w:vMerge w:val="restart"/>
            <w:tcBorders>
              <w:top w:val="single" w:sz="18" w:space="0" w:color="auto"/>
              <w:left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b/>
                <w:color w:val="000000"/>
                <w:spacing w:val="0"/>
              </w:rPr>
            </w:pPr>
            <w:r w:rsidRPr="00D33B70">
              <w:rPr>
                <w:b/>
                <w:color w:val="000000"/>
                <w:spacing w:val="0"/>
              </w:rPr>
              <w:t>Urban</w:t>
            </w:r>
          </w:p>
        </w:tc>
        <w:tc>
          <w:tcPr>
            <w:tcW w:w="993" w:type="dxa"/>
            <w:vMerge w:val="restart"/>
            <w:tcBorders>
              <w:top w:val="single" w:sz="18" w:space="0" w:color="auto"/>
              <w:left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color w:val="000000"/>
                <w:spacing w:val="0"/>
              </w:rPr>
            </w:pPr>
            <w:r w:rsidRPr="00D33B70">
              <w:rPr>
                <w:color w:val="000000"/>
                <w:spacing w:val="0"/>
              </w:rPr>
              <w:t>Structural Measures</w:t>
            </w:r>
          </w:p>
        </w:tc>
        <w:tc>
          <w:tcPr>
            <w:tcW w:w="2534" w:type="dxa"/>
            <w:tcBorders>
              <w:top w:val="single" w:sz="18" w:space="0" w:color="auto"/>
              <w:left w:val="single" w:sz="18"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Pipe system upgrade</w:t>
            </w:r>
          </w:p>
        </w:tc>
        <w:tc>
          <w:tcPr>
            <w:tcW w:w="2520" w:type="dxa"/>
            <w:tcBorders>
              <w:top w:val="single" w:sz="18" w:space="0" w:color="auto"/>
              <w:left w:val="single" w:sz="6"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Considered</w:t>
            </w:r>
          </w:p>
        </w:tc>
        <w:tc>
          <w:tcPr>
            <w:tcW w:w="2033" w:type="dxa"/>
            <w:tcBorders>
              <w:top w:val="single" w:sz="18" w:space="0" w:color="auto"/>
              <w:left w:val="single" w:sz="6" w:space="0" w:color="auto"/>
              <w:bottom w:val="single" w:sz="6"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rPr>
                <w:color w:val="000000"/>
                <w:spacing w:val="0"/>
              </w:rPr>
            </w:pPr>
            <w:r w:rsidRPr="00D33B70">
              <w:rPr>
                <w:color w:val="000000"/>
                <w:spacing w:val="0"/>
              </w:rPr>
              <w:sym w:font="Wingdings" w:char="F0FC"/>
            </w:r>
          </w:p>
        </w:tc>
      </w:tr>
      <w:tr w:rsidR="00876663" w:rsidRPr="00D33B70" w:rsidTr="00F049C4">
        <w:trPr>
          <w:cantSplit/>
          <w:trHeight w:val="247"/>
        </w:trPr>
        <w:tc>
          <w:tcPr>
            <w:tcW w:w="597" w:type="dxa"/>
            <w:vMerge/>
            <w:tcBorders>
              <w:left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b/>
                <w:color w:val="000000"/>
                <w:spacing w:val="0"/>
              </w:rPr>
            </w:pPr>
          </w:p>
        </w:tc>
        <w:tc>
          <w:tcPr>
            <w:tcW w:w="993" w:type="dxa"/>
            <w:vMerge/>
            <w:tcBorders>
              <w:left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color w:val="000000"/>
                <w:spacing w:val="0"/>
                <w:sz w:val="16"/>
              </w:rPr>
            </w:pPr>
          </w:p>
        </w:tc>
        <w:tc>
          <w:tcPr>
            <w:tcW w:w="2534" w:type="dxa"/>
            <w:tcBorders>
              <w:top w:val="single" w:sz="6" w:space="0" w:color="auto"/>
              <w:left w:val="single" w:sz="18"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Pumps</w:t>
            </w:r>
          </w:p>
        </w:tc>
        <w:tc>
          <w:tcPr>
            <w:tcW w:w="2520" w:type="dxa"/>
            <w:tcBorders>
              <w:top w:val="single" w:sz="6" w:space="0" w:color="auto"/>
              <w:left w:val="single" w:sz="6"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Not appropriate</w:t>
            </w:r>
          </w:p>
        </w:tc>
        <w:tc>
          <w:tcPr>
            <w:tcW w:w="2033" w:type="dxa"/>
            <w:tcBorders>
              <w:top w:val="single" w:sz="6" w:space="0" w:color="auto"/>
              <w:left w:val="single" w:sz="6" w:space="0" w:color="auto"/>
              <w:bottom w:val="single" w:sz="6"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rPr>
                <w:b/>
                <w:color w:val="000000"/>
                <w:spacing w:val="0"/>
              </w:rPr>
            </w:pPr>
            <w:r w:rsidRPr="00D33B70">
              <w:rPr>
                <w:color w:val="000000"/>
                <w:spacing w:val="0"/>
              </w:rPr>
              <w:sym w:font="Wingdings" w:char="F0FB"/>
            </w:r>
          </w:p>
        </w:tc>
      </w:tr>
      <w:tr w:rsidR="00876663" w:rsidRPr="00D33B70" w:rsidTr="00F049C4">
        <w:trPr>
          <w:cantSplit/>
          <w:trHeight w:val="247"/>
        </w:trPr>
        <w:tc>
          <w:tcPr>
            <w:tcW w:w="597" w:type="dxa"/>
            <w:vMerge/>
            <w:tcBorders>
              <w:left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b/>
                <w:color w:val="000000"/>
                <w:spacing w:val="0"/>
              </w:rPr>
            </w:pPr>
          </w:p>
        </w:tc>
        <w:tc>
          <w:tcPr>
            <w:tcW w:w="993" w:type="dxa"/>
            <w:vMerge/>
            <w:tcBorders>
              <w:left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color w:val="000000"/>
                <w:spacing w:val="0"/>
                <w:sz w:val="16"/>
              </w:rPr>
            </w:pPr>
          </w:p>
        </w:tc>
        <w:tc>
          <w:tcPr>
            <w:tcW w:w="2534" w:type="dxa"/>
            <w:tcBorders>
              <w:top w:val="single" w:sz="6" w:space="0" w:color="auto"/>
              <w:left w:val="single" w:sz="18"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Soakage Pits</w:t>
            </w:r>
          </w:p>
        </w:tc>
        <w:tc>
          <w:tcPr>
            <w:tcW w:w="2520" w:type="dxa"/>
            <w:tcBorders>
              <w:top w:val="single" w:sz="6" w:space="0" w:color="auto"/>
              <w:left w:val="single" w:sz="6"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Not appropriate</w:t>
            </w:r>
          </w:p>
        </w:tc>
        <w:tc>
          <w:tcPr>
            <w:tcW w:w="2033" w:type="dxa"/>
            <w:tcBorders>
              <w:top w:val="single" w:sz="6" w:space="0" w:color="auto"/>
              <w:left w:val="single" w:sz="6" w:space="0" w:color="auto"/>
              <w:bottom w:val="single" w:sz="6"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rPr>
                <w:b/>
                <w:color w:val="000000"/>
                <w:spacing w:val="0"/>
              </w:rPr>
            </w:pPr>
            <w:r w:rsidRPr="00D33B70">
              <w:rPr>
                <w:color w:val="000000"/>
                <w:spacing w:val="0"/>
              </w:rPr>
              <w:sym w:font="Wingdings" w:char="F0FB"/>
            </w:r>
          </w:p>
        </w:tc>
      </w:tr>
      <w:tr w:rsidR="00876663" w:rsidRPr="00D33B70" w:rsidTr="00F049C4">
        <w:trPr>
          <w:cantSplit/>
          <w:trHeight w:val="247"/>
        </w:trPr>
        <w:tc>
          <w:tcPr>
            <w:tcW w:w="597" w:type="dxa"/>
            <w:vMerge/>
            <w:tcBorders>
              <w:left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b/>
                <w:color w:val="000000"/>
                <w:spacing w:val="0"/>
              </w:rPr>
            </w:pPr>
          </w:p>
        </w:tc>
        <w:tc>
          <w:tcPr>
            <w:tcW w:w="993" w:type="dxa"/>
            <w:vMerge/>
            <w:tcBorders>
              <w:left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color w:val="000000"/>
                <w:spacing w:val="0"/>
                <w:sz w:val="16"/>
              </w:rPr>
            </w:pPr>
          </w:p>
        </w:tc>
        <w:tc>
          <w:tcPr>
            <w:tcW w:w="2534" w:type="dxa"/>
            <w:tcBorders>
              <w:top w:val="single" w:sz="6" w:space="0" w:color="auto"/>
              <w:left w:val="single" w:sz="18"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Retarding Basin</w:t>
            </w:r>
          </w:p>
        </w:tc>
        <w:tc>
          <w:tcPr>
            <w:tcW w:w="2520" w:type="dxa"/>
            <w:tcBorders>
              <w:top w:val="single" w:sz="6" w:space="0" w:color="auto"/>
              <w:left w:val="single" w:sz="6"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Considered</w:t>
            </w:r>
          </w:p>
        </w:tc>
        <w:tc>
          <w:tcPr>
            <w:tcW w:w="2033" w:type="dxa"/>
            <w:tcBorders>
              <w:top w:val="single" w:sz="6" w:space="0" w:color="auto"/>
              <w:left w:val="single" w:sz="6" w:space="0" w:color="auto"/>
              <w:bottom w:val="single" w:sz="6"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rPr>
                <w:b/>
                <w:color w:val="000000"/>
                <w:spacing w:val="0"/>
              </w:rPr>
            </w:pPr>
            <w:r w:rsidRPr="00D33B70">
              <w:rPr>
                <w:color w:val="000000"/>
                <w:spacing w:val="0"/>
              </w:rPr>
              <w:sym w:font="Wingdings" w:char="F0FC"/>
            </w:r>
          </w:p>
        </w:tc>
      </w:tr>
      <w:tr w:rsidR="00876663" w:rsidRPr="00D33B70" w:rsidTr="00F049C4">
        <w:trPr>
          <w:cantSplit/>
          <w:trHeight w:val="247"/>
        </w:trPr>
        <w:tc>
          <w:tcPr>
            <w:tcW w:w="597" w:type="dxa"/>
            <w:vMerge/>
            <w:tcBorders>
              <w:left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b/>
                <w:color w:val="000000"/>
                <w:spacing w:val="0"/>
              </w:rPr>
            </w:pPr>
          </w:p>
        </w:tc>
        <w:tc>
          <w:tcPr>
            <w:tcW w:w="993" w:type="dxa"/>
            <w:vMerge/>
            <w:tcBorders>
              <w:left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color w:val="000000"/>
                <w:spacing w:val="0"/>
                <w:sz w:val="16"/>
              </w:rPr>
            </w:pPr>
          </w:p>
        </w:tc>
        <w:tc>
          <w:tcPr>
            <w:tcW w:w="2534" w:type="dxa"/>
            <w:tcBorders>
              <w:top w:val="single" w:sz="6" w:space="0" w:color="auto"/>
              <w:left w:val="single" w:sz="18"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Diversions</w:t>
            </w:r>
          </w:p>
        </w:tc>
        <w:tc>
          <w:tcPr>
            <w:tcW w:w="2520" w:type="dxa"/>
            <w:tcBorders>
              <w:top w:val="single" w:sz="6" w:space="0" w:color="auto"/>
              <w:left w:val="single" w:sz="6"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Considered</w:t>
            </w:r>
          </w:p>
        </w:tc>
        <w:tc>
          <w:tcPr>
            <w:tcW w:w="2033" w:type="dxa"/>
            <w:tcBorders>
              <w:top w:val="single" w:sz="6" w:space="0" w:color="auto"/>
              <w:left w:val="single" w:sz="6" w:space="0" w:color="auto"/>
              <w:bottom w:val="single" w:sz="6"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rPr>
                <w:color w:val="000000"/>
                <w:spacing w:val="0"/>
              </w:rPr>
            </w:pPr>
            <w:r w:rsidRPr="00D33B70">
              <w:rPr>
                <w:color w:val="000000"/>
                <w:spacing w:val="0"/>
              </w:rPr>
              <w:sym w:font="Wingdings" w:char="F0FC"/>
            </w:r>
          </w:p>
        </w:tc>
      </w:tr>
      <w:tr w:rsidR="00876663" w:rsidRPr="00D33B70" w:rsidTr="00F049C4">
        <w:trPr>
          <w:cantSplit/>
          <w:trHeight w:val="247"/>
        </w:trPr>
        <w:tc>
          <w:tcPr>
            <w:tcW w:w="597" w:type="dxa"/>
            <w:vMerge/>
            <w:tcBorders>
              <w:left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b/>
                <w:color w:val="000000"/>
                <w:spacing w:val="0"/>
              </w:rPr>
            </w:pPr>
          </w:p>
        </w:tc>
        <w:tc>
          <w:tcPr>
            <w:tcW w:w="993" w:type="dxa"/>
            <w:vMerge/>
            <w:tcBorders>
              <w:left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color w:val="000000"/>
                <w:spacing w:val="0"/>
                <w:sz w:val="16"/>
              </w:rPr>
            </w:pPr>
          </w:p>
        </w:tc>
        <w:tc>
          <w:tcPr>
            <w:tcW w:w="2534" w:type="dxa"/>
            <w:tcBorders>
              <w:top w:val="single" w:sz="6" w:space="0" w:color="auto"/>
              <w:left w:val="single" w:sz="18"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Floodways</w:t>
            </w:r>
          </w:p>
        </w:tc>
        <w:tc>
          <w:tcPr>
            <w:tcW w:w="2520" w:type="dxa"/>
            <w:tcBorders>
              <w:top w:val="single" w:sz="6" w:space="0" w:color="auto"/>
              <w:left w:val="single" w:sz="6"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Not appropriate</w:t>
            </w:r>
          </w:p>
        </w:tc>
        <w:tc>
          <w:tcPr>
            <w:tcW w:w="2033" w:type="dxa"/>
            <w:tcBorders>
              <w:top w:val="single" w:sz="6" w:space="0" w:color="auto"/>
              <w:left w:val="single" w:sz="6" w:space="0" w:color="auto"/>
              <w:bottom w:val="single" w:sz="6"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rPr>
                <w:color w:val="000000"/>
                <w:spacing w:val="0"/>
              </w:rPr>
            </w:pPr>
            <w:r w:rsidRPr="00D33B70">
              <w:rPr>
                <w:color w:val="000000"/>
                <w:spacing w:val="0"/>
              </w:rPr>
              <w:sym w:font="Wingdings" w:char="F0FB"/>
            </w:r>
          </w:p>
        </w:tc>
      </w:tr>
      <w:tr w:rsidR="00876663" w:rsidRPr="00D33B70" w:rsidTr="00F049C4">
        <w:trPr>
          <w:cantSplit/>
          <w:trHeight w:val="247"/>
        </w:trPr>
        <w:tc>
          <w:tcPr>
            <w:tcW w:w="597" w:type="dxa"/>
            <w:vMerge/>
            <w:tcBorders>
              <w:left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b/>
                <w:color w:val="000000"/>
                <w:spacing w:val="0"/>
              </w:rPr>
            </w:pPr>
          </w:p>
        </w:tc>
        <w:tc>
          <w:tcPr>
            <w:tcW w:w="993" w:type="dxa"/>
            <w:vMerge/>
            <w:tcBorders>
              <w:left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color w:val="000000"/>
                <w:spacing w:val="0"/>
                <w:sz w:val="16"/>
              </w:rPr>
            </w:pPr>
          </w:p>
        </w:tc>
        <w:tc>
          <w:tcPr>
            <w:tcW w:w="2534" w:type="dxa"/>
            <w:tcBorders>
              <w:top w:val="single" w:sz="6" w:space="0" w:color="auto"/>
              <w:left w:val="single" w:sz="18"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Open Drain</w:t>
            </w:r>
          </w:p>
        </w:tc>
        <w:tc>
          <w:tcPr>
            <w:tcW w:w="2520" w:type="dxa"/>
            <w:tcBorders>
              <w:top w:val="single" w:sz="6" w:space="0" w:color="auto"/>
              <w:left w:val="single" w:sz="6"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Not appropriate</w:t>
            </w:r>
          </w:p>
        </w:tc>
        <w:tc>
          <w:tcPr>
            <w:tcW w:w="2033" w:type="dxa"/>
            <w:tcBorders>
              <w:top w:val="single" w:sz="6" w:space="0" w:color="auto"/>
              <w:left w:val="single" w:sz="6" w:space="0" w:color="auto"/>
              <w:bottom w:val="single" w:sz="6"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rPr>
                <w:color w:val="000000"/>
                <w:spacing w:val="0"/>
              </w:rPr>
            </w:pPr>
            <w:r w:rsidRPr="00D33B70">
              <w:rPr>
                <w:color w:val="000000"/>
                <w:spacing w:val="0"/>
              </w:rPr>
              <w:sym w:font="Wingdings" w:char="F0FB"/>
            </w:r>
          </w:p>
        </w:tc>
      </w:tr>
      <w:tr w:rsidR="00876663" w:rsidRPr="00D33B70" w:rsidTr="00F049C4">
        <w:trPr>
          <w:cantSplit/>
          <w:trHeight w:val="247"/>
        </w:trPr>
        <w:tc>
          <w:tcPr>
            <w:tcW w:w="597" w:type="dxa"/>
            <w:vMerge/>
            <w:tcBorders>
              <w:left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b/>
                <w:color w:val="000000"/>
                <w:spacing w:val="0"/>
              </w:rPr>
            </w:pPr>
          </w:p>
        </w:tc>
        <w:tc>
          <w:tcPr>
            <w:tcW w:w="993" w:type="dxa"/>
            <w:vMerge/>
            <w:tcBorders>
              <w:left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color w:val="000000"/>
                <w:spacing w:val="0"/>
                <w:sz w:val="16"/>
              </w:rPr>
            </w:pPr>
          </w:p>
        </w:tc>
        <w:tc>
          <w:tcPr>
            <w:tcW w:w="2534" w:type="dxa"/>
            <w:tcBorders>
              <w:top w:val="single" w:sz="6" w:space="0" w:color="auto"/>
              <w:left w:val="single" w:sz="18"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Channel Improvement</w:t>
            </w:r>
          </w:p>
        </w:tc>
        <w:tc>
          <w:tcPr>
            <w:tcW w:w="2520" w:type="dxa"/>
            <w:tcBorders>
              <w:top w:val="single" w:sz="6" w:space="0" w:color="auto"/>
              <w:left w:val="single" w:sz="6"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Considered on small scale to compliment retarding basin works</w:t>
            </w:r>
          </w:p>
        </w:tc>
        <w:tc>
          <w:tcPr>
            <w:tcW w:w="2033" w:type="dxa"/>
            <w:tcBorders>
              <w:top w:val="single" w:sz="6" w:space="0" w:color="auto"/>
              <w:left w:val="single" w:sz="6" w:space="0" w:color="auto"/>
              <w:bottom w:val="single" w:sz="6"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rPr>
                <w:color w:val="000000"/>
                <w:spacing w:val="0"/>
              </w:rPr>
            </w:pPr>
            <w:r w:rsidRPr="00D33B70">
              <w:rPr>
                <w:color w:val="000000"/>
                <w:spacing w:val="0"/>
              </w:rPr>
              <w:sym w:font="Wingdings" w:char="F0FC"/>
            </w:r>
          </w:p>
        </w:tc>
      </w:tr>
      <w:tr w:rsidR="00876663" w:rsidRPr="00D33B70" w:rsidTr="00F049C4">
        <w:trPr>
          <w:cantSplit/>
          <w:trHeight w:val="247"/>
        </w:trPr>
        <w:tc>
          <w:tcPr>
            <w:tcW w:w="597" w:type="dxa"/>
            <w:vMerge/>
            <w:tcBorders>
              <w:left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b/>
                <w:color w:val="000000"/>
                <w:spacing w:val="0"/>
              </w:rPr>
            </w:pPr>
          </w:p>
        </w:tc>
        <w:tc>
          <w:tcPr>
            <w:tcW w:w="993" w:type="dxa"/>
            <w:vMerge/>
            <w:tcBorders>
              <w:left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color w:val="000000"/>
                <w:spacing w:val="0"/>
                <w:sz w:val="16"/>
              </w:rPr>
            </w:pPr>
          </w:p>
        </w:tc>
        <w:tc>
          <w:tcPr>
            <w:tcW w:w="2534" w:type="dxa"/>
            <w:tcBorders>
              <w:top w:val="single" w:sz="6" w:space="0" w:color="auto"/>
              <w:left w:val="single" w:sz="18"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Bund Walls</w:t>
            </w:r>
          </w:p>
        </w:tc>
        <w:tc>
          <w:tcPr>
            <w:tcW w:w="2520" w:type="dxa"/>
            <w:tcBorders>
              <w:top w:val="single" w:sz="6" w:space="0" w:color="auto"/>
              <w:left w:val="single" w:sz="6"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Not feasible</w:t>
            </w:r>
          </w:p>
        </w:tc>
        <w:tc>
          <w:tcPr>
            <w:tcW w:w="2033" w:type="dxa"/>
            <w:tcBorders>
              <w:top w:val="single" w:sz="6" w:space="0" w:color="auto"/>
              <w:left w:val="single" w:sz="6" w:space="0" w:color="auto"/>
              <w:bottom w:val="single" w:sz="6"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rPr>
                <w:color w:val="000000"/>
                <w:spacing w:val="0"/>
              </w:rPr>
            </w:pPr>
            <w:r w:rsidRPr="00D33B70">
              <w:rPr>
                <w:color w:val="000000"/>
                <w:spacing w:val="0"/>
              </w:rPr>
              <w:sym w:font="Wingdings" w:char="F0FB"/>
            </w:r>
          </w:p>
        </w:tc>
      </w:tr>
      <w:tr w:rsidR="00876663" w:rsidRPr="00D33B70" w:rsidTr="00F049C4">
        <w:trPr>
          <w:cantSplit/>
          <w:trHeight w:val="247"/>
        </w:trPr>
        <w:tc>
          <w:tcPr>
            <w:tcW w:w="597" w:type="dxa"/>
            <w:vMerge/>
            <w:tcBorders>
              <w:left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b/>
                <w:color w:val="000000"/>
                <w:spacing w:val="0"/>
              </w:rPr>
            </w:pPr>
          </w:p>
        </w:tc>
        <w:tc>
          <w:tcPr>
            <w:tcW w:w="993" w:type="dxa"/>
            <w:vMerge/>
            <w:tcBorders>
              <w:left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color w:val="000000"/>
                <w:spacing w:val="0"/>
                <w:sz w:val="16"/>
              </w:rPr>
            </w:pPr>
          </w:p>
        </w:tc>
        <w:tc>
          <w:tcPr>
            <w:tcW w:w="2534" w:type="dxa"/>
            <w:tcBorders>
              <w:top w:val="single" w:sz="6" w:space="0" w:color="auto"/>
              <w:left w:val="single" w:sz="18"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Lot scale infiltration</w:t>
            </w:r>
          </w:p>
        </w:tc>
        <w:tc>
          <w:tcPr>
            <w:tcW w:w="2520" w:type="dxa"/>
            <w:tcBorders>
              <w:top w:val="single" w:sz="6" w:space="0" w:color="auto"/>
              <w:left w:val="single" w:sz="6"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Not appropriate</w:t>
            </w:r>
          </w:p>
        </w:tc>
        <w:tc>
          <w:tcPr>
            <w:tcW w:w="2033" w:type="dxa"/>
            <w:tcBorders>
              <w:top w:val="single" w:sz="6" w:space="0" w:color="auto"/>
              <w:left w:val="single" w:sz="6" w:space="0" w:color="auto"/>
              <w:bottom w:val="single" w:sz="6"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rPr>
                <w:color w:val="000000"/>
                <w:spacing w:val="0"/>
              </w:rPr>
            </w:pPr>
            <w:r w:rsidRPr="00D33B70">
              <w:rPr>
                <w:color w:val="000000"/>
                <w:spacing w:val="0"/>
              </w:rPr>
              <w:sym w:font="Wingdings" w:char="F0FB"/>
            </w:r>
          </w:p>
        </w:tc>
      </w:tr>
      <w:tr w:rsidR="00876663" w:rsidRPr="00D33B70" w:rsidTr="00F049C4">
        <w:trPr>
          <w:cantSplit/>
          <w:trHeight w:val="247"/>
        </w:trPr>
        <w:tc>
          <w:tcPr>
            <w:tcW w:w="597" w:type="dxa"/>
            <w:vMerge/>
            <w:tcBorders>
              <w:left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b/>
                <w:color w:val="000000"/>
                <w:spacing w:val="0"/>
              </w:rPr>
            </w:pPr>
          </w:p>
        </w:tc>
        <w:tc>
          <w:tcPr>
            <w:tcW w:w="993" w:type="dxa"/>
            <w:vMerge/>
            <w:tcBorders>
              <w:left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color w:val="000000"/>
                <w:spacing w:val="0"/>
                <w:sz w:val="16"/>
              </w:rPr>
            </w:pPr>
          </w:p>
        </w:tc>
        <w:tc>
          <w:tcPr>
            <w:tcW w:w="2534" w:type="dxa"/>
            <w:tcBorders>
              <w:top w:val="single" w:sz="6" w:space="0" w:color="auto"/>
              <w:left w:val="single" w:sz="18"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Lot scale detention</w:t>
            </w:r>
          </w:p>
        </w:tc>
        <w:tc>
          <w:tcPr>
            <w:tcW w:w="2520" w:type="dxa"/>
            <w:tcBorders>
              <w:top w:val="single" w:sz="6" w:space="0" w:color="auto"/>
              <w:left w:val="single" w:sz="6"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Not appropriate</w:t>
            </w:r>
          </w:p>
        </w:tc>
        <w:tc>
          <w:tcPr>
            <w:tcW w:w="2033" w:type="dxa"/>
            <w:tcBorders>
              <w:top w:val="single" w:sz="6" w:space="0" w:color="auto"/>
              <w:left w:val="single" w:sz="6" w:space="0" w:color="auto"/>
              <w:bottom w:val="single" w:sz="6"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rPr>
                <w:color w:val="000000"/>
                <w:spacing w:val="0"/>
              </w:rPr>
            </w:pPr>
            <w:r w:rsidRPr="00D33B70">
              <w:rPr>
                <w:color w:val="000000"/>
                <w:spacing w:val="0"/>
              </w:rPr>
              <w:sym w:font="Wingdings" w:char="F0FB"/>
            </w:r>
          </w:p>
        </w:tc>
      </w:tr>
      <w:tr w:rsidR="00876663" w:rsidRPr="00D33B70" w:rsidTr="00F049C4">
        <w:trPr>
          <w:cantSplit/>
          <w:trHeight w:val="262"/>
        </w:trPr>
        <w:tc>
          <w:tcPr>
            <w:tcW w:w="597" w:type="dxa"/>
            <w:vMerge/>
            <w:tcBorders>
              <w:left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b/>
                <w:color w:val="000000"/>
                <w:spacing w:val="0"/>
              </w:rPr>
            </w:pPr>
          </w:p>
        </w:tc>
        <w:tc>
          <w:tcPr>
            <w:tcW w:w="993" w:type="dxa"/>
            <w:vMerge/>
            <w:tcBorders>
              <w:left w:val="single" w:sz="18" w:space="0" w:color="auto"/>
              <w:bottom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color w:val="000000"/>
                <w:spacing w:val="0"/>
                <w:sz w:val="16"/>
              </w:rPr>
            </w:pPr>
          </w:p>
        </w:tc>
        <w:tc>
          <w:tcPr>
            <w:tcW w:w="2534" w:type="dxa"/>
            <w:tcBorders>
              <w:top w:val="single" w:sz="6" w:space="0" w:color="auto"/>
              <w:left w:val="single" w:sz="18" w:space="0" w:color="auto"/>
              <w:bottom w:val="single" w:sz="18"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Individual Property Floodproofing</w:t>
            </w:r>
          </w:p>
        </w:tc>
        <w:tc>
          <w:tcPr>
            <w:tcW w:w="2520" w:type="dxa"/>
            <w:tcBorders>
              <w:top w:val="single" w:sz="6" w:space="0" w:color="auto"/>
              <w:left w:val="single" w:sz="6" w:space="0" w:color="auto"/>
              <w:bottom w:val="single" w:sz="18"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Possible, however very expensive</w:t>
            </w:r>
          </w:p>
        </w:tc>
        <w:tc>
          <w:tcPr>
            <w:tcW w:w="2033" w:type="dxa"/>
            <w:tcBorders>
              <w:top w:val="single" w:sz="6" w:space="0" w:color="auto"/>
              <w:left w:val="single" w:sz="6" w:space="0" w:color="auto"/>
              <w:bottom w:val="single" w:sz="18"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rPr>
                <w:color w:val="000000"/>
                <w:spacing w:val="0"/>
              </w:rPr>
            </w:pPr>
            <w:r w:rsidRPr="00D33B70">
              <w:rPr>
                <w:color w:val="000000"/>
                <w:spacing w:val="0"/>
              </w:rPr>
              <w:sym w:font="Wingdings" w:char="F0FB"/>
            </w:r>
          </w:p>
        </w:tc>
      </w:tr>
      <w:tr w:rsidR="00876663" w:rsidRPr="00D33B70" w:rsidTr="00F049C4">
        <w:trPr>
          <w:cantSplit/>
          <w:trHeight w:val="405"/>
        </w:trPr>
        <w:tc>
          <w:tcPr>
            <w:tcW w:w="597" w:type="dxa"/>
            <w:vMerge/>
            <w:tcBorders>
              <w:left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b/>
                <w:color w:val="000000"/>
                <w:spacing w:val="0"/>
              </w:rPr>
            </w:pPr>
          </w:p>
        </w:tc>
        <w:tc>
          <w:tcPr>
            <w:tcW w:w="993" w:type="dxa"/>
            <w:vMerge w:val="restart"/>
            <w:tcBorders>
              <w:top w:val="single" w:sz="18" w:space="0" w:color="auto"/>
              <w:left w:val="single" w:sz="18" w:space="0" w:color="auto"/>
              <w:right w:val="single" w:sz="18" w:space="0" w:color="auto"/>
            </w:tcBorders>
            <w:shd w:val="pct10" w:color="auto" w:fill="auto"/>
            <w:textDirection w:val="btLr"/>
            <w:vAlign w:val="center"/>
          </w:tcPr>
          <w:p w:rsidR="00876663" w:rsidRPr="00D33B70" w:rsidRDefault="00F049C4" w:rsidP="00876663">
            <w:pPr>
              <w:framePr w:hSpace="181" w:wrap="around" w:vAnchor="text" w:hAnchor="text" w:x="908" w:y="1"/>
              <w:numPr>
                <w:ilvl w:val="12"/>
                <w:numId w:val="0"/>
              </w:numPr>
              <w:ind w:left="113" w:right="113"/>
              <w:jc w:val="center"/>
              <w:rPr>
                <w:color w:val="000000"/>
                <w:spacing w:val="0"/>
              </w:rPr>
            </w:pPr>
            <w:r w:rsidRPr="00D33B70">
              <w:rPr>
                <w:color w:val="000000"/>
                <w:spacing w:val="0"/>
              </w:rPr>
              <w:t>Non-</w:t>
            </w:r>
            <w:r w:rsidR="00876663" w:rsidRPr="00D33B70">
              <w:rPr>
                <w:color w:val="000000"/>
                <w:spacing w:val="0"/>
              </w:rPr>
              <w:t>Structural Measures</w:t>
            </w:r>
          </w:p>
        </w:tc>
        <w:tc>
          <w:tcPr>
            <w:tcW w:w="2534" w:type="dxa"/>
            <w:tcBorders>
              <w:top w:val="single" w:sz="18" w:space="0" w:color="auto"/>
              <w:left w:val="single" w:sz="18"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Planning Scheme Amendments</w:t>
            </w:r>
          </w:p>
        </w:tc>
        <w:tc>
          <w:tcPr>
            <w:tcW w:w="2520" w:type="dxa"/>
            <w:tcBorders>
              <w:top w:val="single" w:sz="18" w:space="0" w:color="auto"/>
              <w:left w:val="single" w:sz="6"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Considered</w:t>
            </w:r>
          </w:p>
        </w:tc>
        <w:tc>
          <w:tcPr>
            <w:tcW w:w="2033" w:type="dxa"/>
            <w:tcBorders>
              <w:top w:val="single" w:sz="18" w:space="0" w:color="auto"/>
              <w:left w:val="single" w:sz="6" w:space="0" w:color="auto"/>
              <w:bottom w:val="single" w:sz="6"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rPr>
                <w:color w:val="000000"/>
                <w:spacing w:val="0"/>
              </w:rPr>
            </w:pPr>
            <w:r w:rsidRPr="00D33B70">
              <w:rPr>
                <w:color w:val="000000"/>
                <w:spacing w:val="0"/>
              </w:rPr>
              <w:sym w:font="Wingdings" w:char="F0FB"/>
            </w:r>
          </w:p>
        </w:tc>
      </w:tr>
      <w:tr w:rsidR="00876663" w:rsidRPr="00D33B70" w:rsidTr="00F049C4">
        <w:trPr>
          <w:cantSplit/>
          <w:trHeight w:val="333"/>
        </w:trPr>
        <w:tc>
          <w:tcPr>
            <w:tcW w:w="597" w:type="dxa"/>
            <w:vMerge/>
            <w:tcBorders>
              <w:left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b/>
                <w:color w:val="000000"/>
                <w:spacing w:val="0"/>
              </w:rPr>
            </w:pPr>
          </w:p>
        </w:tc>
        <w:tc>
          <w:tcPr>
            <w:tcW w:w="993" w:type="dxa"/>
            <w:vMerge/>
            <w:tcBorders>
              <w:left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color w:val="000000"/>
                <w:spacing w:val="0"/>
              </w:rPr>
            </w:pPr>
          </w:p>
        </w:tc>
        <w:tc>
          <w:tcPr>
            <w:tcW w:w="2534" w:type="dxa"/>
            <w:tcBorders>
              <w:top w:val="single" w:sz="6" w:space="0" w:color="auto"/>
              <w:left w:val="single" w:sz="18"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Voluntary House Purchase</w:t>
            </w:r>
          </w:p>
        </w:tc>
        <w:tc>
          <w:tcPr>
            <w:tcW w:w="2520" w:type="dxa"/>
            <w:tcBorders>
              <w:top w:val="single" w:sz="6" w:space="0" w:color="auto"/>
              <w:left w:val="single" w:sz="6"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Considered</w:t>
            </w:r>
          </w:p>
        </w:tc>
        <w:tc>
          <w:tcPr>
            <w:tcW w:w="2033" w:type="dxa"/>
            <w:tcBorders>
              <w:top w:val="single" w:sz="6" w:space="0" w:color="auto"/>
              <w:left w:val="single" w:sz="6" w:space="0" w:color="auto"/>
              <w:bottom w:val="single" w:sz="6"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rPr>
                <w:color w:val="000000"/>
                <w:spacing w:val="0"/>
              </w:rPr>
            </w:pPr>
            <w:r w:rsidRPr="00D33B70">
              <w:rPr>
                <w:color w:val="000000"/>
                <w:spacing w:val="0"/>
              </w:rPr>
              <w:sym w:font="Wingdings" w:char="F0FB"/>
            </w:r>
          </w:p>
        </w:tc>
      </w:tr>
      <w:tr w:rsidR="00876663" w:rsidRPr="00D33B70" w:rsidTr="00F049C4">
        <w:trPr>
          <w:cantSplit/>
          <w:trHeight w:val="342"/>
        </w:trPr>
        <w:tc>
          <w:tcPr>
            <w:tcW w:w="597" w:type="dxa"/>
            <w:vMerge/>
            <w:tcBorders>
              <w:left w:val="single" w:sz="18" w:space="0" w:color="auto"/>
              <w:bottom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b/>
                <w:color w:val="000000"/>
                <w:spacing w:val="0"/>
              </w:rPr>
            </w:pPr>
          </w:p>
        </w:tc>
        <w:tc>
          <w:tcPr>
            <w:tcW w:w="993" w:type="dxa"/>
            <w:vMerge/>
            <w:tcBorders>
              <w:left w:val="single" w:sz="18" w:space="0" w:color="auto"/>
              <w:bottom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color w:val="000000"/>
                <w:spacing w:val="0"/>
              </w:rPr>
            </w:pPr>
          </w:p>
        </w:tc>
        <w:tc>
          <w:tcPr>
            <w:tcW w:w="2534" w:type="dxa"/>
            <w:tcBorders>
              <w:top w:val="single" w:sz="6" w:space="0" w:color="auto"/>
              <w:left w:val="single" w:sz="18" w:space="0" w:color="auto"/>
              <w:bottom w:val="single" w:sz="18"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Voluntary House Raising</w:t>
            </w:r>
          </w:p>
        </w:tc>
        <w:tc>
          <w:tcPr>
            <w:tcW w:w="2520" w:type="dxa"/>
            <w:tcBorders>
              <w:top w:val="single" w:sz="6" w:space="0" w:color="auto"/>
              <w:left w:val="single" w:sz="6" w:space="0" w:color="auto"/>
              <w:bottom w:val="single" w:sz="18" w:space="0" w:color="auto"/>
              <w:right w:val="single" w:sz="6" w:space="0" w:color="auto"/>
            </w:tcBorders>
            <w:vAlign w:val="center"/>
          </w:tcPr>
          <w:p w:rsidR="00876663" w:rsidRPr="00D33B70" w:rsidRDefault="00F049C4" w:rsidP="00876663">
            <w:pPr>
              <w:framePr w:hSpace="181" w:wrap="around" w:vAnchor="text" w:hAnchor="text" w:x="908" w:y="1"/>
              <w:numPr>
                <w:ilvl w:val="12"/>
                <w:numId w:val="0"/>
              </w:numPr>
              <w:jc w:val="left"/>
              <w:rPr>
                <w:color w:val="000000"/>
                <w:spacing w:val="0"/>
                <w:sz w:val="16"/>
              </w:rPr>
            </w:pPr>
            <w:r w:rsidRPr="00D33B70">
              <w:rPr>
                <w:color w:val="000000"/>
                <w:spacing w:val="0"/>
                <w:sz w:val="16"/>
              </w:rPr>
              <w:t>Considered</w:t>
            </w:r>
          </w:p>
        </w:tc>
        <w:tc>
          <w:tcPr>
            <w:tcW w:w="2033" w:type="dxa"/>
            <w:tcBorders>
              <w:top w:val="single" w:sz="6" w:space="0" w:color="auto"/>
              <w:left w:val="single" w:sz="6" w:space="0" w:color="auto"/>
              <w:bottom w:val="single" w:sz="18"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rPr>
                <w:color w:val="000000"/>
                <w:spacing w:val="0"/>
              </w:rPr>
            </w:pPr>
            <w:r w:rsidRPr="00D33B70">
              <w:rPr>
                <w:color w:val="000000"/>
                <w:spacing w:val="0"/>
              </w:rPr>
              <w:sym w:font="Wingdings" w:char="F0FB"/>
            </w:r>
          </w:p>
        </w:tc>
      </w:tr>
      <w:tr w:rsidR="00876663" w:rsidRPr="00D33B70" w:rsidTr="00F049C4">
        <w:trPr>
          <w:cantSplit/>
          <w:trHeight w:val="247"/>
        </w:trPr>
        <w:tc>
          <w:tcPr>
            <w:tcW w:w="597" w:type="dxa"/>
            <w:vMerge w:val="restart"/>
            <w:tcBorders>
              <w:top w:val="single" w:sz="18" w:space="0" w:color="auto"/>
              <w:left w:val="single" w:sz="18" w:space="0" w:color="auto"/>
              <w:bottom w:val="single" w:sz="12"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b/>
                <w:color w:val="000000"/>
                <w:spacing w:val="0"/>
              </w:rPr>
            </w:pPr>
            <w:r w:rsidRPr="00D33B70">
              <w:rPr>
                <w:b/>
                <w:color w:val="000000"/>
                <w:spacing w:val="0"/>
              </w:rPr>
              <w:t>Rural</w:t>
            </w:r>
          </w:p>
        </w:tc>
        <w:tc>
          <w:tcPr>
            <w:tcW w:w="993" w:type="dxa"/>
            <w:vMerge w:val="restart"/>
            <w:tcBorders>
              <w:top w:val="single" w:sz="18" w:space="0" w:color="auto"/>
              <w:left w:val="single" w:sz="18" w:space="0" w:color="auto"/>
              <w:bottom w:val="single" w:sz="12"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color w:val="000000"/>
                <w:spacing w:val="0"/>
              </w:rPr>
            </w:pPr>
            <w:r w:rsidRPr="00D33B70">
              <w:rPr>
                <w:color w:val="000000"/>
                <w:spacing w:val="0"/>
              </w:rPr>
              <w:t>Structural Measures</w:t>
            </w:r>
          </w:p>
        </w:tc>
        <w:tc>
          <w:tcPr>
            <w:tcW w:w="2534" w:type="dxa"/>
            <w:tcBorders>
              <w:top w:val="single" w:sz="18" w:space="0" w:color="auto"/>
              <w:left w:val="single" w:sz="18"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Levees</w:t>
            </w:r>
          </w:p>
        </w:tc>
        <w:tc>
          <w:tcPr>
            <w:tcW w:w="2520" w:type="dxa"/>
            <w:tcBorders>
              <w:top w:val="single" w:sz="18" w:space="0" w:color="auto"/>
              <w:left w:val="single" w:sz="6"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Not applicable</w:t>
            </w:r>
          </w:p>
        </w:tc>
        <w:tc>
          <w:tcPr>
            <w:tcW w:w="2033" w:type="dxa"/>
            <w:tcBorders>
              <w:top w:val="single" w:sz="18" w:space="0" w:color="auto"/>
              <w:left w:val="single" w:sz="6" w:space="0" w:color="auto"/>
              <w:bottom w:val="single" w:sz="6"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pPr>
            <w:r w:rsidRPr="00D33B70">
              <w:rPr>
                <w:color w:val="000000"/>
                <w:spacing w:val="0"/>
              </w:rPr>
              <w:sym w:font="Wingdings" w:char="F0FB"/>
            </w:r>
          </w:p>
        </w:tc>
      </w:tr>
      <w:tr w:rsidR="00876663" w:rsidRPr="00D33B70" w:rsidTr="00F049C4">
        <w:trPr>
          <w:cantSplit/>
          <w:trHeight w:val="247"/>
        </w:trPr>
        <w:tc>
          <w:tcPr>
            <w:tcW w:w="597" w:type="dxa"/>
            <w:vMerge/>
            <w:tcBorders>
              <w:left w:val="single" w:sz="18" w:space="0" w:color="auto"/>
              <w:bottom w:val="single" w:sz="12"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b/>
                <w:color w:val="000000"/>
                <w:spacing w:val="0"/>
              </w:rPr>
            </w:pPr>
          </w:p>
        </w:tc>
        <w:tc>
          <w:tcPr>
            <w:tcW w:w="993" w:type="dxa"/>
            <w:vMerge/>
            <w:tcBorders>
              <w:left w:val="single" w:sz="18" w:space="0" w:color="auto"/>
              <w:bottom w:val="single" w:sz="12"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color w:val="000000"/>
                <w:spacing w:val="0"/>
                <w:sz w:val="16"/>
              </w:rPr>
            </w:pPr>
          </w:p>
        </w:tc>
        <w:tc>
          <w:tcPr>
            <w:tcW w:w="2534" w:type="dxa"/>
            <w:tcBorders>
              <w:top w:val="single" w:sz="6" w:space="0" w:color="auto"/>
              <w:left w:val="single" w:sz="18"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Floodwalls</w:t>
            </w:r>
          </w:p>
        </w:tc>
        <w:tc>
          <w:tcPr>
            <w:tcW w:w="2520" w:type="dxa"/>
            <w:tcBorders>
              <w:top w:val="single" w:sz="6" w:space="0" w:color="auto"/>
              <w:left w:val="single" w:sz="6"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Not applicable</w:t>
            </w:r>
          </w:p>
        </w:tc>
        <w:tc>
          <w:tcPr>
            <w:tcW w:w="2033" w:type="dxa"/>
            <w:tcBorders>
              <w:top w:val="single" w:sz="6" w:space="0" w:color="auto"/>
              <w:left w:val="single" w:sz="6" w:space="0" w:color="auto"/>
              <w:bottom w:val="single" w:sz="6"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pPr>
            <w:r w:rsidRPr="00D33B70">
              <w:rPr>
                <w:color w:val="000000"/>
                <w:spacing w:val="0"/>
              </w:rPr>
              <w:sym w:font="Wingdings" w:char="F0FB"/>
            </w:r>
          </w:p>
        </w:tc>
      </w:tr>
      <w:tr w:rsidR="00876663" w:rsidRPr="00D33B70" w:rsidTr="00F049C4">
        <w:trPr>
          <w:cantSplit/>
          <w:trHeight w:val="247"/>
        </w:trPr>
        <w:tc>
          <w:tcPr>
            <w:tcW w:w="597" w:type="dxa"/>
            <w:vMerge/>
            <w:tcBorders>
              <w:left w:val="single" w:sz="18" w:space="0" w:color="auto"/>
              <w:bottom w:val="single" w:sz="12"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b/>
                <w:color w:val="000000"/>
                <w:spacing w:val="0"/>
              </w:rPr>
            </w:pPr>
          </w:p>
        </w:tc>
        <w:tc>
          <w:tcPr>
            <w:tcW w:w="993" w:type="dxa"/>
            <w:vMerge/>
            <w:tcBorders>
              <w:left w:val="single" w:sz="18" w:space="0" w:color="auto"/>
              <w:bottom w:val="single" w:sz="12"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color w:val="000000"/>
                <w:spacing w:val="0"/>
                <w:sz w:val="16"/>
              </w:rPr>
            </w:pPr>
          </w:p>
        </w:tc>
        <w:tc>
          <w:tcPr>
            <w:tcW w:w="2534" w:type="dxa"/>
            <w:tcBorders>
              <w:top w:val="single" w:sz="6" w:space="0" w:color="auto"/>
              <w:left w:val="single" w:sz="18"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Floodways</w:t>
            </w:r>
          </w:p>
        </w:tc>
        <w:tc>
          <w:tcPr>
            <w:tcW w:w="2520" w:type="dxa"/>
            <w:tcBorders>
              <w:top w:val="single" w:sz="6" w:space="0" w:color="auto"/>
              <w:left w:val="single" w:sz="6"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Not applicable</w:t>
            </w:r>
          </w:p>
        </w:tc>
        <w:tc>
          <w:tcPr>
            <w:tcW w:w="2033" w:type="dxa"/>
            <w:tcBorders>
              <w:top w:val="single" w:sz="6" w:space="0" w:color="auto"/>
              <w:left w:val="single" w:sz="6" w:space="0" w:color="auto"/>
              <w:bottom w:val="single" w:sz="6"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pPr>
            <w:r w:rsidRPr="00D33B70">
              <w:rPr>
                <w:color w:val="000000"/>
                <w:spacing w:val="0"/>
              </w:rPr>
              <w:sym w:font="Wingdings" w:char="F0FB"/>
            </w:r>
          </w:p>
        </w:tc>
      </w:tr>
      <w:tr w:rsidR="00876663" w:rsidRPr="00D33B70" w:rsidTr="00F049C4">
        <w:trPr>
          <w:cantSplit/>
          <w:trHeight w:val="247"/>
        </w:trPr>
        <w:tc>
          <w:tcPr>
            <w:tcW w:w="597" w:type="dxa"/>
            <w:vMerge/>
            <w:tcBorders>
              <w:left w:val="single" w:sz="18" w:space="0" w:color="auto"/>
              <w:bottom w:val="single" w:sz="12"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b/>
                <w:color w:val="000000"/>
                <w:spacing w:val="0"/>
              </w:rPr>
            </w:pPr>
          </w:p>
        </w:tc>
        <w:tc>
          <w:tcPr>
            <w:tcW w:w="993" w:type="dxa"/>
            <w:vMerge/>
            <w:tcBorders>
              <w:left w:val="single" w:sz="18" w:space="0" w:color="auto"/>
              <w:bottom w:val="single" w:sz="12"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color w:val="000000"/>
                <w:spacing w:val="0"/>
                <w:sz w:val="16"/>
              </w:rPr>
            </w:pPr>
          </w:p>
        </w:tc>
        <w:tc>
          <w:tcPr>
            <w:tcW w:w="2534" w:type="dxa"/>
            <w:tcBorders>
              <w:top w:val="single" w:sz="6" w:space="0" w:color="auto"/>
              <w:left w:val="single" w:sz="18"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Floodplain Modification</w:t>
            </w:r>
          </w:p>
        </w:tc>
        <w:tc>
          <w:tcPr>
            <w:tcW w:w="2520" w:type="dxa"/>
            <w:tcBorders>
              <w:top w:val="single" w:sz="6" w:space="0" w:color="auto"/>
              <w:left w:val="single" w:sz="6"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Not applicable</w:t>
            </w:r>
          </w:p>
        </w:tc>
        <w:tc>
          <w:tcPr>
            <w:tcW w:w="2033" w:type="dxa"/>
            <w:tcBorders>
              <w:top w:val="single" w:sz="6" w:space="0" w:color="auto"/>
              <w:left w:val="single" w:sz="6" w:space="0" w:color="auto"/>
              <w:bottom w:val="single" w:sz="6"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pPr>
            <w:r w:rsidRPr="00D33B70">
              <w:rPr>
                <w:color w:val="000000"/>
                <w:spacing w:val="0"/>
              </w:rPr>
              <w:sym w:font="Wingdings" w:char="F0FB"/>
            </w:r>
          </w:p>
        </w:tc>
      </w:tr>
      <w:tr w:rsidR="00876663" w:rsidRPr="00D33B70" w:rsidTr="00F049C4">
        <w:trPr>
          <w:cantSplit/>
          <w:trHeight w:val="247"/>
        </w:trPr>
        <w:tc>
          <w:tcPr>
            <w:tcW w:w="597" w:type="dxa"/>
            <w:vMerge/>
            <w:tcBorders>
              <w:left w:val="single" w:sz="18" w:space="0" w:color="auto"/>
              <w:bottom w:val="single" w:sz="12"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b/>
                <w:color w:val="000000"/>
                <w:spacing w:val="0"/>
              </w:rPr>
            </w:pPr>
          </w:p>
        </w:tc>
        <w:tc>
          <w:tcPr>
            <w:tcW w:w="993" w:type="dxa"/>
            <w:vMerge/>
            <w:tcBorders>
              <w:left w:val="single" w:sz="18" w:space="0" w:color="auto"/>
              <w:bottom w:val="single" w:sz="12"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color w:val="000000"/>
                <w:spacing w:val="0"/>
                <w:sz w:val="16"/>
              </w:rPr>
            </w:pPr>
          </w:p>
        </w:tc>
        <w:tc>
          <w:tcPr>
            <w:tcW w:w="2534" w:type="dxa"/>
            <w:tcBorders>
              <w:top w:val="single" w:sz="6" w:space="0" w:color="auto"/>
              <w:left w:val="single" w:sz="18"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Channel Improvement</w:t>
            </w:r>
          </w:p>
        </w:tc>
        <w:tc>
          <w:tcPr>
            <w:tcW w:w="2520" w:type="dxa"/>
            <w:tcBorders>
              <w:top w:val="single" w:sz="6" w:space="0" w:color="auto"/>
              <w:left w:val="single" w:sz="6"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Not applicable</w:t>
            </w:r>
          </w:p>
        </w:tc>
        <w:tc>
          <w:tcPr>
            <w:tcW w:w="2033" w:type="dxa"/>
            <w:tcBorders>
              <w:top w:val="single" w:sz="6" w:space="0" w:color="auto"/>
              <w:left w:val="single" w:sz="6" w:space="0" w:color="auto"/>
              <w:bottom w:val="single" w:sz="6"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pPr>
            <w:r w:rsidRPr="00D33B70">
              <w:rPr>
                <w:color w:val="000000"/>
                <w:spacing w:val="0"/>
              </w:rPr>
              <w:sym w:font="Wingdings" w:char="F0FB"/>
            </w:r>
          </w:p>
        </w:tc>
      </w:tr>
      <w:tr w:rsidR="00876663" w:rsidRPr="00D33B70" w:rsidTr="00F049C4">
        <w:trPr>
          <w:cantSplit/>
          <w:trHeight w:val="247"/>
        </w:trPr>
        <w:tc>
          <w:tcPr>
            <w:tcW w:w="597" w:type="dxa"/>
            <w:vMerge/>
            <w:tcBorders>
              <w:left w:val="single" w:sz="18" w:space="0" w:color="auto"/>
              <w:bottom w:val="single" w:sz="12"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b/>
                <w:color w:val="000000"/>
                <w:spacing w:val="0"/>
              </w:rPr>
            </w:pPr>
          </w:p>
        </w:tc>
        <w:tc>
          <w:tcPr>
            <w:tcW w:w="993" w:type="dxa"/>
            <w:vMerge/>
            <w:tcBorders>
              <w:left w:val="single" w:sz="18" w:space="0" w:color="auto"/>
              <w:bottom w:val="single" w:sz="12"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color w:val="000000"/>
                <w:spacing w:val="0"/>
                <w:sz w:val="16"/>
              </w:rPr>
            </w:pPr>
          </w:p>
        </w:tc>
        <w:tc>
          <w:tcPr>
            <w:tcW w:w="2534" w:type="dxa"/>
            <w:tcBorders>
              <w:top w:val="single" w:sz="6" w:space="0" w:color="auto"/>
              <w:left w:val="single" w:sz="18"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Individual Property Floodproofing</w:t>
            </w:r>
          </w:p>
        </w:tc>
        <w:tc>
          <w:tcPr>
            <w:tcW w:w="2520" w:type="dxa"/>
            <w:tcBorders>
              <w:top w:val="single" w:sz="6" w:space="0" w:color="auto"/>
              <w:left w:val="single" w:sz="6"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Not applicable</w:t>
            </w:r>
          </w:p>
        </w:tc>
        <w:tc>
          <w:tcPr>
            <w:tcW w:w="2033" w:type="dxa"/>
            <w:tcBorders>
              <w:top w:val="single" w:sz="6" w:space="0" w:color="auto"/>
              <w:left w:val="single" w:sz="6" w:space="0" w:color="auto"/>
              <w:bottom w:val="single" w:sz="6"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pPr>
            <w:r w:rsidRPr="00D33B70">
              <w:rPr>
                <w:color w:val="000000"/>
                <w:spacing w:val="0"/>
              </w:rPr>
              <w:sym w:font="Wingdings" w:char="F0FB"/>
            </w:r>
          </w:p>
        </w:tc>
      </w:tr>
      <w:tr w:rsidR="00876663" w:rsidRPr="00D33B70" w:rsidTr="00F049C4">
        <w:trPr>
          <w:cantSplit/>
          <w:trHeight w:val="247"/>
        </w:trPr>
        <w:tc>
          <w:tcPr>
            <w:tcW w:w="597" w:type="dxa"/>
            <w:vMerge/>
            <w:tcBorders>
              <w:left w:val="single" w:sz="18" w:space="0" w:color="auto"/>
              <w:bottom w:val="single" w:sz="12"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b/>
                <w:color w:val="000000"/>
                <w:spacing w:val="0"/>
              </w:rPr>
            </w:pPr>
          </w:p>
        </w:tc>
        <w:tc>
          <w:tcPr>
            <w:tcW w:w="993" w:type="dxa"/>
            <w:vMerge/>
            <w:tcBorders>
              <w:left w:val="single" w:sz="18" w:space="0" w:color="auto"/>
              <w:bottom w:val="single" w:sz="12"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color w:val="000000"/>
                <w:spacing w:val="0"/>
                <w:sz w:val="16"/>
              </w:rPr>
            </w:pPr>
          </w:p>
        </w:tc>
        <w:tc>
          <w:tcPr>
            <w:tcW w:w="2534" w:type="dxa"/>
            <w:tcBorders>
              <w:top w:val="single" w:sz="6" w:space="0" w:color="auto"/>
              <w:left w:val="single" w:sz="18"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Flood Storage</w:t>
            </w:r>
          </w:p>
        </w:tc>
        <w:tc>
          <w:tcPr>
            <w:tcW w:w="2520" w:type="dxa"/>
            <w:tcBorders>
              <w:top w:val="single" w:sz="6" w:space="0" w:color="auto"/>
              <w:left w:val="single" w:sz="6"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Not applicable</w:t>
            </w:r>
          </w:p>
        </w:tc>
        <w:tc>
          <w:tcPr>
            <w:tcW w:w="2033" w:type="dxa"/>
            <w:tcBorders>
              <w:top w:val="single" w:sz="6" w:space="0" w:color="auto"/>
              <w:left w:val="single" w:sz="6" w:space="0" w:color="auto"/>
              <w:bottom w:val="single" w:sz="6"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pPr>
            <w:r w:rsidRPr="00D33B70">
              <w:rPr>
                <w:color w:val="000000"/>
                <w:spacing w:val="0"/>
              </w:rPr>
              <w:sym w:font="Wingdings" w:char="F0FB"/>
            </w:r>
          </w:p>
        </w:tc>
      </w:tr>
      <w:tr w:rsidR="00876663" w:rsidRPr="00D33B70" w:rsidTr="00F049C4">
        <w:trPr>
          <w:cantSplit/>
          <w:trHeight w:val="262"/>
        </w:trPr>
        <w:tc>
          <w:tcPr>
            <w:tcW w:w="597" w:type="dxa"/>
            <w:vMerge/>
            <w:tcBorders>
              <w:left w:val="single" w:sz="18" w:space="0" w:color="auto"/>
              <w:bottom w:val="single" w:sz="12"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b/>
                <w:color w:val="000000"/>
                <w:spacing w:val="0"/>
              </w:rPr>
            </w:pPr>
          </w:p>
        </w:tc>
        <w:tc>
          <w:tcPr>
            <w:tcW w:w="993" w:type="dxa"/>
            <w:vMerge/>
            <w:tcBorders>
              <w:left w:val="single" w:sz="18" w:space="0" w:color="auto"/>
              <w:bottom w:val="single" w:sz="18"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color w:val="000000"/>
                <w:spacing w:val="0"/>
                <w:sz w:val="16"/>
              </w:rPr>
            </w:pPr>
          </w:p>
        </w:tc>
        <w:tc>
          <w:tcPr>
            <w:tcW w:w="2534" w:type="dxa"/>
            <w:tcBorders>
              <w:top w:val="single" w:sz="6" w:space="0" w:color="auto"/>
              <w:left w:val="single" w:sz="18" w:space="0" w:color="auto"/>
              <w:bottom w:val="single" w:sz="18"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Diversions</w:t>
            </w:r>
          </w:p>
        </w:tc>
        <w:tc>
          <w:tcPr>
            <w:tcW w:w="2520" w:type="dxa"/>
            <w:tcBorders>
              <w:top w:val="single" w:sz="6" w:space="0" w:color="auto"/>
              <w:left w:val="single" w:sz="6" w:space="0" w:color="auto"/>
              <w:bottom w:val="single" w:sz="18"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Not applicable</w:t>
            </w:r>
          </w:p>
        </w:tc>
        <w:tc>
          <w:tcPr>
            <w:tcW w:w="2033" w:type="dxa"/>
            <w:tcBorders>
              <w:top w:val="single" w:sz="6" w:space="0" w:color="auto"/>
              <w:left w:val="single" w:sz="6" w:space="0" w:color="auto"/>
              <w:bottom w:val="single" w:sz="18"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pPr>
            <w:r w:rsidRPr="00D33B70">
              <w:rPr>
                <w:color w:val="000000"/>
                <w:spacing w:val="0"/>
              </w:rPr>
              <w:sym w:font="Wingdings" w:char="F0FB"/>
            </w:r>
          </w:p>
        </w:tc>
      </w:tr>
      <w:tr w:rsidR="00876663" w:rsidRPr="00D33B70" w:rsidTr="00F049C4">
        <w:trPr>
          <w:cantSplit/>
          <w:trHeight w:val="247"/>
        </w:trPr>
        <w:tc>
          <w:tcPr>
            <w:tcW w:w="597" w:type="dxa"/>
            <w:vMerge/>
            <w:tcBorders>
              <w:left w:val="single" w:sz="18" w:space="0" w:color="auto"/>
              <w:bottom w:val="single" w:sz="12" w:space="0" w:color="auto"/>
              <w:right w:val="single" w:sz="18" w:space="0" w:color="auto"/>
            </w:tcBorders>
            <w:shd w:val="pct10" w:color="auto" w:fill="auto"/>
            <w:textDirection w:val="btLr"/>
            <w:vAlign w:val="center"/>
          </w:tcPr>
          <w:p w:rsidR="00876663" w:rsidRPr="00D33B70" w:rsidRDefault="00876663" w:rsidP="00876663">
            <w:pPr>
              <w:framePr w:hSpace="181" w:wrap="around" w:vAnchor="text" w:hAnchor="text" w:x="908" w:y="1"/>
              <w:numPr>
                <w:ilvl w:val="12"/>
                <w:numId w:val="0"/>
              </w:numPr>
              <w:ind w:left="113" w:right="113"/>
              <w:jc w:val="center"/>
              <w:rPr>
                <w:b/>
                <w:color w:val="000000"/>
                <w:spacing w:val="0"/>
              </w:rPr>
            </w:pPr>
          </w:p>
        </w:tc>
        <w:tc>
          <w:tcPr>
            <w:tcW w:w="993" w:type="dxa"/>
            <w:vMerge w:val="restart"/>
            <w:tcBorders>
              <w:top w:val="single" w:sz="18" w:space="0" w:color="auto"/>
              <w:left w:val="single" w:sz="18" w:space="0" w:color="auto"/>
              <w:bottom w:val="single" w:sz="12" w:space="0" w:color="auto"/>
              <w:right w:val="single" w:sz="18" w:space="0" w:color="auto"/>
            </w:tcBorders>
            <w:shd w:val="pct10" w:color="auto" w:fill="auto"/>
            <w:textDirection w:val="btLr"/>
            <w:vAlign w:val="center"/>
          </w:tcPr>
          <w:p w:rsidR="00876663" w:rsidRPr="00D33B70" w:rsidRDefault="00F049C4" w:rsidP="00876663">
            <w:pPr>
              <w:framePr w:hSpace="181" w:wrap="around" w:vAnchor="text" w:hAnchor="text" w:x="908" w:y="1"/>
              <w:numPr>
                <w:ilvl w:val="12"/>
                <w:numId w:val="0"/>
              </w:numPr>
              <w:ind w:left="113" w:right="113"/>
              <w:jc w:val="center"/>
              <w:rPr>
                <w:color w:val="000000"/>
                <w:spacing w:val="0"/>
              </w:rPr>
            </w:pPr>
            <w:r w:rsidRPr="00D33B70">
              <w:rPr>
                <w:color w:val="000000"/>
                <w:spacing w:val="0"/>
              </w:rPr>
              <w:t>Non-</w:t>
            </w:r>
            <w:r w:rsidR="00876663" w:rsidRPr="00D33B70">
              <w:rPr>
                <w:color w:val="000000"/>
                <w:spacing w:val="0"/>
              </w:rPr>
              <w:t>Structural Measures</w:t>
            </w:r>
          </w:p>
        </w:tc>
        <w:tc>
          <w:tcPr>
            <w:tcW w:w="2534" w:type="dxa"/>
            <w:tcBorders>
              <w:top w:val="single" w:sz="18" w:space="0" w:color="auto"/>
              <w:left w:val="single" w:sz="18"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Flood Warning Systems</w:t>
            </w:r>
          </w:p>
        </w:tc>
        <w:tc>
          <w:tcPr>
            <w:tcW w:w="2520" w:type="dxa"/>
            <w:tcBorders>
              <w:top w:val="single" w:sz="18" w:space="0" w:color="auto"/>
              <w:left w:val="single" w:sz="6"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Not applicable</w:t>
            </w:r>
          </w:p>
        </w:tc>
        <w:tc>
          <w:tcPr>
            <w:tcW w:w="2033" w:type="dxa"/>
            <w:tcBorders>
              <w:top w:val="single" w:sz="18" w:space="0" w:color="auto"/>
              <w:left w:val="single" w:sz="6" w:space="0" w:color="auto"/>
              <w:bottom w:val="single" w:sz="6"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pPr>
            <w:r w:rsidRPr="00D33B70">
              <w:rPr>
                <w:color w:val="000000"/>
                <w:spacing w:val="0"/>
              </w:rPr>
              <w:sym w:font="Wingdings" w:char="F0FB"/>
            </w:r>
          </w:p>
        </w:tc>
      </w:tr>
      <w:tr w:rsidR="00876663" w:rsidRPr="00D33B70" w:rsidTr="00F049C4">
        <w:trPr>
          <w:cantSplit/>
          <w:trHeight w:val="247"/>
        </w:trPr>
        <w:tc>
          <w:tcPr>
            <w:tcW w:w="597" w:type="dxa"/>
            <w:vMerge/>
            <w:tcBorders>
              <w:left w:val="single" w:sz="18" w:space="0" w:color="auto"/>
              <w:bottom w:val="single" w:sz="12" w:space="0" w:color="auto"/>
              <w:right w:val="single" w:sz="18" w:space="0" w:color="auto"/>
            </w:tcBorders>
            <w:shd w:val="pct10" w:color="auto" w:fill="auto"/>
          </w:tcPr>
          <w:p w:rsidR="00876663" w:rsidRPr="00D33B70" w:rsidRDefault="00876663" w:rsidP="00EA552D">
            <w:pPr>
              <w:framePr w:hSpace="181" w:wrap="around" w:vAnchor="text" w:hAnchor="text" w:x="908" w:y="1"/>
              <w:numPr>
                <w:ilvl w:val="12"/>
                <w:numId w:val="0"/>
              </w:numPr>
              <w:jc w:val="center"/>
              <w:rPr>
                <w:b/>
                <w:color w:val="000000"/>
                <w:spacing w:val="0"/>
              </w:rPr>
            </w:pPr>
          </w:p>
        </w:tc>
        <w:tc>
          <w:tcPr>
            <w:tcW w:w="993" w:type="dxa"/>
            <w:vMerge/>
            <w:tcBorders>
              <w:left w:val="single" w:sz="18" w:space="0" w:color="auto"/>
              <w:bottom w:val="single" w:sz="12" w:space="0" w:color="auto"/>
              <w:right w:val="single" w:sz="18" w:space="0" w:color="auto"/>
            </w:tcBorders>
            <w:shd w:val="pct10" w:color="auto" w:fill="auto"/>
          </w:tcPr>
          <w:p w:rsidR="00876663" w:rsidRPr="00D33B70" w:rsidRDefault="00876663" w:rsidP="00EA552D">
            <w:pPr>
              <w:framePr w:hSpace="181" w:wrap="around" w:vAnchor="text" w:hAnchor="text" w:x="908" w:y="1"/>
              <w:numPr>
                <w:ilvl w:val="12"/>
                <w:numId w:val="0"/>
              </w:numPr>
              <w:jc w:val="center"/>
              <w:rPr>
                <w:color w:val="000000"/>
                <w:spacing w:val="0"/>
                <w:sz w:val="16"/>
              </w:rPr>
            </w:pPr>
          </w:p>
        </w:tc>
        <w:tc>
          <w:tcPr>
            <w:tcW w:w="2534" w:type="dxa"/>
            <w:tcBorders>
              <w:top w:val="single" w:sz="6" w:space="0" w:color="auto"/>
              <w:left w:val="single" w:sz="18"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Land Use Planning</w:t>
            </w:r>
          </w:p>
        </w:tc>
        <w:tc>
          <w:tcPr>
            <w:tcW w:w="2520" w:type="dxa"/>
            <w:tcBorders>
              <w:top w:val="single" w:sz="6" w:space="0" w:color="auto"/>
              <w:left w:val="single" w:sz="6"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Not applicable</w:t>
            </w:r>
          </w:p>
        </w:tc>
        <w:tc>
          <w:tcPr>
            <w:tcW w:w="2033" w:type="dxa"/>
            <w:tcBorders>
              <w:top w:val="single" w:sz="6" w:space="0" w:color="auto"/>
              <w:left w:val="single" w:sz="6" w:space="0" w:color="auto"/>
              <w:bottom w:val="single" w:sz="6"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pPr>
            <w:r w:rsidRPr="00D33B70">
              <w:rPr>
                <w:color w:val="000000"/>
                <w:spacing w:val="0"/>
              </w:rPr>
              <w:sym w:font="Wingdings" w:char="F0FB"/>
            </w:r>
          </w:p>
        </w:tc>
      </w:tr>
      <w:tr w:rsidR="00876663" w:rsidRPr="00D33B70" w:rsidTr="00F049C4">
        <w:trPr>
          <w:cantSplit/>
          <w:trHeight w:val="247"/>
        </w:trPr>
        <w:tc>
          <w:tcPr>
            <w:tcW w:w="597" w:type="dxa"/>
            <w:vMerge/>
            <w:tcBorders>
              <w:left w:val="single" w:sz="18" w:space="0" w:color="auto"/>
              <w:bottom w:val="single" w:sz="12" w:space="0" w:color="auto"/>
              <w:right w:val="single" w:sz="18" w:space="0" w:color="auto"/>
            </w:tcBorders>
            <w:shd w:val="pct10" w:color="auto" w:fill="auto"/>
          </w:tcPr>
          <w:p w:rsidR="00876663" w:rsidRPr="00D33B70" w:rsidRDefault="00876663" w:rsidP="00EA552D">
            <w:pPr>
              <w:framePr w:hSpace="181" w:wrap="around" w:vAnchor="text" w:hAnchor="text" w:x="908" w:y="1"/>
              <w:numPr>
                <w:ilvl w:val="12"/>
                <w:numId w:val="0"/>
              </w:numPr>
              <w:jc w:val="center"/>
              <w:rPr>
                <w:b/>
                <w:color w:val="000000"/>
                <w:spacing w:val="0"/>
              </w:rPr>
            </w:pPr>
          </w:p>
        </w:tc>
        <w:tc>
          <w:tcPr>
            <w:tcW w:w="993" w:type="dxa"/>
            <w:vMerge/>
            <w:tcBorders>
              <w:left w:val="single" w:sz="18" w:space="0" w:color="auto"/>
              <w:bottom w:val="single" w:sz="12" w:space="0" w:color="auto"/>
              <w:right w:val="single" w:sz="18" w:space="0" w:color="auto"/>
            </w:tcBorders>
            <w:shd w:val="pct10" w:color="auto" w:fill="auto"/>
          </w:tcPr>
          <w:p w:rsidR="00876663" w:rsidRPr="00D33B70" w:rsidRDefault="00876663" w:rsidP="00EA552D">
            <w:pPr>
              <w:framePr w:hSpace="181" w:wrap="around" w:vAnchor="text" w:hAnchor="text" w:x="908" w:y="1"/>
              <w:numPr>
                <w:ilvl w:val="12"/>
                <w:numId w:val="0"/>
              </w:numPr>
              <w:jc w:val="center"/>
              <w:rPr>
                <w:color w:val="000000"/>
                <w:spacing w:val="0"/>
                <w:sz w:val="16"/>
              </w:rPr>
            </w:pPr>
          </w:p>
        </w:tc>
        <w:tc>
          <w:tcPr>
            <w:tcW w:w="2534" w:type="dxa"/>
            <w:tcBorders>
              <w:top w:val="single" w:sz="6" w:space="0" w:color="auto"/>
              <w:left w:val="single" w:sz="18"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Floodplain Education Programs</w:t>
            </w:r>
          </w:p>
        </w:tc>
        <w:tc>
          <w:tcPr>
            <w:tcW w:w="2520" w:type="dxa"/>
            <w:tcBorders>
              <w:top w:val="single" w:sz="6" w:space="0" w:color="auto"/>
              <w:left w:val="single" w:sz="6"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Not applicable</w:t>
            </w:r>
          </w:p>
        </w:tc>
        <w:tc>
          <w:tcPr>
            <w:tcW w:w="2033" w:type="dxa"/>
            <w:tcBorders>
              <w:top w:val="single" w:sz="6" w:space="0" w:color="auto"/>
              <w:left w:val="single" w:sz="6" w:space="0" w:color="auto"/>
              <w:bottom w:val="single" w:sz="6"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pPr>
            <w:r w:rsidRPr="00D33B70">
              <w:rPr>
                <w:color w:val="000000"/>
                <w:spacing w:val="0"/>
              </w:rPr>
              <w:sym w:font="Wingdings" w:char="F0FB"/>
            </w:r>
          </w:p>
        </w:tc>
      </w:tr>
      <w:tr w:rsidR="00876663" w:rsidRPr="00D33B70" w:rsidTr="00F049C4">
        <w:trPr>
          <w:cantSplit/>
          <w:trHeight w:val="247"/>
        </w:trPr>
        <w:tc>
          <w:tcPr>
            <w:tcW w:w="597" w:type="dxa"/>
            <w:vMerge/>
            <w:tcBorders>
              <w:left w:val="single" w:sz="18" w:space="0" w:color="auto"/>
              <w:bottom w:val="single" w:sz="12" w:space="0" w:color="auto"/>
              <w:right w:val="single" w:sz="18" w:space="0" w:color="auto"/>
            </w:tcBorders>
            <w:shd w:val="pct10" w:color="auto" w:fill="auto"/>
          </w:tcPr>
          <w:p w:rsidR="00876663" w:rsidRPr="00D33B70" w:rsidRDefault="00876663" w:rsidP="00EA552D">
            <w:pPr>
              <w:framePr w:hSpace="181" w:wrap="around" w:vAnchor="text" w:hAnchor="text" w:x="908" w:y="1"/>
              <w:numPr>
                <w:ilvl w:val="12"/>
                <w:numId w:val="0"/>
              </w:numPr>
              <w:jc w:val="center"/>
              <w:rPr>
                <w:b/>
                <w:color w:val="000000"/>
                <w:spacing w:val="0"/>
              </w:rPr>
            </w:pPr>
          </w:p>
        </w:tc>
        <w:tc>
          <w:tcPr>
            <w:tcW w:w="993" w:type="dxa"/>
            <w:vMerge/>
            <w:tcBorders>
              <w:left w:val="single" w:sz="18" w:space="0" w:color="auto"/>
              <w:bottom w:val="single" w:sz="12" w:space="0" w:color="auto"/>
              <w:right w:val="single" w:sz="18" w:space="0" w:color="auto"/>
            </w:tcBorders>
            <w:shd w:val="pct10" w:color="auto" w:fill="auto"/>
          </w:tcPr>
          <w:p w:rsidR="00876663" w:rsidRPr="00D33B70" w:rsidRDefault="00876663" w:rsidP="00EA552D">
            <w:pPr>
              <w:framePr w:hSpace="181" w:wrap="around" w:vAnchor="text" w:hAnchor="text" w:x="908" w:y="1"/>
              <w:numPr>
                <w:ilvl w:val="12"/>
                <w:numId w:val="0"/>
              </w:numPr>
              <w:jc w:val="center"/>
              <w:rPr>
                <w:color w:val="000000"/>
                <w:spacing w:val="0"/>
                <w:sz w:val="16"/>
              </w:rPr>
            </w:pPr>
          </w:p>
        </w:tc>
        <w:tc>
          <w:tcPr>
            <w:tcW w:w="2534" w:type="dxa"/>
            <w:tcBorders>
              <w:top w:val="single" w:sz="6" w:space="0" w:color="auto"/>
              <w:left w:val="single" w:sz="18"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Purchase and Relocation</w:t>
            </w:r>
          </w:p>
        </w:tc>
        <w:tc>
          <w:tcPr>
            <w:tcW w:w="2520" w:type="dxa"/>
            <w:tcBorders>
              <w:top w:val="single" w:sz="6" w:space="0" w:color="auto"/>
              <w:left w:val="single" w:sz="6"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Not applicable</w:t>
            </w:r>
          </w:p>
        </w:tc>
        <w:tc>
          <w:tcPr>
            <w:tcW w:w="2033" w:type="dxa"/>
            <w:tcBorders>
              <w:top w:val="single" w:sz="6" w:space="0" w:color="auto"/>
              <w:left w:val="single" w:sz="6" w:space="0" w:color="auto"/>
              <w:bottom w:val="single" w:sz="6"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pPr>
            <w:r w:rsidRPr="00D33B70">
              <w:rPr>
                <w:color w:val="000000"/>
                <w:spacing w:val="0"/>
              </w:rPr>
              <w:sym w:font="Wingdings" w:char="F0FB"/>
            </w:r>
          </w:p>
        </w:tc>
      </w:tr>
      <w:tr w:rsidR="00876663" w:rsidRPr="00D33B70" w:rsidTr="00F049C4">
        <w:trPr>
          <w:cantSplit/>
          <w:trHeight w:val="247"/>
        </w:trPr>
        <w:tc>
          <w:tcPr>
            <w:tcW w:w="597" w:type="dxa"/>
            <w:vMerge/>
            <w:tcBorders>
              <w:left w:val="single" w:sz="18" w:space="0" w:color="auto"/>
              <w:bottom w:val="single" w:sz="12" w:space="0" w:color="auto"/>
              <w:right w:val="single" w:sz="18" w:space="0" w:color="auto"/>
            </w:tcBorders>
            <w:shd w:val="pct10" w:color="auto" w:fill="auto"/>
          </w:tcPr>
          <w:p w:rsidR="00876663" w:rsidRPr="00D33B70" w:rsidRDefault="00876663" w:rsidP="00EA552D">
            <w:pPr>
              <w:framePr w:hSpace="181" w:wrap="around" w:vAnchor="text" w:hAnchor="text" w:x="908" w:y="1"/>
              <w:numPr>
                <w:ilvl w:val="12"/>
                <w:numId w:val="0"/>
              </w:numPr>
              <w:jc w:val="center"/>
              <w:rPr>
                <w:b/>
                <w:color w:val="000000"/>
                <w:spacing w:val="0"/>
              </w:rPr>
            </w:pPr>
          </w:p>
        </w:tc>
        <w:tc>
          <w:tcPr>
            <w:tcW w:w="993" w:type="dxa"/>
            <w:vMerge/>
            <w:tcBorders>
              <w:left w:val="single" w:sz="18" w:space="0" w:color="auto"/>
              <w:bottom w:val="single" w:sz="12" w:space="0" w:color="auto"/>
              <w:right w:val="single" w:sz="18" w:space="0" w:color="auto"/>
            </w:tcBorders>
            <w:shd w:val="pct10" w:color="auto" w:fill="auto"/>
          </w:tcPr>
          <w:p w:rsidR="00876663" w:rsidRPr="00D33B70" w:rsidRDefault="00876663" w:rsidP="00EA552D">
            <w:pPr>
              <w:framePr w:hSpace="181" w:wrap="around" w:vAnchor="text" w:hAnchor="text" w:x="908" w:y="1"/>
              <w:numPr>
                <w:ilvl w:val="12"/>
                <w:numId w:val="0"/>
              </w:numPr>
              <w:jc w:val="center"/>
              <w:rPr>
                <w:color w:val="000000"/>
                <w:spacing w:val="0"/>
                <w:sz w:val="16"/>
              </w:rPr>
            </w:pPr>
          </w:p>
        </w:tc>
        <w:tc>
          <w:tcPr>
            <w:tcW w:w="2534" w:type="dxa"/>
            <w:tcBorders>
              <w:top w:val="single" w:sz="6" w:space="0" w:color="auto"/>
              <w:left w:val="single" w:sz="18"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Information and Data Collection</w:t>
            </w:r>
          </w:p>
        </w:tc>
        <w:tc>
          <w:tcPr>
            <w:tcW w:w="2520" w:type="dxa"/>
            <w:tcBorders>
              <w:top w:val="single" w:sz="6" w:space="0" w:color="auto"/>
              <w:left w:val="single" w:sz="6"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Not applicable</w:t>
            </w:r>
          </w:p>
        </w:tc>
        <w:tc>
          <w:tcPr>
            <w:tcW w:w="2033" w:type="dxa"/>
            <w:tcBorders>
              <w:top w:val="single" w:sz="6" w:space="0" w:color="auto"/>
              <w:left w:val="single" w:sz="6" w:space="0" w:color="auto"/>
              <w:bottom w:val="single" w:sz="6"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pPr>
            <w:r w:rsidRPr="00D33B70">
              <w:rPr>
                <w:color w:val="000000"/>
                <w:spacing w:val="0"/>
              </w:rPr>
              <w:sym w:font="Wingdings" w:char="F0FB"/>
            </w:r>
          </w:p>
        </w:tc>
      </w:tr>
      <w:tr w:rsidR="00876663" w:rsidRPr="00D33B70" w:rsidTr="00F049C4">
        <w:trPr>
          <w:cantSplit/>
          <w:trHeight w:val="247"/>
        </w:trPr>
        <w:tc>
          <w:tcPr>
            <w:tcW w:w="597" w:type="dxa"/>
            <w:vMerge/>
            <w:tcBorders>
              <w:left w:val="single" w:sz="18" w:space="0" w:color="auto"/>
              <w:bottom w:val="single" w:sz="12" w:space="0" w:color="auto"/>
              <w:right w:val="single" w:sz="18" w:space="0" w:color="auto"/>
            </w:tcBorders>
            <w:shd w:val="pct10" w:color="auto" w:fill="auto"/>
          </w:tcPr>
          <w:p w:rsidR="00876663" w:rsidRPr="00D33B70" w:rsidRDefault="00876663" w:rsidP="00EA552D">
            <w:pPr>
              <w:framePr w:hSpace="181" w:wrap="around" w:vAnchor="text" w:hAnchor="text" w:x="908" w:y="1"/>
              <w:numPr>
                <w:ilvl w:val="12"/>
                <w:numId w:val="0"/>
              </w:numPr>
              <w:jc w:val="center"/>
              <w:rPr>
                <w:b/>
                <w:color w:val="000000"/>
                <w:spacing w:val="0"/>
              </w:rPr>
            </w:pPr>
          </w:p>
        </w:tc>
        <w:tc>
          <w:tcPr>
            <w:tcW w:w="993" w:type="dxa"/>
            <w:vMerge/>
            <w:tcBorders>
              <w:left w:val="single" w:sz="18" w:space="0" w:color="auto"/>
              <w:bottom w:val="single" w:sz="12" w:space="0" w:color="auto"/>
              <w:right w:val="single" w:sz="18" w:space="0" w:color="auto"/>
            </w:tcBorders>
            <w:shd w:val="pct10" w:color="auto" w:fill="auto"/>
          </w:tcPr>
          <w:p w:rsidR="00876663" w:rsidRPr="00D33B70" w:rsidRDefault="00876663" w:rsidP="00EA552D">
            <w:pPr>
              <w:framePr w:hSpace="181" w:wrap="around" w:vAnchor="text" w:hAnchor="text" w:x="908" w:y="1"/>
              <w:numPr>
                <w:ilvl w:val="12"/>
                <w:numId w:val="0"/>
              </w:numPr>
              <w:jc w:val="center"/>
              <w:rPr>
                <w:color w:val="000000"/>
                <w:spacing w:val="0"/>
                <w:sz w:val="16"/>
              </w:rPr>
            </w:pPr>
          </w:p>
        </w:tc>
        <w:tc>
          <w:tcPr>
            <w:tcW w:w="2534" w:type="dxa"/>
            <w:tcBorders>
              <w:top w:val="single" w:sz="6" w:space="0" w:color="auto"/>
              <w:left w:val="single" w:sz="18"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Planning Scheme Amendments</w:t>
            </w:r>
          </w:p>
        </w:tc>
        <w:tc>
          <w:tcPr>
            <w:tcW w:w="2520" w:type="dxa"/>
            <w:tcBorders>
              <w:top w:val="single" w:sz="6" w:space="0" w:color="auto"/>
              <w:left w:val="single" w:sz="6" w:space="0" w:color="auto"/>
              <w:bottom w:val="single" w:sz="6"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Not applicable</w:t>
            </w:r>
          </w:p>
        </w:tc>
        <w:tc>
          <w:tcPr>
            <w:tcW w:w="2033" w:type="dxa"/>
            <w:tcBorders>
              <w:top w:val="single" w:sz="6" w:space="0" w:color="auto"/>
              <w:left w:val="single" w:sz="6" w:space="0" w:color="auto"/>
              <w:bottom w:val="single" w:sz="6"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pPr>
            <w:r w:rsidRPr="00D33B70">
              <w:rPr>
                <w:color w:val="000000"/>
                <w:spacing w:val="0"/>
              </w:rPr>
              <w:sym w:font="Wingdings" w:char="F0FB"/>
            </w:r>
          </w:p>
        </w:tc>
      </w:tr>
      <w:tr w:rsidR="00876663" w:rsidRPr="00D33B70" w:rsidTr="00F049C4">
        <w:trPr>
          <w:cantSplit/>
          <w:trHeight w:val="262"/>
        </w:trPr>
        <w:tc>
          <w:tcPr>
            <w:tcW w:w="597" w:type="dxa"/>
            <w:vMerge/>
            <w:tcBorders>
              <w:left w:val="single" w:sz="18" w:space="0" w:color="auto"/>
              <w:bottom w:val="single" w:sz="18" w:space="0" w:color="auto"/>
              <w:right w:val="single" w:sz="18" w:space="0" w:color="auto"/>
            </w:tcBorders>
            <w:shd w:val="pct10" w:color="auto" w:fill="auto"/>
          </w:tcPr>
          <w:p w:rsidR="00876663" w:rsidRPr="00D33B70" w:rsidRDefault="00876663" w:rsidP="00EA552D">
            <w:pPr>
              <w:framePr w:hSpace="181" w:wrap="around" w:vAnchor="text" w:hAnchor="text" w:x="908" w:y="1"/>
              <w:numPr>
                <w:ilvl w:val="12"/>
                <w:numId w:val="0"/>
              </w:numPr>
              <w:jc w:val="center"/>
              <w:rPr>
                <w:b/>
                <w:color w:val="000000"/>
                <w:spacing w:val="0"/>
              </w:rPr>
            </w:pPr>
          </w:p>
        </w:tc>
        <w:tc>
          <w:tcPr>
            <w:tcW w:w="993" w:type="dxa"/>
            <w:vMerge/>
            <w:tcBorders>
              <w:left w:val="single" w:sz="18" w:space="0" w:color="auto"/>
              <w:bottom w:val="single" w:sz="18" w:space="0" w:color="auto"/>
              <w:right w:val="single" w:sz="18" w:space="0" w:color="auto"/>
            </w:tcBorders>
            <w:shd w:val="pct10" w:color="auto" w:fill="auto"/>
          </w:tcPr>
          <w:p w:rsidR="00876663" w:rsidRPr="00D33B70" w:rsidRDefault="00876663" w:rsidP="00EA552D">
            <w:pPr>
              <w:framePr w:hSpace="181" w:wrap="around" w:vAnchor="text" w:hAnchor="text" w:x="908" w:y="1"/>
              <w:numPr>
                <w:ilvl w:val="12"/>
                <w:numId w:val="0"/>
              </w:numPr>
              <w:jc w:val="center"/>
              <w:rPr>
                <w:color w:val="000000"/>
                <w:spacing w:val="0"/>
                <w:sz w:val="16"/>
              </w:rPr>
            </w:pPr>
          </w:p>
        </w:tc>
        <w:tc>
          <w:tcPr>
            <w:tcW w:w="2534" w:type="dxa"/>
            <w:tcBorders>
              <w:top w:val="single" w:sz="6" w:space="0" w:color="auto"/>
              <w:left w:val="single" w:sz="18" w:space="0" w:color="auto"/>
              <w:bottom w:val="single" w:sz="18"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Regulation and Enforcement</w:t>
            </w:r>
          </w:p>
        </w:tc>
        <w:tc>
          <w:tcPr>
            <w:tcW w:w="2520" w:type="dxa"/>
            <w:tcBorders>
              <w:top w:val="single" w:sz="6" w:space="0" w:color="auto"/>
              <w:left w:val="single" w:sz="6" w:space="0" w:color="auto"/>
              <w:bottom w:val="single" w:sz="18" w:space="0" w:color="auto"/>
              <w:right w:val="single" w:sz="6" w:space="0" w:color="auto"/>
            </w:tcBorders>
            <w:vAlign w:val="center"/>
          </w:tcPr>
          <w:p w:rsidR="00876663" w:rsidRPr="00D33B70" w:rsidRDefault="00876663" w:rsidP="00876663">
            <w:pPr>
              <w:framePr w:hSpace="181" w:wrap="around" w:vAnchor="text" w:hAnchor="text" w:x="908" w:y="1"/>
              <w:numPr>
                <w:ilvl w:val="12"/>
                <w:numId w:val="0"/>
              </w:numPr>
              <w:jc w:val="left"/>
              <w:rPr>
                <w:color w:val="000000"/>
                <w:spacing w:val="0"/>
                <w:sz w:val="16"/>
              </w:rPr>
            </w:pPr>
            <w:r w:rsidRPr="00D33B70">
              <w:rPr>
                <w:color w:val="000000"/>
                <w:spacing w:val="0"/>
                <w:sz w:val="16"/>
              </w:rPr>
              <w:t>Not applicable</w:t>
            </w:r>
          </w:p>
        </w:tc>
        <w:tc>
          <w:tcPr>
            <w:tcW w:w="2033" w:type="dxa"/>
            <w:tcBorders>
              <w:top w:val="single" w:sz="6" w:space="0" w:color="auto"/>
              <w:left w:val="single" w:sz="6" w:space="0" w:color="auto"/>
              <w:bottom w:val="single" w:sz="18" w:space="0" w:color="auto"/>
              <w:right w:val="single" w:sz="18" w:space="0" w:color="auto"/>
            </w:tcBorders>
            <w:vAlign w:val="center"/>
          </w:tcPr>
          <w:p w:rsidR="00876663" w:rsidRPr="00D33B70" w:rsidRDefault="00876663" w:rsidP="00876663">
            <w:pPr>
              <w:framePr w:hSpace="181" w:wrap="around" w:vAnchor="text" w:hAnchor="text" w:x="908" w:y="1"/>
              <w:numPr>
                <w:ilvl w:val="12"/>
                <w:numId w:val="0"/>
              </w:numPr>
              <w:jc w:val="center"/>
            </w:pPr>
            <w:r w:rsidRPr="00D33B70">
              <w:rPr>
                <w:color w:val="000000"/>
                <w:spacing w:val="0"/>
              </w:rPr>
              <w:sym w:font="Wingdings" w:char="F0FB"/>
            </w:r>
          </w:p>
        </w:tc>
      </w:tr>
    </w:tbl>
    <w:p w:rsidR="00876663" w:rsidRPr="00D33B70" w:rsidRDefault="00F049C4" w:rsidP="00B26EF8">
      <w:pPr>
        <w:pStyle w:val="Heading2"/>
      </w:pPr>
      <w:bookmarkStart w:id="265" w:name="_Toc387308904"/>
      <w:r w:rsidRPr="00D33B70">
        <w:t>Detailed Assessment</w:t>
      </w:r>
      <w:bookmarkEnd w:id="265"/>
    </w:p>
    <w:p w:rsidR="00F049C4" w:rsidRPr="00D33B70" w:rsidRDefault="00F049C4" w:rsidP="00B26EF8">
      <w:pPr>
        <w:pStyle w:val="Heading3"/>
      </w:pPr>
      <w:bookmarkStart w:id="266" w:name="_Toc387308905"/>
      <w:r w:rsidRPr="00D33B70">
        <w:t>Non-Structural Options</w:t>
      </w:r>
      <w:bookmarkEnd w:id="266"/>
    </w:p>
    <w:p w:rsidR="00F049C4" w:rsidRPr="00D33B70" w:rsidRDefault="00F049C4" w:rsidP="00F049C4">
      <w:pPr>
        <w:pStyle w:val="Text"/>
        <w:numPr>
          <w:ilvl w:val="12"/>
          <w:numId w:val="0"/>
        </w:numPr>
        <w:ind w:left="851"/>
      </w:pPr>
      <w:r w:rsidRPr="00D33B70">
        <w:t>The non-structural options considered for the economic assessment were voluntary house raising, voluntary house purchase and amendments to the planning scheme.  Voluntary house raising was not considered further because it has limited application in th</w:t>
      </w:r>
      <w:r w:rsidR="002247D2" w:rsidRPr="00D33B70">
        <w:t>is</w:t>
      </w:r>
      <w:r w:rsidRPr="00D33B70">
        <w:t xml:space="preserve"> catchment, where many of the flood affected buildings cannot be economically raised.  This is due in part to many vulnerable houses being of slab-on-ground construction.  Voluntary house purchase was not considered viable because of the cost of the buy back and re-construction.</w:t>
      </w:r>
    </w:p>
    <w:p w:rsidR="003F5B42" w:rsidRPr="00D33B70" w:rsidRDefault="003F5B42" w:rsidP="00B26EF8">
      <w:pPr>
        <w:pStyle w:val="Heading3"/>
      </w:pPr>
      <w:bookmarkStart w:id="267" w:name="_Toc387308906"/>
      <w:r w:rsidRPr="00D33B70">
        <w:lastRenderedPageBreak/>
        <w:t>Structural Options</w:t>
      </w:r>
      <w:bookmarkEnd w:id="267"/>
    </w:p>
    <w:p w:rsidR="003F5B42" w:rsidRPr="00D33B70" w:rsidRDefault="003F5B42" w:rsidP="003F5B42">
      <w:pPr>
        <w:pStyle w:val="Text"/>
        <w:numPr>
          <w:ilvl w:val="12"/>
          <w:numId w:val="0"/>
        </w:numPr>
        <w:ind w:left="851"/>
      </w:pPr>
      <w:r w:rsidRPr="00D33B70">
        <w:t>The CoGG required that three mitigation schemes be assessed, with one of the schemes being</w:t>
      </w:r>
      <w:r w:rsidR="002247D2" w:rsidRPr="00D33B70">
        <w:t xml:space="preserve"> </w:t>
      </w:r>
      <w:r w:rsidRPr="00D33B70">
        <w:t>“</w:t>
      </w:r>
      <w:r w:rsidR="002247D2" w:rsidRPr="00D33B70">
        <w:t>No Structural Works</w:t>
      </w:r>
      <w:r w:rsidRPr="00D33B70">
        <w:t xml:space="preserve">”.  The four schemes that were assessed for the </w:t>
      </w:r>
      <w:r w:rsidR="00026B6D" w:rsidRPr="00D33B70">
        <w:t xml:space="preserve">study area </w:t>
      </w:r>
      <w:r w:rsidRPr="00D33B70">
        <w:t xml:space="preserve">are summarised in </w:t>
      </w:r>
      <w:fldSimple w:instr=" REF _Ref87429521  \* MERGEFORMAT ">
        <w:r w:rsidR="00AC6986" w:rsidRPr="00D33B70">
          <w:t xml:space="preserve">Table </w:t>
        </w:r>
        <w:r w:rsidR="00AC6986">
          <w:t>7</w:t>
        </w:r>
        <w:r w:rsidR="00AC6986" w:rsidRPr="00D33B70">
          <w:noBreakHyphen/>
        </w:r>
        <w:r w:rsidR="00AC6986">
          <w:t>2</w:t>
        </w:r>
      </w:fldSimple>
      <w:r w:rsidRPr="00D33B70">
        <w:t xml:space="preserve"> and Schemes One, Two and Three are shown in </w:t>
      </w:r>
      <w:r w:rsidRPr="00D33B70">
        <w:fldChar w:fldCharType="begin"/>
      </w:r>
      <w:r w:rsidRPr="00D33B70">
        <w:instrText xml:space="preserve"> REF _Ref358984479 \h </w:instrText>
      </w:r>
      <w:r w:rsidRPr="00D33B70">
        <w:fldChar w:fldCharType="separate"/>
      </w:r>
      <w:r w:rsidR="00AC6986" w:rsidRPr="00D33B70">
        <w:t xml:space="preserve">Figure </w:t>
      </w:r>
      <w:r w:rsidR="00AC6986">
        <w:rPr>
          <w:noProof/>
        </w:rPr>
        <w:t>7</w:t>
      </w:r>
      <w:r w:rsidR="00AC6986" w:rsidRPr="00D33B70">
        <w:noBreakHyphen/>
      </w:r>
      <w:r w:rsidR="00AC6986">
        <w:rPr>
          <w:noProof/>
        </w:rPr>
        <w:t>1</w:t>
      </w:r>
      <w:r w:rsidRPr="00D33B70">
        <w:fldChar w:fldCharType="end"/>
      </w:r>
      <w:r w:rsidRPr="00D33B70">
        <w:t xml:space="preserve">, </w:t>
      </w:r>
      <w:r w:rsidRPr="00D33B70">
        <w:fldChar w:fldCharType="begin"/>
      </w:r>
      <w:r w:rsidRPr="00D33B70">
        <w:instrText xml:space="preserve"> REF _Ref358984482 \h </w:instrText>
      </w:r>
      <w:r w:rsidRPr="00D33B70">
        <w:fldChar w:fldCharType="separate"/>
      </w:r>
      <w:r w:rsidR="00AC6986" w:rsidRPr="00D33B70">
        <w:t xml:space="preserve">Figure </w:t>
      </w:r>
      <w:r w:rsidR="00AC6986">
        <w:rPr>
          <w:noProof/>
        </w:rPr>
        <w:t>7</w:t>
      </w:r>
      <w:r w:rsidR="00AC6986" w:rsidRPr="00D33B70">
        <w:noBreakHyphen/>
      </w:r>
      <w:r w:rsidR="00AC6986">
        <w:rPr>
          <w:noProof/>
        </w:rPr>
        <w:t>2</w:t>
      </w:r>
      <w:r w:rsidRPr="00D33B70">
        <w:fldChar w:fldCharType="end"/>
      </w:r>
      <w:r w:rsidRPr="00D33B70">
        <w:t xml:space="preserve"> and </w:t>
      </w:r>
      <w:r w:rsidRPr="00D33B70">
        <w:fldChar w:fldCharType="begin"/>
      </w:r>
      <w:r w:rsidRPr="00D33B70">
        <w:instrText xml:space="preserve"> REF _Ref358984485 \h </w:instrText>
      </w:r>
      <w:r w:rsidRPr="00D33B70">
        <w:fldChar w:fldCharType="separate"/>
      </w:r>
      <w:r w:rsidR="00AC6986" w:rsidRPr="00D33B70">
        <w:t xml:space="preserve">Figure </w:t>
      </w:r>
      <w:r w:rsidR="00AC6986">
        <w:rPr>
          <w:noProof/>
        </w:rPr>
        <w:t>7</w:t>
      </w:r>
      <w:r w:rsidR="00AC6986" w:rsidRPr="00D33B70">
        <w:noBreakHyphen/>
      </w:r>
      <w:r w:rsidR="00AC6986">
        <w:rPr>
          <w:noProof/>
        </w:rPr>
        <w:t>3</w:t>
      </w:r>
      <w:r w:rsidRPr="00D33B70">
        <w:fldChar w:fldCharType="end"/>
      </w:r>
      <w:r w:rsidRPr="00D33B70">
        <w:t xml:space="preserve"> respectively.  Hydraulic and economic assessments were undertaken for each scheme.</w:t>
      </w:r>
    </w:p>
    <w:p w:rsidR="003F5B42" w:rsidRPr="00D33B70" w:rsidRDefault="003F5B42" w:rsidP="003F5B42">
      <w:pPr>
        <w:pStyle w:val="Caption"/>
        <w:numPr>
          <w:ilvl w:val="12"/>
          <w:numId w:val="0"/>
        </w:numPr>
        <w:ind w:left="851"/>
      </w:pPr>
      <w:bookmarkStart w:id="268" w:name="_Ref87429521"/>
      <w:bookmarkStart w:id="269" w:name="_Toc231362343"/>
      <w:bookmarkStart w:id="270" w:name="_Toc236553386"/>
      <w:bookmarkStart w:id="271" w:name="_Toc280014009"/>
      <w:bookmarkStart w:id="272" w:name="_Toc295475234"/>
      <w:bookmarkStart w:id="273" w:name="_Toc295914233"/>
      <w:bookmarkStart w:id="274" w:name="_Toc387308987"/>
      <w:r w:rsidRPr="00D33B70">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7</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2</w:t>
      </w:r>
      <w:r w:rsidR="00FF3C04" w:rsidRPr="00D33B70">
        <w:fldChar w:fldCharType="end"/>
      </w:r>
      <w:bookmarkEnd w:id="268"/>
      <w:r w:rsidRPr="00D33B70">
        <w:tab/>
        <w:t>Mitigation Scheme Details</w:t>
      </w:r>
      <w:bookmarkEnd w:id="269"/>
      <w:bookmarkEnd w:id="270"/>
      <w:bookmarkEnd w:id="271"/>
      <w:bookmarkEnd w:id="272"/>
      <w:bookmarkEnd w:id="273"/>
      <w:bookmarkEnd w:id="274"/>
    </w:p>
    <w:tbl>
      <w:tblPr>
        <w:tblW w:w="0" w:type="auto"/>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9"/>
        <w:gridCol w:w="7119"/>
      </w:tblGrid>
      <w:tr w:rsidR="003F5B42" w:rsidRPr="00D33B70" w:rsidTr="00661FD8">
        <w:tc>
          <w:tcPr>
            <w:tcW w:w="1669" w:type="dxa"/>
            <w:tcBorders>
              <w:top w:val="single" w:sz="6" w:space="0" w:color="auto"/>
              <w:left w:val="single" w:sz="6" w:space="0" w:color="auto"/>
              <w:bottom w:val="single" w:sz="6" w:space="0" w:color="auto"/>
              <w:right w:val="single" w:sz="6" w:space="0" w:color="auto"/>
            </w:tcBorders>
            <w:shd w:val="pct10" w:color="auto" w:fill="auto"/>
          </w:tcPr>
          <w:p w:rsidR="003F5B42" w:rsidRPr="00D33B70" w:rsidRDefault="003F5B42" w:rsidP="003F5B42">
            <w:pPr>
              <w:numPr>
                <w:ilvl w:val="12"/>
                <w:numId w:val="0"/>
              </w:numPr>
              <w:spacing w:before="120" w:after="120"/>
              <w:jc w:val="center"/>
              <w:rPr>
                <w:b/>
              </w:rPr>
            </w:pPr>
            <w:r w:rsidRPr="00D33B70">
              <w:rPr>
                <w:b/>
              </w:rPr>
              <w:t>Scheme Number</w:t>
            </w:r>
          </w:p>
        </w:tc>
        <w:tc>
          <w:tcPr>
            <w:tcW w:w="7119" w:type="dxa"/>
            <w:tcBorders>
              <w:top w:val="single" w:sz="6" w:space="0" w:color="auto"/>
              <w:left w:val="single" w:sz="6" w:space="0" w:color="auto"/>
              <w:bottom w:val="single" w:sz="6" w:space="0" w:color="auto"/>
              <w:right w:val="single" w:sz="6" w:space="0" w:color="auto"/>
            </w:tcBorders>
            <w:shd w:val="pct10" w:color="auto" w:fill="auto"/>
          </w:tcPr>
          <w:p w:rsidR="003F5B42" w:rsidRPr="00D33B70" w:rsidRDefault="003F5B42" w:rsidP="003F5B42">
            <w:pPr>
              <w:numPr>
                <w:ilvl w:val="12"/>
                <w:numId w:val="0"/>
              </w:numPr>
              <w:spacing w:before="120" w:after="120"/>
              <w:jc w:val="center"/>
              <w:rPr>
                <w:b/>
              </w:rPr>
            </w:pPr>
            <w:r w:rsidRPr="00D33B70">
              <w:rPr>
                <w:b/>
              </w:rPr>
              <w:t>Details</w:t>
            </w:r>
          </w:p>
        </w:tc>
      </w:tr>
      <w:tr w:rsidR="003F5B42" w:rsidRPr="00D33B70" w:rsidTr="00661FD8">
        <w:tc>
          <w:tcPr>
            <w:tcW w:w="1669" w:type="dxa"/>
            <w:tcBorders>
              <w:top w:val="single" w:sz="6" w:space="0" w:color="auto"/>
              <w:left w:val="single" w:sz="6" w:space="0" w:color="auto"/>
              <w:bottom w:val="single" w:sz="6" w:space="0" w:color="auto"/>
              <w:right w:val="single" w:sz="6" w:space="0" w:color="auto"/>
            </w:tcBorders>
          </w:tcPr>
          <w:p w:rsidR="003F5B42" w:rsidRPr="00D33B70" w:rsidRDefault="003F5B42" w:rsidP="003F5B42">
            <w:pPr>
              <w:numPr>
                <w:ilvl w:val="12"/>
                <w:numId w:val="0"/>
              </w:numPr>
              <w:spacing w:before="60" w:after="60"/>
              <w:jc w:val="center"/>
            </w:pPr>
            <w:r w:rsidRPr="00D33B70">
              <w:t>One</w:t>
            </w:r>
          </w:p>
        </w:tc>
        <w:tc>
          <w:tcPr>
            <w:tcW w:w="7119" w:type="dxa"/>
            <w:tcBorders>
              <w:top w:val="single" w:sz="6" w:space="0" w:color="auto"/>
              <w:left w:val="single" w:sz="6" w:space="0" w:color="auto"/>
              <w:bottom w:val="single" w:sz="6" w:space="0" w:color="auto"/>
              <w:right w:val="single" w:sz="6" w:space="0" w:color="auto"/>
            </w:tcBorders>
          </w:tcPr>
          <w:p w:rsidR="003F5B42" w:rsidRPr="00D33B70" w:rsidRDefault="003F5B42" w:rsidP="003F5B42">
            <w:pPr>
              <w:numPr>
                <w:ilvl w:val="12"/>
                <w:numId w:val="0"/>
              </w:numPr>
              <w:spacing w:before="60" w:after="60"/>
            </w:pPr>
            <w:r w:rsidRPr="00D33B70">
              <w:t xml:space="preserve">The augmentation </w:t>
            </w:r>
            <w:r w:rsidR="00871503" w:rsidRPr="00D33B70">
              <w:t xml:space="preserve">of </w:t>
            </w:r>
            <w:r w:rsidRPr="00D33B70">
              <w:t>the existing Barrabool Road Upper, Barrabool Road Lower and Wandana Drive Retarding Basins to increase potential storage volume, including works to better divert piped/overland flows into the retarding basins.</w:t>
            </w:r>
          </w:p>
          <w:p w:rsidR="003F5B42" w:rsidRPr="00D33B70" w:rsidRDefault="00871503" w:rsidP="000D1AA0">
            <w:pPr>
              <w:numPr>
                <w:ilvl w:val="12"/>
                <w:numId w:val="0"/>
              </w:numPr>
              <w:spacing w:before="60" w:after="60"/>
            </w:pPr>
            <w:r w:rsidRPr="00D33B70">
              <w:t>New</w:t>
            </w:r>
            <w:r w:rsidR="00A40376" w:rsidRPr="00D33B70">
              <w:t xml:space="preserve"> </w:t>
            </w:r>
            <w:r w:rsidRPr="00D33B70">
              <w:t>pipe</w:t>
            </w:r>
            <w:r w:rsidR="003F5B42" w:rsidRPr="00D33B70">
              <w:t>, with connecting side entry pits</w:t>
            </w:r>
            <w:r w:rsidR="00A40376" w:rsidRPr="00D33B70">
              <w:t>, laid</w:t>
            </w:r>
            <w:r w:rsidR="003F5B42" w:rsidRPr="00D33B70">
              <w:t xml:space="preserve"> along the southern side of Mount Pleasant Road </w:t>
            </w:r>
            <w:r w:rsidR="000D1AA0" w:rsidRPr="00D33B70">
              <w:t xml:space="preserve">between </w:t>
            </w:r>
            <w:r w:rsidR="00A40376" w:rsidRPr="00D33B70">
              <w:t>Murray St</w:t>
            </w:r>
            <w:r w:rsidR="000D1AA0" w:rsidRPr="00D33B70">
              <w:t>reet</w:t>
            </w:r>
            <w:r w:rsidR="00A40376" w:rsidRPr="00D33B70">
              <w:t xml:space="preserve"> </w:t>
            </w:r>
            <w:r w:rsidR="000D1AA0" w:rsidRPr="00D33B70">
              <w:t xml:space="preserve">and Arkana Avenue, where it </w:t>
            </w:r>
            <w:r w:rsidR="003F5B42" w:rsidRPr="00D33B70">
              <w:t>connect</w:t>
            </w:r>
            <w:r w:rsidR="000D1AA0" w:rsidRPr="00D33B70">
              <w:t>s</w:t>
            </w:r>
            <w:r w:rsidR="003F5B42" w:rsidRPr="00D33B70">
              <w:t xml:space="preserve"> into </w:t>
            </w:r>
            <w:r w:rsidR="00A40376" w:rsidRPr="00D33B70">
              <w:t xml:space="preserve">the </w:t>
            </w:r>
            <w:r w:rsidR="003F5B42" w:rsidRPr="00D33B70">
              <w:t>existing pipe network</w:t>
            </w:r>
            <w:r w:rsidR="000D1AA0" w:rsidRPr="00D33B70">
              <w:t>.</w:t>
            </w:r>
            <w:r w:rsidR="003F5B42" w:rsidRPr="00D33B70">
              <w:t xml:space="preserve"> </w:t>
            </w:r>
            <w:r w:rsidR="000D1AA0" w:rsidRPr="00D33B70">
              <w:t xml:space="preserve"> The pipe provides </w:t>
            </w:r>
            <w:r w:rsidR="003F5B42" w:rsidRPr="00D33B70">
              <w:t xml:space="preserve">additional </w:t>
            </w:r>
            <w:r w:rsidR="00A40376" w:rsidRPr="00D33B70">
              <w:t xml:space="preserve">flow </w:t>
            </w:r>
            <w:r w:rsidR="003F5B42" w:rsidRPr="00D33B70">
              <w:t>conveyance along Mount Pleasant Road.</w:t>
            </w:r>
          </w:p>
        </w:tc>
      </w:tr>
      <w:tr w:rsidR="003F5B42" w:rsidRPr="00D33B70" w:rsidTr="00661FD8">
        <w:tc>
          <w:tcPr>
            <w:tcW w:w="1669" w:type="dxa"/>
            <w:tcBorders>
              <w:top w:val="single" w:sz="6" w:space="0" w:color="auto"/>
              <w:left w:val="single" w:sz="6" w:space="0" w:color="auto"/>
              <w:bottom w:val="single" w:sz="6" w:space="0" w:color="auto"/>
              <w:right w:val="single" w:sz="6" w:space="0" w:color="auto"/>
            </w:tcBorders>
          </w:tcPr>
          <w:p w:rsidR="003F5B42" w:rsidRPr="00D33B70" w:rsidRDefault="003F5B42" w:rsidP="003F5B42">
            <w:pPr>
              <w:numPr>
                <w:ilvl w:val="12"/>
                <w:numId w:val="0"/>
              </w:numPr>
              <w:spacing w:before="60" w:after="60"/>
              <w:jc w:val="center"/>
            </w:pPr>
            <w:r w:rsidRPr="00D33B70">
              <w:t>Two</w:t>
            </w:r>
          </w:p>
        </w:tc>
        <w:tc>
          <w:tcPr>
            <w:tcW w:w="7119" w:type="dxa"/>
            <w:tcBorders>
              <w:top w:val="single" w:sz="6" w:space="0" w:color="auto"/>
              <w:left w:val="single" w:sz="6" w:space="0" w:color="auto"/>
              <w:bottom w:val="single" w:sz="6" w:space="0" w:color="auto"/>
              <w:right w:val="single" w:sz="6" w:space="0" w:color="auto"/>
            </w:tcBorders>
          </w:tcPr>
          <w:p w:rsidR="003F5B42" w:rsidRPr="00D33B70" w:rsidRDefault="003F5B42" w:rsidP="003F5B42">
            <w:pPr>
              <w:numPr>
                <w:ilvl w:val="12"/>
                <w:numId w:val="0"/>
              </w:numPr>
              <w:spacing w:before="60" w:after="60"/>
            </w:pPr>
            <w:r w:rsidRPr="00D33B70">
              <w:t>The excavation of the Highton Recreation Reserve to provide storage of high flows diverted from the piped system running along Barrabool Road</w:t>
            </w:r>
            <w:r w:rsidR="0091741D" w:rsidRPr="00D33B70">
              <w:t>.  The scheme is designed</w:t>
            </w:r>
            <w:r w:rsidRPr="00D33B70">
              <w:t xml:space="preserve"> to reduce surcharging out of the pipe system downstream of the reserve and </w:t>
            </w:r>
            <w:r w:rsidR="0091741D" w:rsidRPr="00D33B70">
              <w:t xml:space="preserve">to </w:t>
            </w:r>
            <w:r w:rsidRPr="00D33B70">
              <w:t>increase the flow capacity to aid in the alleviation of ponded water along Belle Vue Avenue.</w:t>
            </w:r>
          </w:p>
          <w:p w:rsidR="003F5B42" w:rsidRPr="00D33B70" w:rsidRDefault="003F5B42" w:rsidP="003F5B42">
            <w:pPr>
              <w:numPr>
                <w:ilvl w:val="12"/>
                <w:numId w:val="0"/>
              </w:numPr>
              <w:spacing w:before="60" w:after="60"/>
            </w:pPr>
            <w:r w:rsidRPr="00D33B70">
              <w:t>A bypass pipe running from the easement on the east side of Belle Vue Avenue, south of Roslyn Road to alleviate flooding along Belle Vue Avenue.</w:t>
            </w:r>
          </w:p>
        </w:tc>
      </w:tr>
      <w:tr w:rsidR="003F5B42" w:rsidRPr="00D33B70" w:rsidTr="003F5B42">
        <w:tc>
          <w:tcPr>
            <w:tcW w:w="1669" w:type="dxa"/>
            <w:tcBorders>
              <w:top w:val="single" w:sz="6" w:space="0" w:color="auto"/>
              <w:left w:val="single" w:sz="6" w:space="0" w:color="auto"/>
              <w:bottom w:val="single" w:sz="6" w:space="0" w:color="auto"/>
              <w:right w:val="single" w:sz="6" w:space="0" w:color="auto"/>
            </w:tcBorders>
          </w:tcPr>
          <w:p w:rsidR="003F5B42" w:rsidRPr="00D33B70" w:rsidRDefault="003F5B42" w:rsidP="003F5B42">
            <w:pPr>
              <w:numPr>
                <w:ilvl w:val="12"/>
                <w:numId w:val="0"/>
              </w:numPr>
              <w:spacing w:before="60" w:after="60"/>
              <w:jc w:val="center"/>
            </w:pPr>
            <w:r w:rsidRPr="00D33B70">
              <w:t>Three</w:t>
            </w:r>
          </w:p>
        </w:tc>
        <w:tc>
          <w:tcPr>
            <w:tcW w:w="7119" w:type="dxa"/>
            <w:tcBorders>
              <w:top w:val="single" w:sz="6" w:space="0" w:color="auto"/>
              <w:left w:val="single" w:sz="6" w:space="0" w:color="auto"/>
              <w:bottom w:val="single" w:sz="6" w:space="0" w:color="auto"/>
              <w:right w:val="single" w:sz="6" w:space="0" w:color="auto"/>
            </w:tcBorders>
          </w:tcPr>
          <w:p w:rsidR="003F5B42" w:rsidRPr="00D33B70" w:rsidRDefault="003F5B42" w:rsidP="003F5B42">
            <w:pPr>
              <w:numPr>
                <w:ilvl w:val="12"/>
                <w:numId w:val="0"/>
              </w:numPr>
              <w:spacing w:before="60" w:after="60"/>
            </w:pPr>
            <w:r w:rsidRPr="00D33B70">
              <w:t>A combination of the retarding basin works from Scheme One and the works from Scheme Two.</w:t>
            </w:r>
          </w:p>
        </w:tc>
      </w:tr>
      <w:tr w:rsidR="0091741D" w:rsidRPr="00D33B70" w:rsidTr="0091741D">
        <w:tc>
          <w:tcPr>
            <w:tcW w:w="1669" w:type="dxa"/>
            <w:tcBorders>
              <w:top w:val="single" w:sz="6" w:space="0" w:color="auto"/>
              <w:left w:val="single" w:sz="6" w:space="0" w:color="auto"/>
              <w:bottom w:val="single" w:sz="6" w:space="0" w:color="auto"/>
              <w:right w:val="single" w:sz="6" w:space="0" w:color="auto"/>
            </w:tcBorders>
          </w:tcPr>
          <w:p w:rsidR="0091741D" w:rsidRPr="00D33B70" w:rsidRDefault="0091741D" w:rsidP="0091741D">
            <w:pPr>
              <w:numPr>
                <w:ilvl w:val="12"/>
                <w:numId w:val="0"/>
              </w:numPr>
              <w:spacing w:before="60" w:after="60"/>
              <w:jc w:val="center"/>
            </w:pPr>
            <w:r w:rsidRPr="00D33B70">
              <w:t>Four</w:t>
            </w:r>
          </w:p>
        </w:tc>
        <w:tc>
          <w:tcPr>
            <w:tcW w:w="7119" w:type="dxa"/>
            <w:tcBorders>
              <w:top w:val="single" w:sz="6" w:space="0" w:color="auto"/>
              <w:left w:val="single" w:sz="6" w:space="0" w:color="auto"/>
              <w:bottom w:val="single" w:sz="6" w:space="0" w:color="auto"/>
              <w:right w:val="single" w:sz="6" w:space="0" w:color="auto"/>
            </w:tcBorders>
          </w:tcPr>
          <w:p w:rsidR="0091741D" w:rsidRPr="00D33B70" w:rsidRDefault="0091741D" w:rsidP="0091741D">
            <w:pPr>
              <w:numPr>
                <w:ilvl w:val="12"/>
                <w:numId w:val="0"/>
              </w:numPr>
              <w:spacing w:before="60" w:after="60"/>
            </w:pPr>
            <w:r w:rsidRPr="00D33B70">
              <w:t>No Structural Works</w:t>
            </w:r>
          </w:p>
        </w:tc>
      </w:tr>
    </w:tbl>
    <w:p w:rsidR="003F5B42" w:rsidRPr="00D33B70" w:rsidRDefault="003F5B42" w:rsidP="00B26EF8">
      <w:pPr>
        <w:pStyle w:val="Heading4"/>
      </w:pPr>
      <w:bookmarkStart w:id="275" w:name="_Toc387308907"/>
      <w:r w:rsidRPr="00D33B70">
        <w:t>Retarding Basin Works</w:t>
      </w:r>
      <w:bookmarkEnd w:id="275"/>
    </w:p>
    <w:p w:rsidR="003F5B42" w:rsidRPr="00D33B70" w:rsidRDefault="003F5B42" w:rsidP="003F5B42">
      <w:pPr>
        <w:pStyle w:val="Text"/>
      </w:pPr>
      <w:r w:rsidRPr="00D33B70">
        <w:t>The proposed retarding basin works have been summarised below for the respective schemes.</w:t>
      </w:r>
    </w:p>
    <w:p w:rsidR="003F5B42" w:rsidRPr="00D33B70" w:rsidRDefault="003F5B42" w:rsidP="003F5B42">
      <w:pPr>
        <w:pStyle w:val="Text"/>
      </w:pPr>
      <w:r w:rsidRPr="00D33B70">
        <w:rPr>
          <w:b/>
        </w:rPr>
        <w:t>Scheme One Retarding Basin Works</w:t>
      </w:r>
    </w:p>
    <w:p w:rsidR="003F5B42" w:rsidRPr="00D33B70" w:rsidRDefault="003F5B42" w:rsidP="003F5B42">
      <w:pPr>
        <w:pStyle w:val="Text"/>
      </w:pPr>
      <w:r w:rsidRPr="00D33B70">
        <w:t>Scheme One proposed retarding basin works includes the augmentation of the existing Barrabool Road Upper, Barrabool Road Lower and Wandana Drive Retarding Basins to increase potential storage volume, including works to better divert piped/overland flows into the retarding basins.</w:t>
      </w:r>
    </w:p>
    <w:p w:rsidR="003F5B42" w:rsidRPr="00D33B70" w:rsidRDefault="003F5B42" w:rsidP="003F5B42">
      <w:pPr>
        <w:pStyle w:val="Text"/>
      </w:pPr>
      <w:r w:rsidRPr="00D33B70">
        <w:t>Augmentation of the Barrabool Road Upper Retarding Basin, based on preliminary investigations undertaken by the CoGG, involved re-aligning the crest of the retarding basin</w:t>
      </w:r>
      <w:r w:rsidR="00DA46AD" w:rsidRPr="00D33B70">
        <w:t xml:space="preserve"> and increasing its height, lowering the base level</w:t>
      </w:r>
      <w:r w:rsidRPr="00D33B70">
        <w:t xml:space="preserve"> </w:t>
      </w:r>
      <w:r w:rsidR="00DA46AD" w:rsidRPr="00D33B70">
        <w:t xml:space="preserve">and providing a formal secondary spillway.  </w:t>
      </w:r>
      <w:r w:rsidR="00A40376" w:rsidRPr="00D33B70">
        <w:t>The realignment of the retarding basin embankment closer to Barrabool Road allows the crest level to be increased from</w:t>
      </w:r>
      <w:r w:rsidR="0062625E" w:rsidRPr="00D33B70">
        <w:t xml:space="preserve"> </w:t>
      </w:r>
      <w:r w:rsidR="00A40376" w:rsidRPr="00D33B70">
        <w:t>approximately 84.3 m</w:t>
      </w:r>
      <w:r w:rsidR="0062625E" w:rsidRPr="00D33B70">
        <w:t xml:space="preserve"> </w:t>
      </w:r>
      <w:r w:rsidRPr="00D33B70">
        <w:t>to 85.3 m AHD</w:t>
      </w:r>
      <w:r w:rsidR="00662014" w:rsidRPr="00D33B70">
        <w:t xml:space="preserve"> </w:t>
      </w:r>
      <w:r w:rsidR="00865D5D" w:rsidRPr="00D33B70">
        <w:t>to</w:t>
      </w:r>
      <w:r w:rsidR="00662014" w:rsidRPr="00D33B70">
        <w:t xml:space="preserve"> </w:t>
      </w:r>
      <w:r w:rsidR="000D1AA0" w:rsidRPr="00D33B70">
        <w:t xml:space="preserve">help </w:t>
      </w:r>
      <w:r w:rsidR="00662014" w:rsidRPr="00D33B70">
        <w:t xml:space="preserve">maximise the </w:t>
      </w:r>
      <w:r w:rsidR="00A40376" w:rsidRPr="00D33B70">
        <w:t xml:space="preserve">available </w:t>
      </w:r>
      <w:r w:rsidR="00662014" w:rsidRPr="00D33B70">
        <w:t>storage</w:t>
      </w:r>
      <w:r w:rsidR="0062625E" w:rsidRPr="00D33B70">
        <w:t xml:space="preserve">.  </w:t>
      </w:r>
      <w:r w:rsidR="00A40376" w:rsidRPr="00D33B70">
        <w:t>Reshaping the base of the retarding basin, whilst maintaining the current invert level of 80.4 m AHD, allows for additional storage to be created whilst maintaining the existing outlet pipe.</w:t>
      </w:r>
      <w:r w:rsidRPr="00D33B70">
        <w:t xml:space="preserve">  </w:t>
      </w:r>
      <w:r w:rsidR="00662014" w:rsidRPr="00D33B70">
        <w:t xml:space="preserve">A formal secondary spillway over the crest of the RB would also be constructed at a level of 84.9 m AHD.  </w:t>
      </w:r>
      <w:r w:rsidRPr="00D33B70">
        <w:t xml:space="preserve">The existing inlet pipe configurations remained, while the 1050 mm RCP </w:t>
      </w:r>
      <w:r w:rsidR="000D1AA0" w:rsidRPr="00D33B70">
        <w:t xml:space="preserve">outlet </w:t>
      </w:r>
      <w:r w:rsidRPr="00D33B70">
        <w:t xml:space="preserve">has been modelled </w:t>
      </w:r>
      <w:r w:rsidR="009A0873" w:rsidRPr="00D33B70">
        <w:t xml:space="preserve">with a </w:t>
      </w:r>
      <w:r w:rsidRPr="00D33B70">
        <w:t>600 mm diameter orifice plate attached to the end wall</w:t>
      </w:r>
      <w:r w:rsidR="00A40376" w:rsidRPr="00D33B70">
        <w:t xml:space="preserve"> to reduce the outflow</w:t>
      </w:r>
      <w:r w:rsidRPr="00D33B70">
        <w:t>.</w:t>
      </w:r>
    </w:p>
    <w:p w:rsidR="003F5B42" w:rsidRPr="00D33B70" w:rsidRDefault="003F5B42" w:rsidP="003F5B42">
      <w:pPr>
        <w:pStyle w:val="Text"/>
      </w:pPr>
      <w:r w:rsidRPr="00D33B70">
        <w:lastRenderedPageBreak/>
        <w:t>Augmentation of the Barrabool Road Lower Retarding Basin, based on preliminary investigations undertaken by the CoGG, involved the excavation of the basin base to a level of 65.5 m AHD.  To ensure that potential storage within the basin was optimised, two of the three 375 mm RCP outlets have been blocked, leaving one remaining 375 mm RCP outlet.</w:t>
      </w:r>
    </w:p>
    <w:p w:rsidR="003F5B42" w:rsidRPr="00D33B70" w:rsidRDefault="003F5B42" w:rsidP="003F5B42">
      <w:pPr>
        <w:pStyle w:val="Text"/>
      </w:pPr>
      <w:r w:rsidRPr="00D33B70">
        <w:t>Augmentation of the Wandana Drive Retarding Basin, based on preliminary investigations undertaken by the CoGG, involved raising the crest level to 63.0 m AHD and excavating the base to 61.15 m AHD.  The inlet and outlet structure configurations remain unchanged.</w:t>
      </w:r>
    </w:p>
    <w:p w:rsidR="003F5B42" w:rsidRPr="00D33B70" w:rsidRDefault="003F5B42" w:rsidP="003F5B42">
      <w:pPr>
        <w:pStyle w:val="Text"/>
        <w:rPr>
          <w:b/>
        </w:rPr>
      </w:pPr>
      <w:r w:rsidRPr="00D33B70">
        <w:rPr>
          <w:b/>
        </w:rPr>
        <w:t>Scheme Two Retarding Basin Works</w:t>
      </w:r>
    </w:p>
    <w:p w:rsidR="003F5B42" w:rsidRPr="00D33B70" w:rsidRDefault="003F5B42" w:rsidP="003F5B42">
      <w:pPr>
        <w:pStyle w:val="Text"/>
      </w:pPr>
      <w:r w:rsidRPr="00D33B70">
        <w:t xml:space="preserve">Scheme Two proposed retarding basin works involve the excavation of the Highton Recreation Reserve to provided storage of high flows diverted from the piped system running along Barrabool Road.  The reserve has been excavated to achieve a base level of 18.6 m AHD, with </w:t>
      </w:r>
      <w:r w:rsidR="002E0AD1" w:rsidRPr="00D33B70">
        <w:t xml:space="preserve">the embankment </w:t>
      </w:r>
      <w:r w:rsidRPr="00D33B70">
        <w:t xml:space="preserve">crest level along the eastern edge of the reserve </w:t>
      </w:r>
      <w:r w:rsidR="002E0AD1" w:rsidRPr="00D33B70">
        <w:t>raised to</w:t>
      </w:r>
      <w:r w:rsidRPr="00D33B70">
        <w:t xml:space="preserve"> 21.5 m AHD.</w:t>
      </w:r>
    </w:p>
    <w:p w:rsidR="003F5B42" w:rsidRPr="00D33B70" w:rsidRDefault="003F5B42" w:rsidP="003F5B42">
      <w:pPr>
        <w:pStyle w:val="Text"/>
        <w:rPr>
          <w:b/>
        </w:rPr>
      </w:pPr>
      <w:r w:rsidRPr="00D33B70">
        <w:t>Flows</w:t>
      </w:r>
      <w:r w:rsidR="005739A7" w:rsidRPr="00D33B70">
        <w:t xml:space="preserve"> into the retarding basin are</w:t>
      </w:r>
      <w:r w:rsidRPr="00D33B70">
        <w:t xml:space="preserve"> diverted from the </w:t>
      </w:r>
      <w:r w:rsidR="005739A7" w:rsidRPr="00D33B70">
        <w:t>existing Barrabool Road pipe network</w:t>
      </w:r>
      <w:r w:rsidRPr="00D33B70">
        <w:t xml:space="preserve"> via a 1350 mm RCP</w:t>
      </w:r>
      <w:r w:rsidR="005739A7" w:rsidRPr="00D33B70">
        <w:t>. The flow into the pipe is controlled by a side-spill weir which sits 800 mm above the invert of the Barrabool Road pipe network. This side-spill weir is designed to allow smaller, more frequent flows</w:t>
      </w:r>
      <w:r w:rsidR="009A0873" w:rsidRPr="00D33B70">
        <w:t>,</w:t>
      </w:r>
      <w:r w:rsidR="005739A7" w:rsidRPr="00D33B70">
        <w:t xml:space="preserve"> to remain in the underground pipe network and only allow high</w:t>
      </w:r>
      <w:r w:rsidR="009A0873" w:rsidRPr="00D33B70">
        <w:t>er</w:t>
      </w:r>
      <w:r w:rsidR="005739A7" w:rsidRPr="00D33B70">
        <w:t xml:space="preserve"> flows to spill into the recreation reserve.</w:t>
      </w:r>
      <w:r w:rsidRPr="00D33B70">
        <w:t xml:space="preserve">  The outlet configuration comprises a single 300 mm RCP pipe at a level of 18.6 m AHD, connecting into the existing pipe network at the entrance to the car park located on the north-eastern boundary of the reserve.</w:t>
      </w:r>
    </w:p>
    <w:p w:rsidR="003F5B42" w:rsidRPr="00D33B70" w:rsidRDefault="003F5B42" w:rsidP="003F5B42">
      <w:pPr>
        <w:pStyle w:val="Text"/>
        <w:rPr>
          <w:b/>
        </w:rPr>
      </w:pPr>
      <w:r w:rsidRPr="00D33B70">
        <w:rPr>
          <w:b/>
        </w:rPr>
        <w:t>Scheme Three Retarding Basin Works</w:t>
      </w:r>
    </w:p>
    <w:p w:rsidR="003F5B42" w:rsidRPr="00D33B70" w:rsidRDefault="003F5B42" w:rsidP="003F5B42">
      <w:pPr>
        <w:pStyle w:val="Text"/>
      </w:pPr>
      <w:r w:rsidRPr="00D33B70">
        <w:t>Scheme Three proposed retarding basin works comprises the retarding basin works detailed for Schemes One and Two.</w:t>
      </w:r>
    </w:p>
    <w:p w:rsidR="003F5B42" w:rsidRPr="00D33B70" w:rsidRDefault="003F5B42" w:rsidP="00B26EF8">
      <w:pPr>
        <w:pStyle w:val="Heading4"/>
      </w:pPr>
      <w:bookmarkStart w:id="276" w:name="_Toc387308908"/>
      <w:r w:rsidRPr="00D33B70">
        <w:t>Pipe Works</w:t>
      </w:r>
      <w:bookmarkEnd w:id="276"/>
    </w:p>
    <w:p w:rsidR="003F5B42" w:rsidRPr="00D33B70" w:rsidRDefault="003F5B42" w:rsidP="003F5B42">
      <w:pPr>
        <w:pStyle w:val="Text"/>
        <w:rPr>
          <w:b/>
        </w:rPr>
      </w:pPr>
      <w:r w:rsidRPr="00D33B70">
        <w:rPr>
          <w:b/>
        </w:rPr>
        <w:t>Scheme One Pipe Works</w:t>
      </w:r>
    </w:p>
    <w:p w:rsidR="003F5B42" w:rsidRPr="00D33B70" w:rsidRDefault="003F5B42" w:rsidP="003F5B42">
      <w:pPr>
        <w:pStyle w:val="Text"/>
      </w:pPr>
      <w:r w:rsidRPr="00D33B70">
        <w:t>Scheme One</w:t>
      </w:r>
      <w:r w:rsidR="005739A7" w:rsidRPr="00D33B70">
        <w:t>’s</w:t>
      </w:r>
      <w:r w:rsidRPr="00D33B70">
        <w:t xml:space="preserve"> proposed pipe works includes a new 450 mm RCP running east along Mount Pleasant Road for approximately 400 m from the existing side entry pit located on the southern side of Mount Pleasant Road opposite Lambhill Crescent to join with the existing pipe system at Arkana Avenue.  Further pipes are required to convey flow from inlet pits on Murray Street and Marcus Street to the proposed new pipe along Mount Pleasant Road.  The limited capacity of the receiving pipe system along Arkana Avenue restricted the size of the proposed new pipe to a 450 mm RCP.</w:t>
      </w:r>
    </w:p>
    <w:p w:rsidR="003F5B42" w:rsidRPr="00D33B70" w:rsidRDefault="003F5B42" w:rsidP="003F5B42">
      <w:pPr>
        <w:pStyle w:val="Text"/>
        <w:rPr>
          <w:b/>
        </w:rPr>
      </w:pPr>
      <w:r w:rsidRPr="00D33B70">
        <w:rPr>
          <w:b/>
        </w:rPr>
        <w:t>Scheme Two Pipe Works</w:t>
      </w:r>
    </w:p>
    <w:p w:rsidR="003F5B42" w:rsidRPr="00D33B70" w:rsidRDefault="003F5B42" w:rsidP="003F5B42">
      <w:pPr>
        <w:pStyle w:val="Text"/>
      </w:pPr>
      <w:r w:rsidRPr="00D33B70">
        <w:t xml:space="preserve">Scheme </w:t>
      </w:r>
      <w:r w:rsidR="005739A7" w:rsidRPr="00D33B70">
        <w:t>Two’s</w:t>
      </w:r>
      <w:r w:rsidRPr="00D33B70">
        <w:t xml:space="preserve"> proposed pipe works includes a </w:t>
      </w:r>
      <w:r w:rsidR="005739A7" w:rsidRPr="00D33B70">
        <w:t>diversion</w:t>
      </w:r>
      <w:r w:rsidRPr="00D33B70">
        <w:t xml:space="preserve"> pipe running for approximately 850 m from the easement on the east side of Belle Vue Avenue, south of Roslyn Road to </w:t>
      </w:r>
      <w:r w:rsidR="005739A7" w:rsidRPr="00D33B70">
        <w:t xml:space="preserve">an </w:t>
      </w:r>
      <w:r w:rsidRPr="00D33B70">
        <w:t xml:space="preserve">outfall into the Barwon River </w:t>
      </w:r>
      <w:r w:rsidR="00FE6AD0" w:rsidRPr="00D33B70">
        <w:t>adjacent to the existing outlet.</w:t>
      </w:r>
      <w:r w:rsidRPr="00D33B70">
        <w:t xml:space="preserve">  The proposed </w:t>
      </w:r>
      <w:r w:rsidR="005739A7" w:rsidRPr="00D33B70">
        <w:t>diversion</w:t>
      </w:r>
      <w:r w:rsidRPr="00D33B70">
        <w:t xml:space="preserve"> pipe will duplicate the diameter and alignment of the existing pipe running north along Belle Vue Avenue before running north east along Barrabool Road to the outfall.  The proposed </w:t>
      </w:r>
      <w:r w:rsidR="005739A7" w:rsidRPr="00D33B70">
        <w:t>diversion</w:t>
      </w:r>
      <w:r w:rsidRPr="00D33B70">
        <w:t xml:space="preserve"> pipe has a diameter of 1950 mm with the exception of the final </w:t>
      </w:r>
      <w:r w:rsidR="005739A7" w:rsidRPr="00D33B70">
        <w:t>section of pipe</w:t>
      </w:r>
      <w:r w:rsidRPr="00D33B70">
        <w:t xml:space="preserve"> </w:t>
      </w:r>
      <w:r w:rsidR="005739A7" w:rsidRPr="00D33B70">
        <w:t>(</w:t>
      </w:r>
      <w:r w:rsidRPr="00D33B70">
        <w:t>located under the Barwon River reserve</w:t>
      </w:r>
      <w:r w:rsidR="005739A7" w:rsidRPr="00D33B70">
        <w:t>)</w:t>
      </w:r>
      <w:r w:rsidRPr="00D33B70">
        <w:t xml:space="preserve"> where the </w:t>
      </w:r>
      <w:r w:rsidRPr="00D33B70">
        <w:lastRenderedPageBreak/>
        <w:t xml:space="preserve">diameter is 2100 mm.  The proposed </w:t>
      </w:r>
      <w:r w:rsidR="00DA0034" w:rsidRPr="00D33B70">
        <w:t>diversion</w:t>
      </w:r>
      <w:r w:rsidRPr="00D33B70">
        <w:t xml:space="preserve"> pipe does not </w:t>
      </w:r>
      <w:r w:rsidR="001E7E61" w:rsidRPr="00D33B70">
        <w:t xml:space="preserve">have intermediate </w:t>
      </w:r>
      <w:r w:rsidRPr="00D33B70">
        <w:t>connect</w:t>
      </w:r>
      <w:r w:rsidR="001E7E61" w:rsidRPr="00D33B70">
        <w:t>ions</w:t>
      </w:r>
      <w:r w:rsidRPr="00D33B70">
        <w:t xml:space="preserve"> into the surface or the existing pipe system.</w:t>
      </w:r>
    </w:p>
    <w:p w:rsidR="003F5B42" w:rsidRPr="00D33B70" w:rsidRDefault="003F5B42" w:rsidP="003F5B42">
      <w:pPr>
        <w:pStyle w:val="Text"/>
      </w:pPr>
      <w:r w:rsidRPr="00D33B70">
        <w:rPr>
          <w:b/>
        </w:rPr>
        <w:t>Scheme Three Pipe Works</w:t>
      </w:r>
    </w:p>
    <w:p w:rsidR="003F5B42" w:rsidRPr="00D33B70" w:rsidRDefault="003F5B42" w:rsidP="003F5B42">
      <w:pPr>
        <w:pStyle w:val="Text"/>
      </w:pPr>
      <w:r w:rsidRPr="00D33B70">
        <w:t xml:space="preserve">Scheme Three comprises the </w:t>
      </w:r>
      <w:r w:rsidR="001E7E61" w:rsidRPr="00D33B70">
        <w:t xml:space="preserve">same </w:t>
      </w:r>
      <w:r w:rsidRPr="00D33B70">
        <w:t>proposed pipe works detailed for Scheme Two.</w:t>
      </w:r>
    </w:p>
    <w:p w:rsidR="003F5B42" w:rsidRPr="00D33B70" w:rsidRDefault="003F5B42" w:rsidP="00B26EF8">
      <w:pPr>
        <w:pStyle w:val="Heading4"/>
      </w:pPr>
      <w:bookmarkStart w:id="277" w:name="_Toc387308909"/>
      <w:r w:rsidRPr="00D33B70">
        <w:t>Pit Works</w:t>
      </w:r>
      <w:bookmarkEnd w:id="277"/>
    </w:p>
    <w:p w:rsidR="003F5B42" w:rsidRPr="00D33B70" w:rsidRDefault="003F5B42" w:rsidP="003F5B42">
      <w:pPr>
        <w:pStyle w:val="Text"/>
      </w:pPr>
      <w:r w:rsidRPr="00D33B70">
        <w:rPr>
          <w:b/>
        </w:rPr>
        <w:t>Scheme One Pit Works</w:t>
      </w:r>
    </w:p>
    <w:p w:rsidR="003F5B42" w:rsidRPr="00D33B70" w:rsidRDefault="003F5B42" w:rsidP="003F5B42">
      <w:pPr>
        <w:pStyle w:val="Text"/>
      </w:pPr>
      <w:r w:rsidRPr="00D33B70">
        <w:t>To achieve a water level of 63.0 m AHD in the Wandana Drive Retarding Basin the existing side entry pit on the north-west corner of the Roslyn Road and Scenic Road intersection would need to be converted to a closed junction pit.</w:t>
      </w:r>
    </w:p>
    <w:p w:rsidR="003F5B42" w:rsidRPr="00D33B70" w:rsidRDefault="003F5B42" w:rsidP="003F5B42">
      <w:pPr>
        <w:pStyle w:val="Text"/>
      </w:pPr>
      <w:r w:rsidRPr="00D33B70">
        <w:t>The existing pits along the alignment of the new pipe alignment on southern side of Mount Pleasant Road would be converted to triple side entry pits, whilst new triple side entry pits would be required on Murray Street and Marcus Street.</w:t>
      </w:r>
    </w:p>
    <w:p w:rsidR="003F5B42" w:rsidRPr="00D33B70" w:rsidRDefault="003F5B42" w:rsidP="003F5B42">
      <w:pPr>
        <w:pStyle w:val="Text"/>
        <w:rPr>
          <w:b/>
        </w:rPr>
      </w:pPr>
      <w:r w:rsidRPr="00D33B70">
        <w:rPr>
          <w:b/>
        </w:rPr>
        <w:t>Scheme Two Pit Works</w:t>
      </w:r>
    </w:p>
    <w:p w:rsidR="003F5B42" w:rsidRPr="00D33B70" w:rsidRDefault="003F5B42" w:rsidP="003F5B42">
      <w:pPr>
        <w:pStyle w:val="Text"/>
      </w:pPr>
      <w:r w:rsidRPr="00D33B70">
        <w:t>Scheme Two proposed pit works include the reconstruction of the existing junction pit on Barrabool Road to incorporate a flow diversion structure for the inlet into the Highton Recreation Reserve.  The junction pit in the entrance to the car park located on the north-eastern boundary of the reserve will also need to be reconstructed to incorporate the outlet pipe.</w:t>
      </w:r>
    </w:p>
    <w:p w:rsidR="003F5B42" w:rsidRPr="00D33B70" w:rsidRDefault="003F5B42" w:rsidP="003F5B42">
      <w:pPr>
        <w:pStyle w:val="Text"/>
      </w:pPr>
      <w:r w:rsidRPr="00D33B70">
        <w:rPr>
          <w:b/>
        </w:rPr>
        <w:t>Scheme Three Pit Works</w:t>
      </w:r>
    </w:p>
    <w:p w:rsidR="003F5B42" w:rsidRPr="00D33B70" w:rsidRDefault="003F5B42" w:rsidP="003F5B42">
      <w:pPr>
        <w:pStyle w:val="Text"/>
      </w:pPr>
      <w:r w:rsidRPr="00D33B70">
        <w:t xml:space="preserve">Scheme Three proposed pit works comprises the reconstruction of the side entry pit at the Roslyn Road and Scenic Road intersection as part of the Wandana Drive Retarding Basin </w:t>
      </w:r>
      <w:r w:rsidR="001E7E61" w:rsidRPr="00D33B70">
        <w:t>works</w:t>
      </w:r>
      <w:r w:rsidRPr="00D33B70">
        <w:t xml:space="preserve"> from Scheme One and the pit works detailed for Scheme Two.</w:t>
      </w:r>
    </w:p>
    <w:p w:rsidR="003F5B42" w:rsidRPr="00D33B70" w:rsidRDefault="003F5B42" w:rsidP="00B26EF8">
      <w:pPr>
        <w:pStyle w:val="Heading4"/>
      </w:pPr>
      <w:bookmarkStart w:id="278" w:name="_Toc387308910"/>
      <w:r w:rsidRPr="00D33B70">
        <w:t>Further Works</w:t>
      </w:r>
      <w:bookmarkEnd w:id="278"/>
    </w:p>
    <w:p w:rsidR="003F5B42" w:rsidRPr="00D33B70" w:rsidRDefault="003F5B42" w:rsidP="003F5B42">
      <w:pPr>
        <w:pStyle w:val="Text"/>
        <w:rPr>
          <w:b/>
        </w:rPr>
      </w:pPr>
      <w:r w:rsidRPr="00D33B70">
        <w:rPr>
          <w:b/>
        </w:rPr>
        <w:t>Scheme One Further Works</w:t>
      </w:r>
    </w:p>
    <w:p w:rsidR="003F5B42" w:rsidRPr="00D33B70" w:rsidRDefault="003F5B42" w:rsidP="003F5B42">
      <w:pPr>
        <w:pStyle w:val="Text"/>
      </w:pPr>
      <w:r w:rsidRPr="00D33B70">
        <w:t>To ensure that the maximum possible volume of pipe/overland flow is diverted into the Barrabool Road Upper and Lower Retarding Basins</w:t>
      </w:r>
      <w:r w:rsidR="006A66D6" w:rsidRPr="00D33B70">
        <w:t>,</w:t>
      </w:r>
      <w:r w:rsidRPr="00D33B70">
        <w:t xml:space="preserve"> further works are required upstream of the retarding basins.</w:t>
      </w:r>
    </w:p>
    <w:p w:rsidR="003F5B42" w:rsidRPr="00D33B70" w:rsidRDefault="003F5B42" w:rsidP="003F5B42">
      <w:pPr>
        <w:pStyle w:val="Text"/>
      </w:pPr>
      <w:r w:rsidRPr="00D33B70">
        <w:t xml:space="preserve">To provide a more unrestricted flowpath for water to enter the Barrabool Road Upper Retarding Basin a section of existing pipe on the west side of Barrabool Road upstream of Thoroughbred Drive has been replaced with </w:t>
      </w:r>
      <w:r w:rsidR="006A66D6" w:rsidRPr="00D33B70">
        <w:t xml:space="preserve">an </w:t>
      </w:r>
      <w:r w:rsidRPr="00D33B70">
        <w:t xml:space="preserve">open channel </w:t>
      </w:r>
      <w:r w:rsidR="006A66D6" w:rsidRPr="00D33B70">
        <w:t>(</w:t>
      </w:r>
      <w:r w:rsidRPr="00D33B70">
        <w:t xml:space="preserve">approximate 5 m </w:t>
      </w:r>
      <w:r w:rsidR="006A66D6" w:rsidRPr="00D33B70">
        <w:t xml:space="preserve">base </w:t>
      </w:r>
      <w:r w:rsidRPr="00D33B70">
        <w:t>width</w:t>
      </w:r>
      <w:r w:rsidR="006A66D6" w:rsidRPr="00D33B70">
        <w:t>)</w:t>
      </w:r>
      <w:r w:rsidRPr="00D33B70">
        <w:t xml:space="preserve">.  Four 600 mm RCPs are then used to convey flow under Thoroughbred Drive, </w:t>
      </w:r>
      <w:r w:rsidR="006A66D6" w:rsidRPr="00D33B70">
        <w:t xml:space="preserve">discharging </w:t>
      </w:r>
      <w:r w:rsidRPr="00D33B70">
        <w:t>into a</w:t>
      </w:r>
      <w:r w:rsidR="006A66D6" w:rsidRPr="00D33B70">
        <w:t>n open</w:t>
      </w:r>
      <w:r w:rsidRPr="00D33B70">
        <w:t xml:space="preserve"> channel flowing into the retarding basin with an approximate </w:t>
      </w:r>
      <w:r w:rsidR="006A66D6" w:rsidRPr="00D33B70">
        <w:t xml:space="preserve">base </w:t>
      </w:r>
      <w:r w:rsidRPr="00D33B70">
        <w:t>width of 7 m.</w:t>
      </w:r>
    </w:p>
    <w:p w:rsidR="003F5B42" w:rsidRPr="00D33B70" w:rsidRDefault="003F5B42" w:rsidP="003F5B42">
      <w:pPr>
        <w:pStyle w:val="Text"/>
      </w:pPr>
      <w:r w:rsidRPr="00D33B70">
        <w:t xml:space="preserve">To ensure that overland flow downstream of the Barrabool Road Upper Retarding Basin is directed into the Barrabool Road Lower Retarding Basin and prevented from flowing down Barrabool Road, the existing pipes under Barrabool Road that provide the connection between the two retarding basins have been reconfigured.  This involves replacing the pipes downstream of Barrabool Road </w:t>
      </w:r>
      <w:r w:rsidRPr="00D33B70">
        <w:lastRenderedPageBreak/>
        <w:t xml:space="preserve">with </w:t>
      </w:r>
      <w:r w:rsidR="006A66D6" w:rsidRPr="00D33B70">
        <w:t xml:space="preserve">an </w:t>
      </w:r>
      <w:r w:rsidRPr="00D33B70">
        <w:t xml:space="preserve">open channel of an approximate 5 m </w:t>
      </w:r>
      <w:r w:rsidR="006A66D6" w:rsidRPr="00D33B70">
        <w:t xml:space="preserve">base </w:t>
      </w:r>
      <w:r w:rsidRPr="00D33B70">
        <w:t xml:space="preserve">width and replacing the pipes under Barrabool Road with two 2100 mm x 1800 mm RBCs.  To ensure that maximum amount of flow possible enters the culverts an embankment at </w:t>
      </w:r>
      <w:r w:rsidR="006A66D6" w:rsidRPr="00D33B70">
        <w:t xml:space="preserve">a </w:t>
      </w:r>
      <w:r w:rsidRPr="00D33B70">
        <w:t xml:space="preserve">level </w:t>
      </w:r>
      <w:r w:rsidR="006A66D6" w:rsidRPr="00D33B70">
        <w:t xml:space="preserve">of </w:t>
      </w:r>
      <w:r w:rsidRPr="00D33B70">
        <w:t>77.5 m AHD downstream of the inlet structure is required to increase the upstream water level and prevent flow from continuing down Barrabool Road.</w:t>
      </w:r>
    </w:p>
    <w:p w:rsidR="003F5B42" w:rsidRPr="00D33B70" w:rsidRDefault="003F5B42" w:rsidP="003F5B42">
      <w:pPr>
        <w:pStyle w:val="Text"/>
        <w:rPr>
          <w:b/>
        </w:rPr>
      </w:pPr>
      <w:r w:rsidRPr="00D33B70">
        <w:rPr>
          <w:b/>
        </w:rPr>
        <w:t>Scheme Two Further Works</w:t>
      </w:r>
    </w:p>
    <w:p w:rsidR="003F5B42" w:rsidRPr="00D33B70" w:rsidRDefault="003F5B42" w:rsidP="003F5B42">
      <w:pPr>
        <w:pStyle w:val="Text"/>
      </w:pPr>
      <w:r w:rsidRPr="00D33B70">
        <w:t>Works are required to provide an inlet structure for the bypass pipe in the easement on Belle Vue Avenue and the outlet structure into the Barwon River requires reconstruction to incorporate the additional pipe.</w:t>
      </w:r>
    </w:p>
    <w:p w:rsidR="003F5B42" w:rsidRPr="00D33B70" w:rsidRDefault="003F5B42" w:rsidP="003F5B42">
      <w:pPr>
        <w:pStyle w:val="Text"/>
        <w:rPr>
          <w:b/>
        </w:rPr>
      </w:pPr>
      <w:r w:rsidRPr="00D33B70">
        <w:rPr>
          <w:b/>
        </w:rPr>
        <w:t>Scheme Three Further Works</w:t>
      </w:r>
    </w:p>
    <w:p w:rsidR="003F5B42" w:rsidRPr="00D33B70" w:rsidRDefault="003F5B42" w:rsidP="003F5B42">
      <w:pPr>
        <w:pStyle w:val="Text"/>
      </w:pPr>
      <w:r w:rsidRPr="00D33B70">
        <w:t>Scheme Three proposed further works comprises the further works detailed for Schemes One and Two.</w:t>
      </w:r>
    </w:p>
    <w:p w:rsidR="003F5B42" w:rsidRPr="00D33B70" w:rsidRDefault="003F5B42" w:rsidP="003F5B42">
      <w:pPr>
        <w:overflowPunct/>
        <w:autoSpaceDE/>
        <w:autoSpaceDN/>
        <w:adjustRightInd/>
        <w:jc w:val="left"/>
        <w:textAlignment w:val="auto"/>
      </w:pPr>
      <w:r w:rsidRPr="00D33B70">
        <w:br w:type="page"/>
      </w:r>
    </w:p>
    <w:p w:rsidR="003F5B42" w:rsidRPr="00D33B70" w:rsidRDefault="003F5B42" w:rsidP="003F5B42">
      <w:pPr>
        <w:pStyle w:val="Text"/>
      </w:pPr>
    </w:p>
    <w:p w:rsidR="003F5B42" w:rsidRPr="00D33B70" w:rsidRDefault="003F5B42" w:rsidP="003F5B42">
      <w:pPr>
        <w:pStyle w:val="Text"/>
      </w:pPr>
    </w:p>
    <w:p w:rsidR="003F5B42" w:rsidRPr="00D33B70" w:rsidRDefault="003F5B42" w:rsidP="003F5B42">
      <w:pPr>
        <w:pStyle w:val="Caption"/>
      </w:pPr>
      <w:bookmarkStart w:id="279" w:name="_Ref358984479"/>
      <w:bookmarkStart w:id="280" w:name="_Toc387308954"/>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7</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1</w:t>
      </w:r>
      <w:r w:rsidR="00FF3C04" w:rsidRPr="00D33B70">
        <w:fldChar w:fldCharType="end"/>
      </w:r>
      <w:bookmarkEnd w:id="279"/>
      <w:r w:rsidRPr="00D33B70">
        <w:tab/>
        <w:t>Scheme One Proposed Mitigation Works</w:t>
      </w:r>
      <w:bookmarkEnd w:id="280"/>
    </w:p>
    <w:p w:rsidR="003F5B42" w:rsidRPr="00D33B70" w:rsidRDefault="003F5B42" w:rsidP="003F5B42">
      <w:pPr>
        <w:pStyle w:val="Text"/>
      </w:pPr>
    </w:p>
    <w:p w:rsidR="003F5B42" w:rsidRPr="00D33B70" w:rsidRDefault="003F5B42" w:rsidP="003F5B42">
      <w:pPr>
        <w:pStyle w:val="Text"/>
      </w:pPr>
    </w:p>
    <w:p w:rsidR="003F5B42" w:rsidRPr="00D33B70" w:rsidRDefault="003F5B42" w:rsidP="003F5B42">
      <w:pPr>
        <w:overflowPunct/>
        <w:autoSpaceDE/>
        <w:autoSpaceDN/>
        <w:adjustRightInd/>
        <w:jc w:val="left"/>
        <w:textAlignment w:val="auto"/>
      </w:pPr>
      <w:r w:rsidRPr="00D33B70">
        <w:br w:type="page"/>
      </w:r>
    </w:p>
    <w:p w:rsidR="003F5B42" w:rsidRPr="00D33B70" w:rsidRDefault="003F5B42" w:rsidP="003F5B42">
      <w:pPr>
        <w:pStyle w:val="Text"/>
      </w:pPr>
    </w:p>
    <w:p w:rsidR="003F5B42" w:rsidRPr="00D33B70" w:rsidRDefault="003F5B42" w:rsidP="003F5B42">
      <w:pPr>
        <w:pStyle w:val="Caption"/>
      </w:pPr>
      <w:bookmarkStart w:id="281" w:name="_Ref358984482"/>
      <w:bookmarkStart w:id="282" w:name="_Toc387308955"/>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7</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2</w:t>
      </w:r>
      <w:r w:rsidR="00FF3C04" w:rsidRPr="00D33B70">
        <w:fldChar w:fldCharType="end"/>
      </w:r>
      <w:bookmarkEnd w:id="281"/>
      <w:r w:rsidRPr="00D33B70">
        <w:tab/>
        <w:t>Scheme Two Proposed Mitigation Works</w:t>
      </w:r>
      <w:bookmarkEnd w:id="282"/>
    </w:p>
    <w:p w:rsidR="003F5B42" w:rsidRPr="00D33B70" w:rsidRDefault="003F5B42" w:rsidP="003F5B42">
      <w:pPr>
        <w:pStyle w:val="Text"/>
      </w:pPr>
    </w:p>
    <w:p w:rsidR="003F5B42" w:rsidRPr="00D33B70" w:rsidRDefault="003F5B42" w:rsidP="003F5B42">
      <w:pPr>
        <w:pStyle w:val="Text"/>
      </w:pPr>
    </w:p>
    <w:p w:rsidR="003F5B42" w:rsidRPr="00D33B70" w:rsidRDefault="003F5B42" w:rsidP="003F5B42">
      <w:pPr>
        <w:overflowPunct/>
        <w:autoSpaceDE/>
        <w:autoSpaceDN/>
        <w:adjustRightInd/>
        <w:jc w:val="left"/>
        <w:textAlignment w:val="auto"/>
      </w:pPr>
      <w:r w:rsidRPr="00D33B70">
        <w:br w:type="page"/>
      </w:r>
    </w:p>
    <w:p w:rsidR="003F5B42" w:rsidRPr="00D33B70" w:rsidRDefault="003F5B42" w:rsidP="003F5B42">
      <w:pPr>
        <w:pStyle w:val="Text"/>
      </w:pPr>
    </w:p>
    <w:p w:rsidR="003F5B42" w:rsidRPr="00D33B70" w:rsidRDefault="003F5B42" w:rsidP="003F5B42">
      <w:pPr>
        <w:pStyle w:val="Caption"/>
      </w:pPr>
      <w:bookmarkStart w:id="283" w:name="_Ref358984485"/>
      <w:bookmarkStart w:id="284" w:name="_Toc387308956"/>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7</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3</w:t>
      </w:r>
      <w:r w:rsidR="00FF3C04" w:rsidRPr="00D33B70">
        <w:fldChar w:fldCharType="end"/>
      </w:r>
      <w:bookmarkEnd w:id="283"/>
      <w:r w:rsidRPr="00D33B70">
        <w:tab/>
        <w:t>Scheme Three Proposed Mitigation Works</w:t>
      </w:r>
      <w:bookmarkEnd w:id="284"/>
    </w:p>
    <w:p w:rsidR="003F5B42" w:rsidRPr="00D33B70" w:rsidRDefault="003F5B42" w:rsidP="003F5B42">
      <w:pPr>
        <w:pStyle w:val="Text"/>
      </w:pPr>
    </w:p>
    <w:p w:rsidR="003F5B42" w:rsidRPr="00D33B70" w:rsidRDefault="003F5B42" w:rsidP="003F5B42">
      <w:pPr>
        <w:pStyle w:val="Text"/>
      </w:pPr>
    </w:p>
    <w:p w:rsidR="003F5B42" w:rsidRPr="00D33B70" w:rsidRDefault="003F5B42" w:rsidP="003F5B42">
      <w:pPr>
        <w:pStyle w:val="Text"/>
      </w:pPr>
    </w:p>
    <w:p w:rsidR="003F5B42" w:rsidRPr="00D33B70" w:rsidRDefault="003F5B42" w:rsidP="003F5B42">
      <w:pPr>
        <w:overflowPunct/>
        <w:autoSpaceDE/>
        <w:autoSpaceDN/>
        <w:adjustRightInd/>
        <w:jc w:val="left"/>
        <w:textAlignment w:val="auto"/>
      </w:pPr>
      <w:r w:rsidRPr="00D33B70">
        <w:br w:type="page"/>
      </w:r>
    </w:p>
    <w:p w:rsidR="00B55EE8" w:rsidRPr="00D33B70" w:rsidRDefault="001E4CD5" w:rsidP="00B26EF8">
      <w:pPr>
        <w:pStyle w:val="Heading3"/>
      </w:pPr>
      <w:bookmarkStart w:id="285" w:name="_Toc387308911"/>
      <w:r w:rsidRPr="00D33B70">
        <w:lastRenderedPageBreak/>
        <w:t>Hydraulic Assessment</w:t>
      </w:r>
      <w:bookmarkEnd w:id="285"/>
    </w:p>
    <w:p w:rsidR="001E4CD5" w:rsidRPr="00D33B70" w:rsidRDefault="001E4CD5" w:rsidP="001E4CD5">
      <w:pPr>
        <w:pStyle w:val="Text"/>
        <w:numPr>
          <w:ilvl w:val="12"/>
          <w:numId w:val="0"/>
        </w:numPr>
        <w:ind w:left="851"/>
      </w:pPr>
      <w:r w:rsidRPr="00D33B70">
        <w:t>The 20%, 10%, 5% and 1% AEP design floods were assessed using the same nine storm duration events as used for the existing case.  A peak flood height envelope was then developed for each flood event for Schemes One, Two and Three.  The change in peak flood height for each scheme was calculated by subtracting the existing case peak flood heights from the scheme peak flood heights at each TUFLOW grid.  The change in peak flood height was then colour contoured and mapped.  The modelling and mapping was not done for the “</w:t>
      </w:r>
      <w:r w:rsidR="007C7B95" w:rsidRPr="00D33B70">
        <w:t>no structural works</w:t>
      </w:r>
      <w:r w:rsidRPr="00D33B70">
        <w:t>” scheme as there were no changes from the existing conditions.</w:t>
      </w:r>
    </w:p>
    <w:p w:rsidR="001E4CD5" w:rsidRPr="00D33B70" w:rsidRDefault="001E4CD5" w:rsidP="001E4CD5">
      <w:pPr>
        <w:pStyle w:val="Text"/>
        <w:numPr>
          <w:ilvl w:val="12"/>
          <w:numId w:val="0"/>
        </w:numPr>
        <w:ind w:left="851"/>
      </w:pPr>
      <w:r w:rsidRPr="00D33B70">
        <w:t>Peak flood height surfaces were used to calculate the number of properties flooded and depth of above floor flooding, which was then used in the flood damages assessment for the schemes.</w:t>
      </w:r>
    </w:p>
    <w:p w:rsidR="00EF2A8B" w:rsidRPr="00D33B70" w:rsidRDefault="001E4CD5" w:rsidP="001E4CD5">
      <w:pPr>
        <w:pStyle w:val="Text"/>
      </w:pPr>
      <w:r w:rsidRPr="00D33B70">
        <w:t xml:space="preserve">The mapping pertaining to each scheme in the hydraulic assessment illustrates no change in flood level within a </w:t>
      </w:r>
      <w:r w:rsidRPr="00D33B70">
        <w:sym w:font="Symbol" w:char="F0B1"/>
      </w:r>
      <w:r w:rsidRPr="00D33B70">
        <w:t xml:space="preserve"> 0.03 m tolerance as a yellow colour, reductions in flood level are shaded with greens and increases in flood level are shaded with browns/reds.  A pink colour indicates a region where flooding currently occurs but would no longer occur if the scheme was implemented, and a blue colour indicates a region where flooding currently does not occur but would if the scheme was implemented.</w:t>
      </w:r>
    </w:p>
    <w:p w:rsidR="00CC5D90" w:rsidRPr="00D33B70" w:rsidRDefault="00CC5D90" w:rsidP="00B26EF8">
      <w:pPr>
        <w:pStyle w:val="Heading4"/>
      </w:pPr>
      <w:bookmarkStart w:id="286" w:name="_Toc236814066"/>
      <w:bookmarkStart w:id="287" w:name="_Toc280013942"/>
      <w:bookmarkStart w:id="288" w:name="_Toc295740267"/>
      <w:bookmarkStart w:id="289" w:name="_Toc387308912"/>
      <w:r w:rsidRPr="00D33B70">
        <w:t>Scheme One</w:t>
      </w:r>
      <w:bookmarkEnd w:id="286"/>
      <w:bookmarkEnd w:id="287"/>
      <w:bookmarkEnd w:id="288"/>
      <w:bookmarkEnd w:id="289"/>
    </w:p>
    <w:p w:rsidR="00CC5D90" w:rsidRPr="00D33B70" w:rsidRDefault="00CC5D90" w:rsidP="00CC5D90">
      <w:pPr>
        <w:pStyle w:val="Text"/>
      </w:pPr>
      <w:r w:rsidRPr="00D33B70">
        <w:t xml:space="preserve">The change in peak flood height and the properties with above floor flooding, for Scheme One of the </w:t>
      </w:r>
      <w:r w:rsidR="005163C0" w:rsidRPr="00D33B70">
        <w:t>study area</w:t>
      </w:r>
      <w:r w:rsidRPr="00D33B70">
        <w:t xml:space="preserve">, are mapped in </w:t>
      </w:r>
      <w:r w:rsidR="005163C0" w:rsidRPr="00D33B70">
        <w:fldChar w:fldCharType="begin"/>
      </w:r>
      <w:r w:rsidR="005163C0" w:rsidRPr="00D33B70">
        <w:instrText xml:space="preserve"> REF _Ref359424843 \h </w:instrText>
      </w:r>
      <w:r w:rsidR="00DE6CFF" w:rsidRPr="00D33B70">
        <w:instrText xml:space="preserve"> \* MERGEFORMAT </w:instrText>
      </w:r>
      <w:r w:rsidR="005163C0" w:rsidRPr="00D33B70">
        <w:fldChar w:fldCharType="separate"/>
      </w:r>
      <w:r w:rsidR="00AC6986" w:rsidRPr="00D33B70">
        <w:t xml:space="preserve">Figure </w:t>
      </w:r>
      <w:r w:rsidR="00AC6986">
        <w:rPr>
          <w:noProof/>
        </w:rPr>
        <w:t>7</w:t>
      </w:r>
      <w:r w:rsidR="00AC6986" w:rsidRPr="00D33B70">
        <w:rPr>
          <w:noProof/>
        </w:rPr>
        <w:noBreakHyphen/>
      </w:r>
      <w:r w:rsidR="00AC6986">
        <w:rPr>
          <w:noProof/>
        </w:rPr>
        <w:t>4</w:t>
      </w:r>
      <w:r w:rsidR="005163C0" w:rsidRPr="00D33B70">
        <w:fldChar w:fldCharType="end"/>
      </w:r>
      <w:r w:rsidR="005163C0" w:rsidRPr="00D33B70">
        <w:t xml:space="preserve"> </w:t>
      </w:r>
      <w:r w:rsidRPr="00D33B70">
        <w:t>to</w:t>
      </w:r>
      <w:r w:rsidR="005163C0" w:rsidRPr="00D33B70">
        <w:t xml:space="preserve"> </w:t>
      </w:r>
      <w:r w:rsidR="005163C0" w:rsidRPr="00D33B70">
        <w:fldChar w:fldCharType="begin"/>
      </w:r>
      <w:r w:rsidR="005163C0" w:rsidRPr="00D33B70">
        <w:instrText xml:space="preserve"> REF _Ref359424855 \h </w:instrText>
      </w:r>
      <w:r w:rsidR="00DE6CFF" w:rsidRPr="00D33B70">
        <w:instrText xml:space="preserve"> \* MERGEFORMAT </w:instrText>
      </w:r>
      <w:r w:rsidR="005163C0" w:rsidRPr="00D33B70">
        <w:fldChar w:fldCharType="separate"/>
      </w:r>
      <w:r w:rsidR="00AC6986" w:rsidRPr="00D33B70">
        <w:t xml:space="preserve">Figure </w:t>
      </w:r>
      <w:r w:rsidR="00AC6986">
        <w:rPr>
          <w:noProof/>
        </w:rPr>
        <w:t>7</w:t>
      </w:r>
      <w:r w:rsidR="00AC6986" w:rsidRPr="00D33B70">
        <w:rPr>
          <w:noProof/>
        </w:rPr>
        <w:noBreakHyphen/>
      </w:r>
      <w:r w:rsidR="00AC6986">
        <w:rPr>
          <w:noProof/>
        </w:rPr>
        <w:t>7</w:t>
      </w:r>
      <w:r w:rsidR="005163C0" w:rsidRPr="00D33B70">
        <w:fldChar w:fldCharType="end"/>
      </w:r>
      <w:r w:rsidRPr="00D33B70">
        <w:t xml:space="preserve"> for the four flood events assessed.  </w:t>
      </w:r>
      <w:r w:rsidRPr="00D33B70">
        <w:fldChar w:fldCharType="begin"/>
      </w:r>
      <w:r w:rsidRPr="00D33B70">
        <w:instrText xml:space="preserve"> REF _Ref233005054 \h  \* MERGEFORMAT </w:instrText>
      </w:r>
      <w:r w:rsidRPr="00D33B70">
        <w:fldChar w:fldCharType="separate"/>
      </w:r>
      <w:r w:rsidR="00AC6986" w:rsidRPr="00D33B70">
        <w:t xml:space="preserve">Table </w:t>
      </w:r>
      <w:r w:rsidR="00AC6986">
        <w:rPr>
          <w:noProof/>
        </w:rPr>
        <w:t>7</w:t>
      </w:r>
      <w:r w:rsidR="00AC6986" w:rsidRPr="00D33B70">
        <w:rPr>
          <w:noProof/>
        </w:rPr>
        <w:noBreakHyphen/>
      </w:r>
      <w:r w:rsidR="00AC6986">
        <w:rPr>
          <w:noProof/>
        </w:rPr>
        <w:t>3</w:t>
      </w:r>
      <w:r w:rsidRPr="00D33B70">
        <w:fldChar w:fldCharType="end"/>
      </w:r>
      <w:r w:rsidRPr="00D33B70">
        <w:t xml:space="preserve"> summarises the reduction in flooded properties for Scheme One.</w:t>
      </w:r>
    </w:p>
    <w:p w:rsidR="007C0020" w:rsidRPr="00D33B70" w:rsidRDefault="00CC5D90" w:rsidP="00CC5D90">
      <w:pPr>
        <w:pStyle w:val="Text"/>
      </w:pPr>
      <w:r w:rsidRPr="00D33B70">
        <w:t xml:space="preserve">Modelling of the </w:t>
      </w:r>
      <w:r w:rsidR="007C0020" w:rsidRPr="00D33B70">
        <w:t xml:space="preserve">augmentation of the Barrabbol Road retarding basins did not </w:t>
      </w:r>
      <w:r w:rsidR="001174DD" w:rsidRPr="00D33B70">
        <w:t xml:space="preserve">show </w:t>
      </w:r>
      <w:r w:rsidR="007C0020" w:rsidRPr="00D33B70">
        <w:t>significant reduc</w:t>
      </w:r>
      <w:r w:rsidR="001174DD" w:rsidRPr="00D33B70">
        <w:t xml:space="preserve">tions in </w:t>
      </w:r>
      <w:r w:rsidR="007C0020" w:rsidRPr="00D33B70">
        <w:t>downstream flood levels.  As shown in the mapping</w:t>
      </w:r>
      <w:r w:rsidR="001174DD" w:rsidRPr="00D33B70">
        <w:t>,</w:t>
      </w:r>
      <w:r w:rsidR="007C0020" w:rsidRPr="00D33B70">
        <w:t xml:space="preserve"> only in the 1% AEP event do reductions exceed the 0.03 m tolerance along the major flow path downstream of the Barrabool Road Lower and Wandana Drive Retarding Basins between Scenic R</w:t>
      </w:r>
      <w:r w:rsidR="001174DD" w:rsidRPr="00D33B70">
        <w:t>oa</w:t>
      </w:r>
      <w:r w:rsidR="007C0020" w:rsidRPr="00D33B70">
        <w:t xml:space="preserve">d and the intersection </w:t>
      </w:r>
      <w:r w:rsidR="001174DD" w:rsidRPr="00D33B70">
        <w:t xml:space="preserve">of </w:t>
      </w:r>
      <w:r w:rsidR="007C0020" w:rsidRPr="00D33B70">
        <w:t>Barrabool Road and Glenmire Street</w:t>
      </w:r>
      <w:r w:rsidR="001E0E03" w:rsidRPr="00D33B70">
        <w:t>.  The addition of a pipe along the southern side of Mount Pleasant Road has not reduced flood levels at the corner of Mount Pleasant Road and Murray Street.</w:t>
      </w:r>
      <w:r w:rsidR="005B06A1" w:rsidRPr="00D33B70">
        <w:t xml:space="preserve">  The limited reductions in flood levels achieved under Scheme One results in no reduction to the</w:t>
      </w:r>
      <w:r w:rsidR="00166E13" w:rsidRPr="00D33B70">
        <w:t xml:space="preserve"> number of properties inundated and only two floors saved in the 1% AEP event.</w:t>
      </w:r>
    </w:p>
    <w:p w:rsidR="00CC5D90" w:rsidRPr="00D33B70" w:rsidRDefault="00CC5D90" w:rsidP="00CC5D90">
      <w:pPr>
        <w:pStyle w:val="Caption"/>
        <w:numPr>
          <w:ilvl w:val="12"/>
          <w:numId w:val="0"/>
        </w:numPr>
        <w:ind w:left="851"/>
      </w:pPr>
      <w:bookmarkStart w:id="290" w:name="_Ref233005054"/>
      <w:bookmarkStart w:id="291" w:name="_Toc236553387"/>
      <w:bookmarkStart w:id="292" w:name="_Toc280014010"/>
      <w:bookmarkStart w:id="293" w:name="_Toc295475235"/>
      <w:bookmarkStart w:id="294" w:name="_Toc295914234"/>
      <w:bookmarkStart w:id="295" w:name="_Toc387308988"/>
      <w:r w:rsidRPr="00D33B70">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7</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3</w:t>
      </w:r>
      <w:r w:rsidR="00FF3C04" w:rsidRPr="00D33B70">
        <w:fldChar w:fldCharType="end"/>
      </w:r>
      <w:bookmarkEnd w:id="290"/>
      <w:r w:rsidRPr="00D33B70">
        <w:tab/>
        <w:t>Reduction in Flooded Properties – Scheme One</w:t>
      </w:r>
      <w:bookmarkEnd w:id="291"/>
      <w:bookmarkEnd w:id="292"/>
      <w:bookmarkEnd w:id="293"/>
      <w:bookmarkEnd w:id="294"/>
      <w:bookmarkEnd w:id="295"/>
    </w:p>
    <w:tbl>
      <w:tblPr>
        <w:tblW w:w="0" w:type="auto"/>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5"/>
        <w:gridCol w:w="1276"/>
        <w:gridCol w:w="1276"/>
        <w:gridCol w:w="1277"/>
        <w:gridCol w:w="1279"/>
        <w:gridCol w:w="1280"/>
        <w:gridCol w:w="1275"/>
      </w:tblGrid>
      <w:tr w:rsidR="00CC5D90" w:rsidRPr="00D33B70" w:rsidTr="00CC5D90">
        <w:tc>
          <w:tcPr>
            <w:tcW w:w="1125" w:type="dxa"/>
            <w:vMerge w:val="restart"/>
            <w:tcBorders>
              <w:top w:val="single" w:sz="6" w:space="0" w:color="auto"/>
              <w:left w:val="single" w:sz="6" w:space="0" w:color="auto"/>
              <w:right w:val="single" w:sz="6" w:space="0" w:color="auto"/>
            </w:tcBorders>
            <w:shd w:val="pct10" w:color="auto" w:fill="auto"/>
            <w:vAlign w:val="center"/>
          </w:tcPr>
          <w:p w:rsidR="00CC5D90" w:rsidRPr="00D33B70" w:rsidRDefault="00CC5D90" w:rsidP="00CC5D90">
            <w:pPr>
              <w:numPr>
                <w:ilvl w:val="12"/>
                <w:numId w:val="0"/>
              </w:numPr>
              <w:jc w:val="center"/>
              <w:rPr>
                <w:b/>
              </w:rPr>
            </w:pPr>
            <w:r w:rsidRPr="00D33B70">
              <w:rPr>
                <w:b/>
              </w:rPr>
              <w:t>AEP</w:t>
            </w:r>
          </w:p>
        </w:tc>
        <w:tc>
          <w:tcPr>
            <w:tcW w:w="2552" w:type="dxa"/>
            <w:gridSpan w:val="2"/>
            <w:tcBorders>
              <w:top w:val="single" w:sz="6" w:space="0" w:color="auto"/>
              <w:left w:val="single" w:sz="6" w:space="0" w:color="auto"/>
              <w:bottom w:val="single" w:sz="6" w:space="0" w:color="auto"/>
              <w:right w:val="single" w:sz="6" w:space="0" w:color="auto"/>
            </w:tcBorders>
            <w:shd w:val="pct10" w:color="auto" w:fill="auto"/>
            <w:vAlign w:val="center"/>
          </w:tcPr>
          <w:p w:rsidR="00CC5D90" w:rsidRPr="00D33B70" w:rsidRDefault="00CC5D90" w:rsidP="00CC5D90">
            <w:pPr>
              <w:numPr>
                <w:ilvl w:val="12"/>
                <w:numId w:val="0"/>
              </w:numPr>
              <w:spacing w:before="60" w:after="60"/>
              <w:jc w:val="center"/>
              <w:rPr>
                <w:b/>
              </w:rPr>
            </w:pPr>
            <w:r w:rsidRPr="00D33B70">
              <w:rPr>
                <w:b/>
              </w:rPr>
              <w:t>No. Flooded Grounds</w:t>
            </w:r>
          </w:p>
        </w:tc>
        <w:tc>
          <w:tcPr>
            <w:tcW w:w="1277" w:type="dxa"/>
            <w:vMerge w:val="restart"/>
            <w:tcBorders>
              <w:top w:val="single" w:sz="6" w:space="0" w:color="auto"/>
              <w:left w:val="single" w:sz="6" w:space="0" w:color="auto"/>
              <w:right w:val="single" w:sz="6" w:space="0" w:color="auto"/>
            </w:tcBorders>
            <w:shd w:val="pct10" w:color="auto" w:fill="auto"/>
            <w:vAlign w:val="center"/>
          </w:tcPr>
          <w:p w:rsidR="00CC5D90" w:rsidRPr="00D33B70" w:rsidRDefault="00CC5D90" w:rsidP="00CC5D90">
            <w:pPr>
              <w:numPr>
                <w:ilvl w:val="12"/>
                <w:numId w:val="0"/>
              </w:numPr>
              <w:jc w:val="center"/>
              <w:rPr>
                <w:b/>
              </w:rPr>
            </w:pPr>
            <w:r w:rsidRPr="00D33B70">
              <w:rPr>
                <w:b/>
              </w:rPr>
              <w:t>Reduction</w:t>
            </w:r>
          </w:p>
        </w:tc>
        <w:tc>
          <w:tcPr>
            <w:tcW w:w="2559" w:type="dxa"/>
            <w:gridSpan w:val="2"/>
            <w:tcBorders>
              <w:top w:val="single" w:sz="6" w:space="0" w:color="auto"/>
              <w:left w:val="single" w:sz="6" w:space="0" w:color="auto"/>
              <w:bottom w:val="single" w:sz="6" w:space="0" w:color="auto"/>
              <w:right w:val="single" w:sz="6" w:space="0" w:color="auto"/>
            </w:tcBorders>
            <w:shd w:val="pct10" w:color="auto" w:fill="auto"/>
            <w:vAlign w:val="center"/>
          </w:tcPr>
          <w:p w:rsidR="00CC5D90" w:rsidRPr="00D33B70" w:rsidRDefault="00CC5D90" w:rsidP="00CC5D90">
            <w:pPr>
              <w:numPr>
                <w:ilvl w:val="12"/>
                <w:numId w:val="0"/>
              </w:numPr>
              <w:spacing w:before="60" w:after="60"/>
              <w:jc w:val="center"/>
              <w:rPr>
                <w:b/>
              </w:rPr>
            </w:pPr>
            <w:r w:rsidRPr="00D33B70">
              <w:rPr>
                <w:b/>
              </w:rPr>
              <w:t>No. Flooded Floors*</w:t>
            </w:r>
          </w:p>
        </w:tc>
        <w:tc>
          <w:tcPr>
            <w:tcW w:w="1275" w:type="dxa"/>
            <w:vMerge w:val="restart"/>
            <w:tcBorders>
              <w:top w:val="single" w:sz="6" w:space="0" w:color="auto"/>
              <w:left w:val="single" w:sz="6" w:space="0" w:color="auto"/>
              <w:right w:val="single" w:sz="6" w:space="0" w:color="auto"/>
            </w:tcBorders>
            <w:shd w:val="pct10" w:color="auto" w:fill="auto"/>
            <w:vAlign w:val="center"/>
          </w:tcPr>
          <w:p w:rsidR="00CC5D90" w:rsidRPr="00D33B70" w:rsidRDefault="00CC5D90" w:rsidP="00CC5D90">
            <w:pPr>
              <w:numPr>
                <w:ilvl w:val="12"/>
                <w:numId w:val="0"/>
              </w:numPr>
              <w:jc w:val="center"/>
              <w:rPr>
                <w:b/>
              </w:rPr>
            </w:pPr>
            <w:r w:rsidRPr="00D33B70">
              <w:rPr>
                <w:b/>
              </w:rPr>
              <w:t>Reduction</w:t>
            </w:r>
          </w:p>
        </w:tc>
      </w:tr>
      <w:tr w:rsidR="00CC5D90" w:rsidRPr="00D33B70" w:rsidTr="00CC5D90">
        <w:tc>
          <w:tcPr>
            <w:tcW w:w="1125" w:type="dxa"/>
            <w:vMerge/>
            <w:tcBorders>
              <w:left w:val="single" w:sz="6" w:space="0" w:color="auto"/>
              <w:bottom w:val="single" w:sz="6" w:space="0" w:color="auto"/>
              <w:right w:val="single" w:sz="6" w:space="0" w:color="auto"/>
            </w:tcBorders>
            <w:shd w:val="pct10" w:color="auto" w:fill="auto"/>
            <w:vAlign w:val="center"/>
          </w:tcPr>
          <w:p w:rsidR="00CC5D90" w:rsidRPr="00D33B70" w:rsidRDefault="00CC5D90" w:rsidP="00CC5D90">
            <w:pPr>
              <w:numPr>
                <w:ilvl w:val="12"/>
                <w:numId w:val="0"/>
              </w:numPr>
              <w:jc w:val="center"/>
              <w:rPr>
                <w:b/>
              </w:rPr>
            </w:pPr>
          </w:p>
        </w:tc>
        <w:tc>
          <w:tcPr>
            <w:tcW w:w="1276" w:type="dxa"/>
            <w:tcBorders>
              <w:top w:val="single" w:sz="6" w:space="0" w:color="auto"/>
              <w:left w:val="single" w:sz="6" w:space="0" w:color="auto"/>
              <w:bottom w:val="single" w:sz="6" w:space="0" w:color="auto"/>
              <w:right w:val="single" w:sz="6" w:space="0" w:color="auto"/>
            </w:tcBorders>
            <w:shd w:val="pct10" w:color="auto" w:fill="auto"/>
            <w:vAlign w:val="center"/>
          </w:tcPr>
          <w:p w:rsidR="00CC5D90" w:rsidRPr="00D33B70" w:rsidRDefault="00CC5D90" w:rsidP="00CC5D90">
            <w:pPr>
              <w:numPr>
                <w:ilvl w:val="12"/>
                <w:numId w:val="0"/>
              </w:numPr>
              <w:spacing w:before="60" w:after="60"/>
              <w:jc w:val="center"/>
              <w:rPr>
                <w:b/>
              </w:rPr>
            </w:pPr>
            <w:r w:rsidRPr="00D33B70">
              <w:rPr>
                <w:b/>
              </w:rPr>
              <w:t>Existing</w:t>
            </w:r>
          </w:p>
        </w:tc>
        <w:tc>
          <w:tcPr>
            <w:tcW w:w="1276" w:type="dxa"/>
            <w:tcBorders>
              <w:top w:val="single" w:sz="6" w:space="0" w:color="auto"/>
              <w:left w:val="single" w:sz="6" w:space="0" w:color="auto"/>
              <w:bottom w:val="single" w:sz="6" w:space="0" w:color="auto"/>
              <w:right w:val="single" w:sz="6" w:space="0" w:color="auto"/>
            </w:tcBorders>
            <w:shd w:val="pct10" w:color="auto" w:fill="auto"/>
            <w:vAlign w:val="center"/>
          </w:tcPr>
          <w:p w:rsidR="00CC5D90" w:rsidRPr="00D33B70" w:rsidRDefault="00CC5D90" w:rsidP="00CC5D90">
            <w:pPr>
              <w:numPr>
                <w:ilvl w:val="12"/>
                <w:numId w:val="0"/>
              </w:numPr>
              <w:spacing w:before="60" w:after="60"/>
              <w:jc w:val="center"/>
              <w:rPr>
                <w:b/>
              </w:rPr>
            </w:pPr>
            <w:r w:rsidRPr="00D33B70">
              <w:rPr>
                <w:b/>
              </w:rPr>
              <w:t>Scheme One</w:t>
            </w:r>
          </w:p>
        </w:tc>
        <w:tc>
          <w:tcPr>
            <w:tcW w:w="1277" w:type="dxa"/>
            <w:vMerge/>
            <w:tcBorders>
              <w:left w:val="single" w:sz="6" w:space="0" w:color="auto"/>
              <w:bottom w:val="single" w:sz="6" w:space="0" w:color="auto"/>
              <w:right w:val="single" w:sz="6" w:space="0" w:color="auto"/>
            </w:tcBorders>
            <w:shd w:val="pct10" w:color="auto" w:fill="auto"/>
            <w:vAlign w:val="center"/>
          </w:tcPr>
          <w:p w:rsidR="00CC5D90" w:rsidRPr="00D33B70" w:rsidRDefault="00CC5D90" w:rsidP="00CC5D90">
            <w:pPr>
              <w:numPr>
                <w:ilvl w:val="12"/>
                <w:numId w:val="0"/>
              </w:numPr>
              <w:jc w:val="center"/>
              <w:rPr>
                <w:b/>
              </w:rPr>
            </w:pPr>
          </w:p>
        </w:tc>
        <w:tc>
          <w:tcPr>
            <w:tcW w:w="1279" w:type="dxa"/>
            <w:tcBorders>
              <w:top w:val="single" w:sz="6" w:space="0" w:color="auto"/>
              <w:left w:val="single" w:sz="6" w:space="0" w:color="auto"/>
              <w:bottom w:val="single" w:sz="6" w:space="0" w:color="auto"/>
              <w:right w:val="single" w:sz="6" w:space="0" w:color="auto"/>
            </w:tcBorders>
            <w:shd w:val="pct10" w:color="auto" w:fill="auto"/>
            <w:vAlign w:val="center"/>
          </w:tcPr>
          <w:p w:rsidR="00CC5D90" w:rsidRPr="00D33B70" w:rsidRDefault="00CC5D90" w:rsidP="00CC5D90">
            <w:pPr>
              <w:numPr>
                <w:ilvl w:val="12"/>
                <w:numId w:val="0"/>
              </w:numPr>
              <w:spacing w:before="60" w:after="60"/>
              <w:jc w:val="center"/>
              <w:rPr>
                <w:b/>
              </w:rPr>
            </w:pPr>
            <w:r w:rsidRPr="00D33B70">
              <w:rPr>
                <w:b/>
              </w:rPr>
              <w:t>Existing</w:t>
            </w:r>
          </w:p>
        </w:tc>
        <w:tc>
          <w:tcPr>
            <w:tcW w:w="1280" w:type="dxa"/>
            <w:tcBorders>
              <w:top w:val="single" w:sz="6" w:space="0" w:color="auto"/>
              <w:left w:val="single" w:sz="6" w:space="0" w:color="auto"/>
              <w:bottom w:val="single" w:sz="6" w:space="0" w:color="auto"/>
              <w:right w:val="single" w:sz="6" w:space="0" w:color="auto"/>
            </w:tcBorders>
            <w:shd w:val="pct10" w:color="auto" w:fill="auto"/>
            <w:vAlign w:val="center"/>
          </w:tcPr>
          <w:p w:rsidR="00CC5D90" w:rsidRPr="00D33B70" w:rsidRDefault="00CC5D90" w:rsidP="00CC5D90">
            <w:pPr>
              <w:numPr>
                <w:ilvl w:val="12"/>
                <w:numId w:val="0"/>
              </w:numPr>
              <w:spacing w:before="60" w:after="60"/>
              <w:jc w:val="center"/>
              <w:rPr>
                <w:b/>
              </w:rPr>
            </w:pPr>
            <w:r w:rsidRPr="00D33B70">
              <w:rPr>
                <w:b/>
              </w:rPr>
              <w:t>Scheme One</w:t>
            </w:r>
          </w:p>
        </w:tc>
        <w:tc>
          <w:tcPr>
            <w:tcW w:w="1275" w:type="dxa"/>
            <w:vMerge/>
            <w:tcBorders>
              <w:left w:val="single" w:sz="6" w:space="0" w:color="auto"/>
              <w:bottom w:val="single" w:sz="6" w:space="0" w:color="auto"/>
              <w:right w:val="single" w:sz="6" w:space="0" w:color="auto"/>
            </w:tcBorders>
            <w:shd w:val="pct10" w:color="auto" w:fill="auto"/>
            <w:vAlign w:val="center"/>
          </w:tcPr>
          <w:p w:rsidR="00CC5D90" w:rsidRPr="00D33B70" w:rsidRDefault="00CC5D90" w:rsidP="00CC5D90">
            <w:pPr>
              <w:numPr>
                <w:ilvl w:val="12"/>
                <w:numId w:val="0"/>
              </w:numPr>
              <w:jc w:val="center"/>
              <w:rPr>
                <w:b/>
              </w:rPr>
            </w:pPr>
          </w:p>
        </w:tc>
      </w:tr>
      <w:tr w:rsidR="00CC5D90" w:rsidRPr="00D33B70" w:rsidTr="00CC5D90">
        <w:tc>
          <w:tcPr>
            <w:tcW w:w="1125" w:type="dxa"/>
            <w:tcBorders>
              <w:top w:val="single" w:sz="6" w:space="0" w:color="auto"/>
              <w:left w:val="single" w:sz="6" w:space="0" w:color="auto"/>
              <w:bottom w:val="single" w:sz="6" w:space="0" w:color="auto"/>
              <w:right w:val="single" w:sz="6" w:space="0" w:color="auto"/>
            </w:tcBorders>
            <w:vAlign w:val="center"/>
          </w:tcPr>
          <w:p w:rsidR="00CC5D90" w:rsidRPr="00D33B70" w:rsidRDefault="00CC5D90" w:rsidP="00CC5D90">
            <w:pPr>
              <w:numPr>
                <w:ilvl w:val="12"/>
                <w:numId w:val="0"/>
              </w:numPr>
              <w:spacing w:before="60" w:after="60"/>
              <w:jc w:val="center"/>
              <w:rPr>
                <w:color w:val="000000"/>
                <w:spacing w:val="0"/>
              </w:rPr>
            </w:pPr>
            <w:r w:rsidRPr="00D33B70">
              <w:rPr>
                <w:color w:val="000000"/>
                <w:spacing w:val="0"/>
              </w:rPr>
              <w:t>20%</w:t>
            </w:r>
          </w:p>
        </w:tc>
        <w:tc>
          <w:tcPr>
            <w:tcW w:w="1276" w:type="dxa"/>
            <w:tcBorders>
              <w:top w:val="single" w:sz="6" w:space="0" w:color="auto"/>
              <w:left w:val="single" w:sz="6" w:space="0" w:color="auto"/>
              <w:bottom w:val="single" w:sz="6" w:space="0" w:color="auto"/>
              <w:right w:val="single" w:sz="6" w:space="0" w:color="auto"/>
            </w:tcBorders>
            <w:vAlign w:val="bottom"/>
          </w:tcPr>
          <w:p w:rsidR="00CC5D90" w:rsidRPr="00D33B70" w:rsidRDefault="00EE26AC" w:rsidP="00CC5D90">
            <w:pPr>
              <w:numPr>
                <w:ilvl w:val="12"/>
                <w:numId w:val="0"/>
              </w:numPr>
              <w:spacing w:before="60" w:after="60"/>
              <w:jc w:val="center"/>
              <w:rPr>
                <w:color w:val="000000"/>
                <w:spacing w:val="0"/>
              </w:rPr>
            </w:pPr>
            <w:r w:rsidRPr="00D33B70">
              <w:rPr>
                <w:color w:val="000000"/>
                <w:spacing w:val="0"/>
              </w:rPr>
              <w:t>1402</w:t>
            </w:r>
          </w:p>
        </w:tc>
        <w:tc>
          <w:tcPr>
            <w:tcW w:w="1276" w:type="dxa"/>
            <w:tcBorders>
              <w:top w:val="single" w:sz="6" w:space="0" w:color="auto"/>
              <w:left w:val="single" w:sz="6" w:space="0" w:color="auto"/>
              <w:bottom w:val="single" w:sz="6" w:space="0" w:color="auto"/>
              <w:right w:val="single" w:sz="6" w:space="0" w:color="auto"/>
            </w:tcBorders>
            <w:vAlign w:val="center"/>
          </w:tcPr>
          <w:p w:rsidR="00CC5D90" w:rsidRPr="00D33B70" w:rsidRDefault="005B06A1" w:rsidP="00CC5D90">
            <w:pPr>
              <w:numPr>
                <w:ilvl w:val="12"/>
                <w:numId w:val="0"/>
              </w:numPr>
              <w:spacing w:before="60" w:after="60"/>
              <w:jc w:val="center"/>
              <w:rPr>
                <w:color w:val="000000"/>
                <w:spacing w:val="0"/>
              </w:rPr>
            </w:pPr>
            <w:r w:rsidRPr="00D33B70">
              <w:rPr>
                <w:color w:val="000000"/>
                <w:spacing w:val="0"/>
              </w:rPr>
              <w:t>1402</w:t>
            </w:r>
          </w:p>
        </w:tc>
        <w:tc>
          <w:tcPr>
            <w:tcW w:w="1277" w:type="dxa"/>
            <w:tcBorders>
              <w:top w:val="single" w:sz="6" w:space="0" w:color="auto"/>
              <w:left w:val="single" w:sz="6" w:space="0" w:color="auto"/>
              <w:bottom w:val="single" w:sz="6" w:space="0" w:color="auto"/>
              <w:right w:val="single" w:sz="6" w:space="0" w:color="auto"/>
            </w:tcBorders>
            <w:vAlign w:val="center"/>
          </w:tcPr>
          <w:p w:rsidR="00CC5D90" w:rsidRPr="00D33B70" w:rsidRDefault="001E0E03" w:rsidP="00CC5D90">
            <w:pPr>
              <w:jc w:val="center"/>
              <w:rPr>
                <w:rFonts w:ascii="Calibri" w:hAnsi="Calibri" w:cs="Calibri"/>
                <w:b/>
                <w:i/>
                <w:color w:val="000000"/>
                <w:sz w:val="22"/>
                <w:szCs w:val="22"/>
              </w:rPr>
            </w:pPr>
            <w:r w:rsidRPr="00D33B70">
              <w:rPr>
                <w:rFonts w:ascii="Calibri" w:hAnsi="Calibri" w:cs="Calibri"/>
                <w:b/>
                <w:i/>
                <w:color w:val="000000"/>
                <w:sz w:val="22"/>
                <w:szCs w:val="22"/>
              </w:rPr>
              <w:t>0</w:t>
            </w:r>
          </w:p>
        </w:tc>
        <w:tc>
          <w:tcPr>
            <w:tcW w:w="1279" w:type="dxa"/>
            <w:tcBorders>
              <w:top w:val="single" w:sz="6" w:space="0" w:color="auto"/>
              <w:left w:val="single" w:sz="6" w:space="0" w:color="auto"/>
              <w:bottom w:val="single" w:sz="6" w:space="0" w:color="auto"/>
              <w:right w:val="single" w:sz="6" w:space="0" w:color="auto"/>
            </w:tcBorders>
            <w:vAlign w:val="bottom"/>
          </w:tcPr>
          <w:p w:rsidR="00CC5D90" w:rsidRPr="00D33B70" w:rsidRDefault="00EE26AC" w:rsidP="00CC5D90">
            <w:pPr>
              <w:numPr>
                <w:ilvl w:val="12"/>
                <w:numId w:val="0"/>
              </w:numPr>
              <w:spacing w:before="60" w:after="60"/>
              <w:jc w:val="center"/>
              <w:rPr>
                <w:color w:val="000000"/>
                <w:spacing w:val="0"/>
              </w:rPr>
            </w:pPr>
            <w:r w:rsidRPr="00D33B70">
              <w:rPr>
                <w:color w:val="000000"/>
                <w:spacing w:val="0"/>
              </w:rPr>
              <w:t>14</w:t>
            </w:r>
          </w:p>
        </w:tc>
        <w:tc>
          <w:tcPr>
            <w:tcW w:w="1280" w:type="dxa"/>
            <w:tcBorders>
              <w:top w:val="single" w:sz="6" w:space="0" w:color="auto"/>
              <w:left w:val="single" w:sz="6" w:space="0" w:color="auto"/>
              <w:bottom w:val="single" w:sz="6" w:space="0" w:color="auto"/>
              <w:right w:val="single" w:sz="6" w:space="0" w:color="auto"/>
            </w:tcBorders>
            <w:vAlign w:val="center"/>
          </w:tcPr>
          <w:p w:rsidR="00CC5D90" w:rsidRPr="00D33B70" w:rsidRDefault="00EE26AC" w:rsidP="00CC5D90">
            <w:pPr>
              <w:numPr>
                <w:ilvl w:val="12"/>
                <w:numId w:val="0"/>
              </w:numPr>
              <w:spacing w:before="60" w:after="60"/>
              <w:jc w:val="center"/>
              <w:rPr>
                <w:color w:val="000000"/>
                <w:spacing w:val="0"/>
              </w:rPr>
            </w:pPr>
            <w:r w:rsidRPr="00D33B70">
              <w:rPr>
                <w:color w:val="000000"/>
                <w:spacing w:val="0"/>
              </w:rPr>
              <w:t>14</w:t>
            </w:r>
          </w:p>
        </w:tc>
        <w:tc>
          <w:tcPr>
            <w:tcW w:w="1275" w:type="dxa"/>
            <w:tcBorders>
              <w:top w:val="single" w:sz="6" w:space="0" w:color="auto"/>
              <w:left w:val="single" w:sz="6" w:space="0" w:color="auto"/>
              <w:bottom w:val="single" w:sz="6" w:space="0" w:color="auto"/>
              <w:right w:val="single" w:sz="6" w:space="0" w:color="auto"/>
            </w:tcBorders>
            <w:vAlign w:val="center"/>
          </w:tcPr>
          <w:p w:rsidR="00CC5D90" w:rsidRPr="00D33B70" w:rsidRDefault="00EE26AC" w:rsidP="00CC5D90">
            <w:pPr>
              <w:jc w:val="center"/>
              <w:rPr>
                <w:rFonts w:ascii="Calibri" w:hAnsi="Calibri" w:cs="Calibri"/>
                <w:b/>
                <w:i/>
                <w:color w:val="000000"/>
                <w:sz w:val="22"/>
                <w:szCs w:val="22"/>
              </w:rPr>
            </w:pPr>
            <w:r w:rsidRPr="00D33B70">
              <w:rPr>
                <w:rFonts w:ascii="Calibri" w:hAnsi="Calibri" w:cs="Calibri"/>
                <w:b/>
                <w:i/>
                <w:color w:val="000000"/>
                <w:sz w:val="22"/>
                <w:szCs w:val="22"/>
              </w:rPr>
              <w:t>0</w:t>
            </w:r>
          </w:p>
        </w:tc>
      </w:tr>
      <w:tr w:rsidR="00CC5D90" w:rsidRPr="00D33B70" w:rsidTr="00CC5D90">
        <w:tc>
          <w:tcPr>
            <w:tcW w:w="1125" w:type="dxa"/>
            <w:tcBorders>
              <w:top w:val="single" w:sz="6" w:space="0" w:color="auto"/>
              <w:left w:val="single" w:sz="6" w:space="0" w:color="auto"/>
              <w:bottom w:val="single" w:sz="6" w:space="0" w:color="auto"/>
              <w:right w:val="single" w:sz="6" w:space="0" w:color="auto"/>
            </w:tcBorders>
            <w:vAlign w:val="center"/>
          </w:tcPr>
          <w:p w:rsidR="00CC5D90" w:rsidRPr="00D33B70" w:rsidRDefault="00CC5D90" w:rsidP="00CC5D90">
            <w:pPr>
              <w:numPr>
                <w:ilvl w:val="12"/>
                <w:numId w:val="0"/>
              </w:numPr>
              <w:spacing w:before="60" w:after="60"/>
              <w:jc w:val="center"/>
              <w:rPr>
                <w:color w:val="000000"/>
                <w:spacing w:val="0"/>
              </w:rPr>
            </w:pPr>
            <w:r w:rsidRPr="00D33B70">
              <w:rPr>
                <w:color w:val="000000"/>
                <w:spacing w:val="0"/>
              </w:rPr>
              <w:t>10%</w:t>
            </w:r>
          </w:p>
        </w:tc>
        <w:tc>
          <w:tcPr>
            <w:tcW w:w="1276" w:type="dxa"/>
            <w:tcBorders>
              <w:top w:val="single" w:sz="6" w:space="0" w:color="auto"/>
              <w:left w:val="single" w:sz="6" w:space="0" w:color="auto"/>
              <w:bottom w:val="single" w:sz="6" w:space="0" w:color="auto"/>
              <w:right w:val="single" w:sz="6" w:space="0" w:color="auto"/>
            </w:tcBorders>
            <w:vAlign w:val="bottom"/>
          </w:tcPr>
          <w:p w:rsidR="00CC5D90" w:rsidRPr="00D33B70" w:rsidRDefault="00EE26AC" w:rsidP="00CC5D90">
            <w:pPr>
              <w:numPr>
                <w:ilvl w:val="12"/>
                <w:numId w:val="0"/>
              </w:numPr>
              <w:spacing w:before="60" w:after="60"/>
              <w:jc w:val="center"/>
              <w:rPr>
                <w:color w:val="000000"/>
                <w:spacing w:val="0"/>
              </w:rPr>
            </w:pPr>
            <w:r w:rsidRPr="00D33B70">
              <w:rPr>
                <w:color w:val="000000"/>
                <w:spacing w:val="0"/>
              </w:rPr>
              <w:t>1719</w:t>
            </w:r>
          </w:p>
        </w:tc>
        <w:tc>
          <w:tcPr>
            <w:tcW w:w="1276" w:type="dxa"/>
            <w:tcBorders>
              <w:top w:val="single" w:sz="6" w:space="0" w:color="auto"/>
              <w:left w:val="single" w:sz="6" w:space="0" w:color="auto"/>
              <w:bottom w:val="single" w:sz="6" w:space="0" w:color="auto"/>
              <w:right w:val="single" w:sz="6" w:space="0" w:color="auto"/>
            </w:tcBorders>
            <w:vAlign w:val="center"/>
          </w:tcPr>
          <w:p w:rsidR="00CC5D90" w:rsidRPr="00D33B70" w:rsidRDefault="005B06A1" w:rsidP="00CC5D90">
            <w:pPr>
              <w:numPr>
                <w:ilvl w:val="12"/>
                <w:numId w:val="0"/>
              </w:numPr>
              <w:spacing w:before="60" w:after="60"/>
              <w:jc w:val="center"/>
              <w:rPr>
                <w:color w:val="000000"/>
                <w:spacing w:val="0"/>
              </w:rPr>
            </w:pPr>
            <w:r w:rsidRPr="00D33B70">
              <w:rPr>
                <w:color w:val="000000"/>
                <w:spacing w:val="0"/>
              </w:rPr>
              <w:t>1719</w:t>
            </w:r>
          </w:p>
        </w:tc>
        <w:tc>
          <w:tcPr>
            <w:tcW w:w="1277" w:type="dxa"/>
            <w:tcBorders>
              <w:top w:val="single" w:sz="6" w:space="0" w:color="auto"/>
              <w:left w:val="single" w:sz="6" w:space="0" w:color="auto"/>
              <w:bottom w:val="single" w:sz="6" w:space="0" w:color="auto"/>
              <w:right w:val="single" w:sz="6" w:space="0" w:color="auto"/>
            </w:tcBorders>
            <w:vAlign w:val="center"/>
          </w:tcPr>
          <w:p w:rsidR="00CC5D90" w:rsidRPr="00D33B70" w:rsidRDefault="001E0E03" w:rsidP="00CC5D90">
            <w:pPr>
              <w:jc w:val="center"/>
              <w:rPr>
                <w:rFonts w:ascii="Calibri" w:hAnsi="Calibri" w:cs="Calibri"/>
                <w:b/>
                <w:i/>
                <w:color w:val="000000"/>
                <w:sz w:val="22"/>
                <w:szCs w:val="22"/>
              </w:rPr>
            </w:pPr>
            <w:r w:rsidRPr="00D33B70">
              <w:rPr>
                <w:rFonts w:ascii="Calibri" w:hAnsi="Calibri" w:cs="Calibri"/>
                <w:b/>
                <w:i/>
                <w:color w:val="000000"/>
                <w:sz w:val="22"/>
                <w:szCs w:val="22"/>
              </w:rPr>
              <w:t>0</w:t>
            </w:r>
          </w:p>
        </w:tc>
        <w:tc>
          <w:tcPr>
            <w:tcW w:w="1279" w:type="dxa"/>
            <w:tcBorders>
              <w:top w:val="single" w:sz="6" w:space="0" w:color="auto"/>
              <w:left w:val="single" w:sz="6" w:space="0" w:color="auto"/>
              <w:bottom w:val="single" w:sz="6" w:space="0" w:color="auto"/>
              <w:right w:val="single" w:sz="6" w:space="0" w:color="auto"/>
            </w:tcBorders>
            <w:vAlign w:val="bottom"/>
          </w:tcPr>
          <w:p w:rsidR="00CC5D90" w:rsidRPr="00D33B70" w:rsidRDefault="00EE26AC" w:rsidP="00CC5D90">
            <w:pPr>
              <w:numPr>
                <w:ilvl w:val="12"/>
                <w:numId w:val="0"/>
              </w:numPr>
              <w:spacing w:before="60" w:after="60"/>
              <w:jc w:val="center"/>
              <w:rPr>
                <w:color w:val="000000"/>
                <w:spacing w:val="0"/>
              </w:rPr>
            </w:pPr>
            <w:r w:rsidRPr="00D33B70">
              <w:rPr>
                <w:color w:val="000000"/>
                <w:spacing w:val="0"/>
              </w:rPr>
              <w:t>16</w:t>
            </w:r>
          </w:p>
        </w:tc>
        <w:tc>
          <w:tcPr>
            <w:tcW w:w="1280" w:type="dxa"/>
            <w:tcBorders>
              <w:top w:val="single" w:sz="6" w:space="0" w:color="auto"/>
              <w:left w:val="single" w:sz="6" w:space="0" w:color="auto"/>
              <w:bottom w:val="single" w:sz="6" w:space="0" w:color="auto"/>
              <w:right w:val="single" w:sz="6" w:space="0" w:color="auto"/>
            </w:tcBorders>
            <w:vAlign w:val="center"/>
          </w:tcPr>
          <w:p w:rsidR="00CC5D90" w:rsidRPr="00D33B70" w:rsidRDefault="00EE26AC" w:rsidP="00CC5D90">
            <w:pPr>
              <w:numPr>
                <w:ilvl w:val="12"/>
                <w:numId w:val="0"/>
              </w:numPr>
              <w:spacing w:before="60" w:after="60"/>
              <w:jc w:val="center"/>
              <w:rPr>
                <w:color w:val="000000"/>
                <w:spacing w:val="0"/>
              </w:rPr>
            </w:pPr>
            <w:r w:rsidRPr="00D33B70">
              <w:rPr>
                <w:color w:val="000000"/>
                <w:spacing w:val="0"/>
              </w:rPr>
              <w:t>16</w:t>
            </w:r>
          </w:p>
        </w:tc>
        <w:tc>
          <w:tcPr>
            <w:tcW w:w="1275" w:type="dxa"/>
            <w:tcBorders>
              <w:top w:val="single" w:sz="6" w:space="0" w:color="auto"/>
              <w:left w:val="single" w:sz="6" w:space="0" w:color="auto"/>
              <w:bottom w:val="single" w:sz="6" w:space="0" w:color="auto"/>
              <w:right w:val="single" w:sz="6" w:space="0" w:color="auto"/>
            </w:tcBorders>
            <w:vAlign w:val="center"/>
          </w:tcPr>
          <w:p w:rsidR="00CC5D90" w:rsidRPr="00D33B70" w:rsidRDefault="00EE26AC" w:rsidP="00CC5D90">
            <w:pPr>
              <w:jc w:val="center"/>
              <w:rPr>
                <w:rFonts w:ascii="Calibri" w:hAnsi="Calibri" w:cs="Calibri"/>
                <w:b/>
                <w:i/>
                <w:color w:val="000000"/>
                <w:sz w:val="22"/>
                <w:szCs w:val="22"/>
              </w:rPr>
            </w:pPr>
            <w:r w:rsidRPr="00D33B70">
              <w:rPr>
                <w:rFonts w:ascii="Calibri" w:hAnsi="Calibri" w:cs="Calibri"/>
                <w:b/>
                <w:i/>
                <w:color w:val="000000"/>
                <w:sz w:val="22"/>
                <w:szCs w:val="22"/>
              </w:rPr>
              <w:t>0</w:t>
            </w:r>
          </w:p>
        </w:tc>
      </w:tr>
      <w:tr w:rsidR="00CC5D90" w:rsidRPr="00D33B70" w:rsidTr="00CC5D90">
        <w:tc>
          <w:tcPr>
            <w:tcW w:w="1125" w:type="dxa"/>
            <w:tcBorders>
              <w:top w:val="single" w:sz="6" w:space="0" w:color="auto"/>
              <w:left w:val="single" w:sz="6" w:space="0" w:color="auto"/>
              <w:bottom w:val="single" w:sz="6" w:space="0" w:color="auto"/>
              <w:right w:val="single" w:sz="6" w:space="0" w:color="auto"/>
            </w:tcBorders>
            <w:vAlign w:val="center"/>
          </w:tcPr>
          <w:p w:rsidR="00CC5D90" w:rsidRPr="00D33B70" w:rsidRDefault="00CC5D90" w:rsidP="00CC5D90">
            <w:pPr>
              <w:numPr>
                <w:ilvl w:val="12"/>
                <w:numId w:val="0"/>
              </w:numPr>
              <w:spacing w:before="60" w:after="60"/>
              <w:jc w:val="center"/>
              <w:rPr>
                <w:color w:val="000000"/>
                <w:spacing w:val="0"/>
              </w:rPr>
            </w:pPr>
            <w:r w:rsidRPr="00D33B70">
              <w:rPr>
                <w:color w:val="000000"/>
                <w:spacing w:val="0"/>
              </w:rPr>
              <w:t>5%</w:t>
            </w:r>
          </w:p>
        </w:tc>
        <w:tc>
          <w:tcPr>
            <w:tcW w:w="1276" w:type="dxa"/>
            <w:tcBorders>
              <w:top w:val="single" w:sz="6" w:space="0" w:color="auto"/>
              <w:left w:val="single" w:sz="6" w:space="0" w:color="auto"/>
              <w:bottom w:val="single" w:sz="6" w:space="0" w:color="auto"/>
              <w:right w:val="single" w:sz="6" w:space="0" w:color="auto"/>
            </w:tcBorders>
            <w:vAlign w:val="bottom"/>
          </w:tcPr>
          <w:p w:rsidR="00CC5D90" w:rsidRPr="00D33B70" w:rsidRDefault="00EE26AC" w:rsidP="00CC5D90">
            <w:pPr>
              <w:numPr>
                <w:ilvl w:val="12"/>
                <w:numId w:val="0"/>
              </w:numPr>
              <w:spacing w:before="60" w:after="60"/>
              <w:jc w:val="center"/>
              <w:rPr>
                <w:color w:val="000000"/>
                <w:spacing w:val="0"/>
              </w:rPr>
            </w:pPr>
            <w:r w:rsidRPr="00D33B70">
              <w:rPr>
                <w:color w:val="000000"/>
                <w:spacing w:val="0"/>
              </w:rPr>
              <w:t>1976</w:t>
            </w:r>
          </w:p>
        </w:tc>
        <w:tc>
          <w:tcPr>
            <w:tcW w:w="1276" w:type="dxa"/>
            <w:tcBorders>
              <w:top w:val="single" w:sz="6" w:space="0" w:color="auto"/>
              <w:left w:val="single" w:sz="6" w:space="0" w:color="auto"/>
              <w:bottom w:val="single" w:sz="6" w:space="0" w:color="auto"/>
              <w:right w:val="single" w:sz="6" w:space="0" w:color="auto"/>
            </w:tcBorders>
            <w:vAlign w:val="center"/>
          </w:tcPr>
          <w:p w:rsidR="00CC5D90" w:rsidRPr="00D33B70" w:rsidRDefault="005B06A1" w:rsidP="00CC5D90">
            <w:pPr>
              <w:numPr>
                <w:ilvl w:val="12"/>
                <w:numId w:val="0"/>
              </w:numPr>
              <w:spacing w:before="60" w:after="60"/>
              <w:jc w:val="center"/>
              <w:rPr>
                <w:color w:val="000000"/>
                <w:spacing w:val="0"/>
              </w:rPr>
            </w:pPr>
            <w:r w:rsidRPr="00D33B70">
              <w:rPr>
                <w:color w:val="000000"/>
                <w:spacing w:val="0"/>
              </w:rPr>
              <w:t>1976</w:t>
            </w:r>
          </w:p>
        </w:tc>
        <w:tc>
          <w:tcPr>
            <w:tcW w:w="1277" w:type="dxa"/>
            <w:tcBorders>
              <w:top w:val="single" w:sz="6" w:space="0" w:color="auto"/>
              <w:left w:val="single" w:sz="6" w:space="0" w:color="auto"/>
              <w:bottom w:val="single" w:sz="6" w:space="0" w:color="auto"/>
              <w:right w:val="single" w:sz="6" w:space="0" w:color="auto"/>
            </w:tcBorders>
            <w:vAlign w:val="center"/>
          </w:tcPr>
          <w:p w:rsidR="00CC5D90" w:rsidRPr="00D33B70" w:rsidRDefault="001E0E03" w:rsidP="00CC5D90">
            <w:pPr>
              <w:jc w:val="center"/>
              <w:rPr>
                <w:rFonts w:ascii="Calibri" w:hAnsi="Calibri" w:cs="Calibri"/>
                <w:b/>
                <w:i/>
                <w:color w:val="000000"/>
                <w:sz w:val="22"/>
                <w:szCs w:val="22"/>
              </w:rPr>
            </w:pPr>
            <w:r w:rsidRPr="00D33B70">
              <w:rPr>
                <w:rFonts w:ascii="Calibri" w:hAnsi="Calibri" w:cs="Calibri"/>
                <w:b/>
                <w:i/>
                <w:color w:val="000000"/>
                <w:sz w:val="22"/>
                <w:szCs w:val="22"/>
              </w:rPr>
              <w:t>0</w:t>
            </w:r>
          </w:p>
        </w:tc>
        <w:tc>
          <w:tcPr>
            <w:tcW w:w="1279" w:type="dxa"/>
            <w:tcBorders>
              <w:top w:val="single" w:sz="6" w:space="0" w:color="auto"/>
              <w:left w:val="single" w:sz="6" w:space="0" w:color="auto"/>
              <w:bottom w:val="single" w:sz="6" w:space="0" w:color="auto"/>
              <w:right w:val="single" w:sz="6" w:space="0" w:color="auto"/>
            </w:tcBorders>
            <w:vAlign w:val="bottom"/>
          </w:tcPr>
          <w:p w:rsidR="00CC5D90" w:rsidRPr="00D33B70" w:rsidRDefault="00EE26AC" w:rsidP="00CC5D90">
            <w:pPr>
              <w:numPr>
                <w:ilvl w:val="12"/>
                <w:numId w:val="0"/>
              </w:numPr>
              <w:spacing w:before="60" w:after="60"/>
              <w:jc w:val="center"/>
              <w:rPr>
                <w:color w:val="000000"/>
                <w:spacing w:val="0"/>
              </w:rPr>
            </w:pPr>
            <w:r w:rsidRPr="00D33B70">
              <w:rPr>
                <w:color w:val="000000"/>
                <w:spacing w:val="0"/>
              </w:rPr>
              <w:t>22</w:t>
            </w:r>
          </w:p>
        </w:tc>
        <w:tc>
          <w:tcPr>
            <w:tcW w:w="1280" w:type="dxa"/>
            <w:tcBorders>
              <w:top w:val="single" w:sz="6" w:space="0" w:color="auto"/>
              <w:left w:val="single" w:sz="6" w:space="0" w:color="auto"/>
              <w:bottom w:val="single" w:sz="6" w:space="0" w:color="auto"/>
              <w:right w:val="single" w:sz="6" w:space="0" w:color="auto"/>
            </w:tcBorders>
            <w:vAlign w:val="center"/>
          </w:tcPr>
          <w:p w:rsidR="00CC5D90" w:rsidRPr="00D33B70" w:rsidRDefault="00EE26AC" w:rsidP="00CC5D90">
            <w:pPr>
              <w:numPr>
                <w:ilvl w:val="12"/>
                <w:numId w:val="0"/>
              </w:numPr>
              <w:spacing w:before="60" w:after="60"/>
              <w:jc w:val="center"/>
              <w:rPr>
                <w:color w:val="000000"/>
                <w:spacing w:val="0"/>
              </w:rPr>
            </w:pPr>
            <w:r w:rsidRPr="00D33B70">
              <w:rPr>
                <w:color w:val="000000"/>
                <w:spacing w:val="0"/>
              </w:rPr>
              <w:t>21</w:t>
            </w:r>
          </w:p>
        </w:tc>
        <w:tc>
          <w:tcPr>
            <w:tcW w:w="1275" w:type="dxa"/>
            <w:tcBorders>
              <w:top w:val="single" w:sz="6" w:space="0" w:color="auto"/>
              <w:left w:val="single" w:sz="6" w:space="0" w:color="auto"/>
              <w:bottom w:val="single" w:sz="6" w:space="0" w:color="auto"/>
              <w:right w:val="single" w:sz="6" w:space="0" w:color="auto"/>
            </w:tcBorders>
            <w:vAlign w:val="center"/>
          </w:tcPr>
          <w:p w:rsidR="00CC5D90" w:rsidRPr="00D33B70" w:rsidRDefault="00EE26AC" w:rsidP="00CC5D90">
            <w:pPr>
              <w:jc w:val="center"/>
              <w:rPr>
                <w:rFonts w:ascii="Calibri" w:hAnsi="Calibri" w:cs="Calibri"/>
                <w:b/>
                <w:i/>
                <w:color w:val="000000"/>
                <w:sz w:val="22"/>
                <w:szCs w:val="22"/>
              </w:rPr>
            </w:pPr>
            <w:r w:rsidRPr="00D33B70">
              <w:rPr>
                <w:rFonts w:ascii="Calibri" w:hAnsi="Calibri" w:cs="Calibri"/>
                <w:b/>
                <w:i/>
                <w:color w:val="000000"/>
                <w:sz w:val="22"/>
                <w:szCs w:val="22"/>
              </w:rPr>
              <w:t>1</w:t>
            </w:r>
          </w:p>
        </w:tc>
      </w:tr>
      <w:tr w:rsidR="00CC5D90" w:rsidRPr="00D33B70" w:rsidTr="00CC5D90">
        <w:tc>
          <w:tcPr>
            <w:tcW w:w="1125" w:type="dxa"/>
            <w:tcBorders>
              <w:top w:val="single" w:sz="6" w:space="0" w:color="auto"/>
              <w:left w:val="single" w:sz="6" w:space="0" w:color="auto"/>
              <w:bottom w:val="single" w:sz="6" w:space="0" w:color="auto"/>
              <w:right w:val="single" w:sz="6" w:space="0" w:color="auto"/>
            </w:tcBorders>
            <w:vAlign w:val="center"/>
          </w:tcPr>
          <w:p w:rsidR="00CC5D90" w:rsidRPr="00D33B70" w:rsidRDefault="00CC5D90" w:rsidP="00CC5D90">
            <w:pPr>
              <w:numPr>
                <w:ilvl w:val="12"/>
                <w:numId w:val="0"/>
              </w:numPr>
              <w:spacing w:before="60" w:after="60"/>
              <w:jc w:val="center"/>
              <w:rPr>
                <w:color w:val="000000"/>
                <w:spacing w:val="0"/>
              </w:rPr>
            </w:pPr>
            <w:r w:rsidRPr="00D33B70">
              <w:rPr>
                <w:color w:val="000000"/>
                <w:spacing w:val="0"/>
              </w:rPr>
              <w:t>1%</w:t>
            </w:r>
          </w:p>
        </w:tc>
        <w:tc>
          <w:tcPr>
            <w:tcW w:w="1276" w:type="dxa"/>
            <w:tcBorders>
              <w:top w:val="single" w:sz="6" w:space="0" w:color="auto"/>
              <w:left w:val="single" w:sz="6" w:space="0" w:color="auto"/>
              <w:bottom w:val="single" w:sz="6" w:space="0" w:color="auto"/>
              <w:right w:val="single" w:sz="6" w:space="0" w:color="auto"/>
            </w:tcBorders>
            <w:vAlign w:val="bottom"/>
          </w:tcPr>
          <w:p w:rsidR="00CC5D90" w:rsidRPr="00D33B70" w:rsidRDefault="00EE26AC" w:rsidP="00CC5D90">
            <w:pPr>
              <w:numPr>
                <w:ilvl w:val="12"/>
                <w:numId w:val="0"/>
              </w:numPr>
              <w:spacing w:before="60" w:after="60"/>
              <w:jc w:val="center"/>
              <w:rPr>
                <w:color w:val="000000"/>
                <w:spacing w:val="0"/>
              </w:rPr>
            </w:pPr>
            <w:r w:rsidRPr="00D33B70">
              <w:rPr>
                <w:color w:val="000000"/>
                <w:spacing w:val="0"/>
              </w:rPr>
              <w:t>2318</w:t>
            </w:r>
          </w:p>
        </w:tc>
        <w:tc>
          <w:tcPr>
            <w:tcW w:w="1276" w:type="dxa"/>
            <w:tcBorders>
              <w:top w:val="single" w:sz="6" w:space="0" w:color="auto"/>
              <w:left w:val="single" w:sz="6" w:space="0" w:color="auto"/>
              <w:bottom w:val="single" w:sz="6" w:space="0" w:color="auto"/>
              <w:right w:val="single" w:sz="6" w:space="0" w:color="auto"/>
            </w:tcBorders>
            <w:vAlign w:val="center"/>
          </w:tcPr>
          <w:p w:rsidR="00CC5D90" w:rsidRPr="00D33B70" w:rsidRDefault="005B06A1" w:rsidP="00CC5D90">
            <w:pPr>
              <w:numPr>
                <w:ilvl w:val="12"/>
                <w:numId w:val="0"/>
              </w:numPr>
              <w:spacing w:before="60" w:after="60"/>
              <w:jc w:val="center"/>
              <w:rPr>
                <w:color w:val="000000"/>
                <w:spacing w:val="0"/>
              </w:rPr>
            </w:pPr>
            <w:r w:rsidRPr="00D33B70">
              <w:rPr>
                <w:color w:val="000000"/>
                <w:spacing w:val="0"/>
              </w:rPr>
              <w:t>2318</w:t>
            </w:r>
          </w:p>
        </w:tc>
        <w:tc>
          <w:tcPr>
            <w:tcW w:w="1277" w:type="dxa"/>
            <w:tcBorders>
              <w:top w:val="single" w:sz="6" w:space="0" w:color="auto"/>
              <w:left w:val="single" w:sz="6" w:space="0" w:color="auto"/>
              <w:bottom w:val="single" w:sz="6" w:space="0" w:color="auto"/>
              <w:right w:val="single" w:sz="6" w:space="0" w:color="auto"/>
            </w:tcBorders>
            <w:vAlign w:val="center"/>
          </w:tcPr>
          <w:p w:rsidR="00CC5D90" w:rsidRPr="00D33B70" w:rsidRDefault="001E0E03" w:rsidP="00CC5D90">
            <w:pPr>
              <w:jc w:val="center"/>
              <w:rPr>
                <w:rFonts w:ascii="Calibri" w:hAnsi="Calibri" w:cs="Calibri"/>
                <w:b/>
                <w:i/>
                <w:color w:val="000000"/>
                <w:sz w:val="22"/>
                <w:szCs w:val="22"/>
              </w:rPr>
            </w:pPr>
            <w:r w:rsidRPr="00D33B70">
              <w:rPr>
                <w:rFonts w:ascii="Calibri" w:hAnsi="Calibri" w:cs="Calibri"/>
                <w:b/>
                <w:i/>
                <w:color w:val="000000"/>
                <w:sz w:val="22"/>
                <w:szCs w:val="22"/>
              </w:rPr>
              <w:t>0</w:t>
            </w:r>
          </w:p>
        </w:tc>
        <w:tc>
          <w:tcPr>
            <w:tcW w:w="1279" w:type="dxa"/>
            <w:tcBorders>
              <w:top w:val="single" w:sz="6" w:space="0" w:color="auto"/>
              <w:left w:val="single" w:sz="6" w:space="0" w:color="auto"/>
              <w:bottom w:val="single" w:sz="6" w:space="0" w:color="auto"/>
              <w:right w:val="single" w:sz="6" w:space="0" w:color="auto"/>
            </w:tcBorders>
            <w:vAlign w:val="bottom"/>
          </w:tcPr>
          <w:p w:rsidR="00CC5D90" w:rsidRPr="00D33B70" w:rsidRDefault="00EE26AC" w:rsidP="00CC5D90">
            <w:pPr>
              <w:numPr>
                <w:ilvl w:val="12"/>
                <w:numId w:val="0"/>
              </w:numPr>
              <w:spacing w:before="60" w:after="60"/>
              <w:jc w:val="center"/>
              <w:rPr>
                <w:color w:val="000000"/>
                <w:spacing w:val="0"/>
              </w:rPr>
            </w:pPr>
            <w:r w:rsidRPr="00D33B70">
              <w:rPr>
                <w:color w:val="000000"/>
                <w:spacing w:val="0"/>
              </w:rPr>
              <w:t>35</w:t>
            </w:r>
          </w:p>
        </w:tc>
        <w:tc>
          <w:tcPr>
            <w:tcW w:w="1280" w:type="dxa"/>
            <w:tcBorders>
              <w:top w:val="single" w:sz="6" w:space="0" w:color="auto"/>
              <w:left w:val="single" w:sz="6" w:space="0" w:color="auto"/>
              <w:bottom w:val="single" w:sz="6" w:space="0" w:color="auto"/>
              <w:right w:val="single" w:sz="6" w:space="0" w:color="auto"/>
            </w:tcBorders>
            <w:vAlign w:val="center"/>
          </w:tcPr>
          <w:p w:rsidR="00CC5D90" w:rsidRPr="00D33B70" w:rsidRDefault="00EE26AC" w:rsidP="00CC5D90">
            <w:pPr>
              <w:numPr>
                <w:ilvl w:val="12"/>
                <w:numId w:val="0"/>
              </w:numPr>
              <w:spacing w:before="60" w:after="60"/>
              <w:jc w:val="center"/>
              <w:rPr>
                <w:color w:val="000000"/>
                <w:spacing w:val="0"/>
              </w:rPr>
            </w:pPr>
            <w:r w:rsidRPr="00D33B70">
              <w:rPr>
                <w:color w:val="000000"/>
                <w:spacing w:val="0"/>
              </w:rPr>
              <w:t>33</w:t>
            </w:r>
          </w:p>
        </w:tc>
        <w:tc>
          <w:tcPr>
            <w:tcW w:w="1275" w:type="dxa"/>
            <w:tcBorders>
              <w:top w:val="single" w:sz="6" w:space="0" w:color="auto"/>
              <w:left w:val="single" w:sz="6" w:space="0" w:color="auto"/>
              <w:bottom w:val="single" w:sz="6" w:space="0" w:color="auto"/>
              <w:right w:val="single" w:sz="6" w:space="0" w:color="auto"/>
            </w:tcBorders>
            <w:vAlign w:val="center"/>
          </w:tcPr>
          <w:p w:rsidR="00CC5D90" w:rsidRPr="00D33B70" w:rsidRDefault="00EE26AC" w:rsidP="00CC5D90">
            <w:pPr>
              <w:jc w:val="center"/>
              <w:rPr>
                <w:rFonts w:ascii="Calibri" w:hAnsi="Calibri" w:cs="Calibri"/>
                <w:b/>
                <w:i/>
                <w:color w:val="000000"/>
                <w:sz w:val="22"/>
                <w:szCs w:val="22"/>
              </w:rPr>
            </w:pPr>
            <w:r w:rsidRPr="00D33B70">
              <w:rPr>
                <w:rFonts w:ascii="Calibri" w:hAnsi="Calibri" w:cs="Calibri"/>
                <w:b/>
                <w:i/>
                <w:color w:val="000000"/>
                <w:sz w:val="22"/>
                <w:szCs w:val="22"/>
              </w:rPr>
              <w:t>2</w:t>
            </w:r>
          </w:p>
        </w:tc>
      </w:tr>
    </w:tbl>
    <w:p w:rsidR="00CC5D90" w:rsidRPr="00D33B70" w:rsidRDefault="00CC5D90" w:rsidP="00CC5D90">
      <w:pPr>
        <w:spacing w:before="60"/>
        <w:ind w:left="851"/>
      </w:pPr>
      <w:r w:rsidRPr="00D33B70">
        <w:rPr>
          <w:sz w:val="16"/>
        </w:rPr>
        <w:t>*  Results based on properties surveyed by CoGG.</w:t>
      </w:r>
    </w:p>
    <w:p w:rsidR="00CC5D90" w:rsidRPr="00D33B70" w:rsidRDefault="00CC5D90" w:rsidP="00B26EF8">
      <w:pPr>
        <w:pStyle w:val="Heading4"/>
      </w:pPr>
      <w:bookmarkStart w:id="296" w:name="_Toc236814067"/>
      <w:bookmarkStart w:id="297" w:name="_Toc280013943"/>
      <w:bookmarkStart w:id="298" w:name="_Toc295740268"/>
      <w:bookmarkStart w:id="299" w:name="_Toc387308913"/>
      <w:r w:rsidRPr="00D33B70">
        <w:lastRenderedPageBreak/>
        <w:t>Scheme Two</w:t>
      </w:r>
      <w:bookmarkEnd w:id="296"/>
      <w:bookmarkEnd w:id="297"/>
      <w:bookmarkEnd w:id="298"/>
      <w:bookmarkEnd w:id="299"/>
    </w:p>
    <w:p w:rsidR="00CC5D90" w:rsidRPr="00D33B70" w:rsidRDefault="00CC5D90" w:rsidP="00CC5D90">
      <w:pPr>
        <w:pStyle w:val="Text"/>
      </w:pPr>
      <w:r w:rsidRPr="00D33B70">
        <w:t xml:space="preserve">The change in peak flood height and the properties with above floor flooding, for Scheme Two of the </w:t>
      </w:r>
      <w:r w:rsidR="005163C0" w:rsidRPr="00D33B70">
        <w:t>study area</w:t>
      </w:r>
      <w:r w:rsidRPr="00D33B70">
        <w:t xml:space="preserve">, are mapped in </w:t>
      </w:r>
      <w:r w:rsidR="005163C0" w:rsidRPr="00D33B70">
        <w:fldChar w:fldCharType="begin"/>
      </w:r>
      <w:r w:rsidR="005163C0" w:rsidRPr="00D33B70">
        <w:instrText xml:space="preserve"> REF _Ref359424964 \h </w:instrText>
      </w:r>
      <w:r w:rsidR="00166E13" w:rsidRPr="00D33B70">
        <w:instrText xml:space="preserve"> \* MERGEFORMAT </w:instrText>
      </w:r>
      <w:r w:rsidR="005163C0" w:rsidRPr="00D33B70">
        <w:fldChar w:fldCharType="separate"/>
      </w:r>
      <w:r w:rsidR="00AC6986" w:rsidRPr="00D33B70">
        <w:t xml:space="preserve">Figure </w:t>
      </w:r>
      <w:r w:rsidR="00AC6986">
        <w:rPr>
          <w:noProof/>
        </w:rPr>
        <w:t>7</w:t>
      </w:r>
      <w:r w:rsidR="00AC6986" w:rsidRPr="00D33B70">
        <w:rPr>
          <w:noProof/>
        </w:rPr>
        <w:noBreakHyphen/>
      </w:r>
      <w:r w:rsidR="00AC6986">
        <w:rPr>
          <w:noProof/>
        </w:rPr>
        <w:t>8</w:t>
      </w:r>
      <w:r w:rsidR="005163C0" w:rsidRPr="00D33B70">
        <w:fldChar w:fldCharType="end"/>
      </w:r>
      <w:r w:rsidR="005163C0" w:rsidRPr="00D33B70">
        <w:t xml:space="preserve"> </w:t>
      </w:r>
      <w:r w:rsidRPr="00D33B70">
        <w:t xml:space="preserve">to </w:t>
      </w:r>
      <w:r w:rsidR="005163C0" w:rsidRPr="00D33B70">
        <w:fldChar w:fldCharType="begin"/>
      </w:r>
      <w:r w:rsidR="005163C0" w:rsidRPr="00D33B70">
        <w:instrText xml:space="preserve"> REF _Ref359424950 \h </w:instrText>
      </w:r>
      <w:r w:rsidR="00166E13" w:rsidRPr="00D33B70">
        <w:instrText xml:space="preserve"> \* MERGEFORMAT </w:instrText>
      </w:r>
      <w:r w:rsidR="005163C0" w:rsidRPr="00D33B70">
        <w:fldChar w:fldCharType="separate"/>
      </w:r>
      <w:r w:rsidR="00AC6986" w:rsidRPr="00D33B70">
        <w:t xml:space="preserve">Figure </w:t>
      </w:r>
      <w:r w:rsidR="00AC6986">
        <w:rPr>
          <w:noProof/>
        </w:rPr>
        <w:t>7</w:t>
      </w:r>
      <w:r w:rsidR="00AC6986" w:rsidRPr="00D33B70">
        <w:rPr>
          <w:noProof/>
        </w:rPr>
        <w:noBreakHyphen/>
      </w:r>
      <w:r w:rsidR="00AC6986">
        <w:rPr>
          <w:noProof/>
        </w:rPr>
        <w:t>11</w:t>
      </w:r>
      <w:r w:rsidR="005163C0" w:rsidRPr="00D33B70">
        <w:fldChar w:fldCharType="end"/>
      </w:r>
      <w:r w:rsidR="005163C0" w:rsidRPr="00D33B70">
        <w:t xml:space="preserve"> </w:t>
      </w:r>
      <w:r w:rsidRPr="00D33B70">
        <w:t xml:space="preserve">for the four flood events assessed.  </w:t>
      </w:r>
      <w:r w:rsidRPr="00D33B70">
        <w:fldChar w:fldCharType="begin"/>
      </w:r>
      <w:r w:rsidRPr="00D33B70">
        <w:instrText xml:space="preserve"> REF _Ref233005131 \h  \* MERGEFORMAT </w:instrText>
      </w:r>
      <w:r w:rsidRPr="00D33B70">
        <w:fldChar w:fldCharType="separate"/>
      </w:r>
      <w:r w:rsidR="00AC6986" w:rsidRPr="00D33B70">
        <w:t xml:space="preserve">Table </w:t>
      </w:r>
      <w:r w:rsidR="00AC6986">
        <w:rPr>
          <w:noProof/>
        </w:rPr>
        <w:t>7</w:t>
      </w:r>
      <w:r w:rsidR="00AC6986" w:rsidRPr="00D33B70">
        <w:rPr>
          <w:noProof/>
        </w:rPr>
        <w:noBreakHyphen/>
      </w:r>
      <w:r w:rsidR="00AC6986">
        <w:rPr>
          <w:noProof/>
        </w:rPr>
        <w:t>4</w:t>
      </w:r>
      <w:r w:rsidRPr="00D33B70">
        <w:fldChar w:fldCharType="end"/>
      </w:r>
      <w:r w:rsidRPr="00D33B70">
        <w:t xml:space="preserve"> summarises the reduction in flooded properties for Scheme Two.</w:t>
      </w:r>
    </w:p>
    <w:p w:rsidR="00CC5D90" w:rsidRPr="00D33B70" w:rsidRDefault="00CC5D90" w:rsidP="00CD042B">
      <w:pPr>
        <w:pStyle w:val="Text"/>
      </w:pPr>
      <w:r w:rsidRPr="00D33B70">
        <w:t xml:space="preserve">Modelling of </w:t>
      </w:r>
      <w:r w:rsidR="00F77DA9" w:rsidRPr="00D33B70">
        <w:t xml:space="preserve">Scheme Two </w:t>
      </w:r>
      <w:r w:rsidRPr="00D33B70">
        <w:t xml:space="preserve">shows a reduction in flood levels </w:t>
      </w:r>
      <w:r w:rsidR="00F77DA9" w:rsidRPr="00D33B70">
        <w:t>downstream of the Highton Recreation Reserve along Barrabool Road and along the main drainage path running from Belle Vue Avenue</w:t>
      </w:r>
      <w:r w:rsidR="00710DC2" w:rsidRPr="00D33B70">
        <w:t xml:space="preserve"> </w:t>
      </w:r>
      <w:r w:rsidR="00F77DA9" w:rsidRPr="00D33B70">
        <w:t xml:space="preserve">for </w:t>
      </w:r>
      <w:r w:rsidRPr="00D33B70">
        <w:t>all AEP events</w:t>
      </w:r>
      <w:r w:rsidR="00F77DA9" w:rsidRPr="00D33B70">
        <w:t xml:space="preserve">.  </w:t>
      </w:r>
      <w:r w:rsidR="00CD042B" w:rsidRPr="00D33B70">
        <w:t>This results in five properties with above floor flooding being saved in the 1% AEP event in the lower part of the study area.</w:t>
      </w:r>
    </w:p>
    <w:p w:rsidR="00CC5D90" w:rsidRPr="00D33B70" w:rsidRDefault="00CC5D90" w:rsidP="00CC5D90">
      <w:pPr>
        <w:pStyle w:val="Caption"/>
        <w:numPr>
          <w:ilvl w:val="12"/>
          <w:numId w:val="0"/>
        </w:numPr>
        <w:ind w:left="851"/>
      </w:pPr>
      <w:bookmarkStart w:id="300" w:name="_Ref233005131"/>
      <w:bookmarkStart w:id="301" w:name="_Toc236553388"/>
      <w:bookmarkStart w:id="302" w:name="_Toc280014011"/>
      <w:bookmarkStart w:id="303" w:name="_Toc295475236"/>
      <w:bookmarkStart w:id="304" w:name="_Toc295914235"/>
      <w:bookmarkStart w:id="305" w:name="_Toc387308989"/>
      <w:r w:rsidRPr="00D33B70">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7</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4</w:t>
      </w:r>
      <w:r w:rsidR="00FF3C04" w:rsidRPr="00D33B70">
        <w:fldChar w:fldCharType="end"/>
      </w:r>
      <w:bookmarkEnd w:id="300"/>
      <w:r w:rsidRPr="00D33B70">
        <w:tab/>
        <w:t>Reduction in Flooded Properties – Scheme Two</w:t>
      </w:r>
      <w:bookmarkEnd w:id="301"/>
      <w:bookmarkEnd w:id="302"/>
      <w:bookmarkEnd w:id="303"/>
      <w:bookmarkEnd w:id="304"/>
      <w:bookmarkEnd w:id="305"/>
    </w:p>
    <w:tbl>
      <w:tblPr>
        <w:tblW w:w="0" w:type="auto"/>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5"/>
        <w:gridCol w:w="1276"/>
        <w:gridCol w:w="1276"/>
        <w:gridCol w:w="1277"/>
        <w:gridCol w:w="1279"/>
        <w:gridCol w:w="1280"/>
        <w:gridCol w:w="1275"/>
      </w:tblGrid>
      <w:tr w:rsidR="00CC5D90" w:rsidRPr="00D33B70" w:rsidTr="00CC5D90">
        <w:tc>
          <w:tcPr>
            <w:tcW w:w="1125" w:type="dxa"/>
            <w:vMerge w:val="restart"/>
            <w:tcBorders>
              <w:top w:val="single" w:sz="6" w:space="0" w:color="auto"/>
              <w:left w:val="single" w:sz="6" w:space="0" w:color="auto"/>
              <w:right w:val="single" w:sz="6" w:space="0" w:color="auto"/>
            </w:tcBorders>
            <w:shd w:val="pct10" w:color="auto" w:fill="auto"/>
            <w:vAlign w:val="center"/>
          </w:tcPr>
          <w:p w:rsidR="00CC5D90" w:rsidRPr="00D33B70" w:rsidRDefault="00CC5D90" w:rsidP="00CC5D90">
            <w:pPr>
              <w:numPr>
                <w:ilvl w:val="12"/>
                <w:numId w:val="0"/>
              </w:numPr>
              <w:jc w:val="center"/>
              <w:rPr>
                <w:b/>
              </w:rPr>
            </w:pPr>
            <w:r w:rsidRPr="00D33B70">
              <w:rPr>
                <w:b/>
              </w:rPr>
              <w:t>AEP</w:t>
            </w:r>
          </w:p>
        </w:tc>
        <w:tc>
          <w:tcPr>
            <w:tcW w:w="2552" w:type="dxa"/>
            <w:gridSpan w:val="2"/>
            <w:tcBorders>
              <w:top w:val="single" w:sz="6" w:space="0" w:color="auto"/>
              <w:left w:val="single" w:sz="6" w:space="0" w:color="auto"/>
              <w:bottom w:val="single" w:sz="6" w:space="0" w:color="auto"/>
              <w:right w:val="single" w:sz="6" w:space="0" w:color="auto"/>
            </w:tcBorders>
            <w:shd w:val="pct10" w:color="auto" w:fill="auto"/>
            <w:vAlign w:val="center"/>
          </w:tcPr>
          <w:p w:rsidR="00CC5D90" w:rsidRPr="00D33B70" w:rsidRDefault="00CC5D90" w:rsidP="00CC5D90">
            <w:pPr>
              <w:numPr>
                <w:ilvl w:val="12"/>
                <w:numId w:val="0"/>
              </w:numPr>
              <w:spacing w:before="60" w:after="60"/>
              <w:jc w:val="center"/>
              <w:rPr>
                <w:b/>
              </w:rPr>
            </w:pPr>
            <w:r w:rsidRPr="00D33B70">
              <w:rPr>
                <w:b/>
              </w:rPr>
              <w:t>No. Flooded Grounds</w:t>
            </w:r>
          </w:p>
        </w:tc>
        <w:tc>
          <w:tcPr>
            <w:tcW w:w="1277" w:type="dxa"/>
            <w:vMerge w:val="restart"/>
            <w:tcBorders>
              <w:top w:val="single" w:sz="6" w:space="0" w:color="auto"/>
              <w:left w:val="single" w:sz="6" w:space="0" w:color="auto"/>
              <w:right w:val="single" w:sz="6" w:space="0" w:color="auto"/>
            </w:tcBorders>
            <w:shd w:val="pct10" w:color="auto" w:fill="auto"/>
            <w:vAlign w:val="center"/>
          </w:tcPr>
          <w:p w:rsidR="00CC5D90" w:rsidRPr="00D33B70" w:rsidRDefault="00CC5D90" w:rsidP="00CC5D90">
            <w:pPr>
              <w:numPr>
                <w:ilvl w:val="12"/>
                <w:numId w:val="0"/>
              </w:numPr>
              <w:jc w:val="center"/>
              <w:rPr>
                <w:b/>
              </w:rPr>
            </w:pPr>
            <w:r w:rsidRPr="00D33B70">
              <w:rPr>
                <w:b/>
              </w:rPr>
              <w:t>Reduction</w:t>
            </w:r>
          </w:p>
        </w:tc>
        <w:tc>
          <w:tcPr>
            <w:tcW w:w="2559" w:type="dxa"/>
            <w:gridSpan w:val="2"/>
            <w:tcBorders>
              <w:top w:val="single" w:sz="6" w:space="0" w:color="auto"/>
              <w:left w:val="single" w:sz="6" w:space="0" w:color="auto"/>
              <w:bottom w:val="single" w:sz="6" w:space="0" w:color="auto"/>
              <w:right w:val="single" w:sz="6" w:space="0" w:color="auto"/>
            </w:tcBorders>
            <w:shd w:val="pct10" w:color="auto" w:fill="auto"/>
            <w:vAlign w:val="center"/>
          </w:tcPr>
          <w:p w:rsidR="00CC5D90" w:rsidRPr="00D33B70" w:rsidRDefault="00CC5D90" w:rsidP="00CC5D90">
            <w:pPr>
              <w:numPr>
                <w:ilvl w:val="12"/>
                <w:numId w:val="0"/>
              </w:numPr>
              <w:spacing w:before="60" w:after="60"/>
              <w:jc w:val="center"/>
              <w:rPr>
                <w:b/>
              </w:rPr>
            </w:pPr>
            <w:r w:rsidRPr="00D33B70">
              <w:rPr>
                <w:b/>
              </w:rPr>
              <w:t>No. Flooded Floors*</w:t>
            </w:r>
          </w:p>
        </w:tc>
        <w:tc>
          <w:tcPr>
            <w:tcW w:w="1275" w:type="dxa"/>
            <w:vMerge w:val="restart"/>
            <w:tcBorders>
              <w:top w:val="single" w:sz="6" w:space="0" w:color="auto"/>
              <w:left w:val="single" w:sz="6" w:space="0" w:color="auto"/>
              <w:right w:val="single" w:sz="6" w:space="0" w:color="auto"/>
            </w:tcBorders>
            <w:shd w:val="pct10" w:color="auto" w:fill="auto"/>
            <w:vAlign w:val="center"/>
          </w:tcPr>
          <w:p w:rsidR="00CC5D90" w:rsidRPr="00D33B70" w:rsidRDefault="00CC5D90" w:rsidP="00CC5D90">
            <w:pPr>
              <w:numPr>
                <w:ilvl w:val="12"/>
                <w:numId w:val="0"/>
              </w:numPr>
              <w:jc w:val="center"/>
              <w:rPr>
                <w:b/>
              </w:rPr>
            </w:pPr>
            <w:r w:rsidRPr="00D33B70">
              <w:rPr>
                <w:b/>
              </w:rPr>
              <w:t>Reduction</w:t>
            </w:r>
          </w:p>
        </w:tc>
      </w:tr>
      <w:tr w:rsidR="00CC5D90" w:rsidRPr="00D33B70" w:rsidTr="00CC5D90">
        <w:tc>
          <w:tcPr>
            <w:tcW w:w="1125" w:type="dxa"/>
            <w:vMerge/>
            <w:tcBorders>
              <w:left w:val="single" w:sz="6" w:space="0" w:color="auto"/>
              <w:bottom w:val="single" w:sz="6" w:space="0" w:color="auto"/>
              <w:right w:val="single" w:sz="6" w:space="0" w:color="auto"/>
            </w:tcBorders>
            <w:shd w:val="pct10" w:color="auto" w:fill="auto"/>
            <w:vAlign w:val="center"/>
          </w:tcPr>
          <w:p w:rsidR="00CC5D90" w:rsidRPr="00D33B70" w:rsidRDefault="00CC5D90" w:rsidP="00CC5D90">
            <w:pPr>
              <w:numPr>
                <w:ilvl w:val="12"/>
                <w:numId w:val="0"/>
              </w:numPr>
              <w:jc w:val="center"/>
              <w:rPr>
                <w:b/>
              </w:rPr>
            </w:pPr>
          </w:p>
        </w:tc>
        <w:tc>
          <w:tcPr>
            <w:tcW w:w="1276" w:type="dxa"/>
            <w:tcBorders>
              <w:top w:val="single" w:sz="6" w:space="0" w:color="auto"/>
              <w:left w:val="single" w:sz="6" w:space="0" w:color="auto"/>
              <w:bottom w:val="single" w:sz="6" w:space="0" w:color="auto"/>
              <w:right w:val="single" w:sz="6" w:space="0" w:color="auto"/>
            </w:tcBorders>
            <w:shd w:val="pct10" w:color="auto" w:fill="auto"/>
            <w:vAlign w:val="center"/>
          </w:tcPr>
          <w:p w:rsidR="00CC5D90" w:rsidRPr="00D33B70" w:rsidRDefault="00CC5D90" w:rsidP="00CC5D90">
            <w:pPr>
              <w:numPr>
                <w:ilvl w:val="12"/>
                <w:numId w:val="0"/>
              </w:numPr>
              <w:spacing w:before="60" w:after="60"/>
              <w:jc w:val="center"/>
              <w:rPr>
                <w:b/>
              </w:rPr>
            </w:pPr>
            <w:r w:rsidRPr="00D33B70">
              <w:rPr>
                <w:b/>
              </w:rPr>
              <w:t>Existing</w:t>
            </w:r>
          </w:p>
        </w:tc>
        <w:tc>
          <w:tcPr>
            <w:tcW w:w="1276" w:type="dxa"/>
            <w:tcBorders>
              <w:top w:val="single" w:sz="6" w:space="0" w:color="auto"/>
              <w:left w:val="single" w:sz="6" w:space="0" w:color="auto"/>
              <w:bottom w:val="single" w:sz="6" w:space="0" w:color="auto"/>
              <w:right w:val="single" w:sz="6" w:space="0" w:color="auto"/>
            </w:tcBorders>
            <w:shd w:val="pct10" w:color="auto" w:fill="auto"/>
            <w:vAlign w:val="center"/>
          </w:tcPr>
          <w:p w:rsidR="00CC5D90" w:rsidRPr="00D33B70" w:rsidRDefault="00CC5D90" w:rsidP="00CC5D90">
            <w:pPr>
              <w:numPr>
                <w:ilvl w:val="12"/>
                <w:numId w:val="0"/>
              </w:numPr>
              <w:spacing w:before="60" w:after="60"/>
              <w:jc w:val="center"/>
              <w:rPr>
                <w:b/>
              </w:rPr>
            </w:pPr>
            <w:r w:rsidRPr="00D33B70">
              <w:rPr>
                <w:b/>
              </w:rPr>
              <w:t>Scheme Two</w:t>
            </w:r>
          </w:p>
        </w:tc>
        <w:tc>
          <w:tcPr>
            <w:tcW w:w="1277" w:type="dxa"/>
            <w:vMerge/>
            <w:tcBorders>
              <w:left w:val="single" w:sz="6" w:space="0" w:color="auto"/>
              <w:bottom w:val="single" w:sz="6" w:space="0" w:color="auto"/>
              <w:right w:val="single" w:sz="6" w:space="0" w:color="auto"/>
            </w:tcBorders>
            <w:shd w:val="pct10" w:color="auto" w:fill="auto"/>
            <w:vAlign w:val="center"/>
          </w:tcPr>
          <w:p w:rsidR="00CC5D90" w:rsidRPr="00D33B70" w:rsidRDefault="00CC5D90" w:rsidP="00CC5D90">
            <w:pPr>
              <w:numPr>
                <w:ilvl w:val="12"/>
                <w:numId w:val="0"/>
              </w:numPr>
              <w:jc w:val="center"/>
              <w:rPr>
                <w:b/>
              </w:rPr>
            </w:pPr>
          </w:p>
        </w:tc>
        <w:tc>
          <w:tcPr>
            <w:tcW w:w="1279" w:type="dxa"/>
            <w:tcBorders>
              <w:top w:val="single" w:sz="6" w:space="0" w:color="auto"/>
              <w:left w:val="single" w:sz="6" w:space="0" w:color="auto"/>
              <w:bottom w:val="single" w:sz="6" w:space="0" w:color="auto"/>
              <w:right w:val="single" w:sz="6" w:space="0" w:color="auto"/>
            </w:tcBorders>
            <w:shd w:val="pct10" w:color="auto" w:fill="auto"/>
            <w:vAlign w:val="center"/>
          </w:tcPr>
          <w:p w:rsidR="00CC5D90" w:rsidRPr="00D33B70" w:rsidRDefault="00CC5D90" w:rsidP="00CC5D90">
            <w:pPr>
              <w:numPr>
                <w:ilvl w:val="12"/>
                <w:numId w:val="0"/>
              </w:numPr>
              <w:spacing w:before="60" w:after="60"/>
              <w:jc w:val="center"/>
              <w:rPr>
                <w:b/>
                <w:color w:val="000000"/>
                <w:spacing w:val="0"/>
              </w:rPr>
            </w:pPr>
            <w:r w:rsidRPr="00D33B70">
              <w:rPr>
                <w:b/>
                <w:color w:val="000000"/>
                <w:spacing w:val="0"/>
              </w:rPr>
              <w:t>Existing</w:t>
            </w:r>
          </w:p>
        </w:tc>
        <w:tc>
          <w:tcPr>
            <w:tcW w:w="1280" w:type="dxa"/>
            <w:tcBorders>
              <w:top w:val="single" w:sz="6" w:space="0" w:color="auto"/>
              <w:left w:val="single" w:sz="6" w:space="0" w:color="auto"/>
              <w:bottom w:val="single" w:sz="6" w:space="0" w:color="auto"/>
              <w:right w:val="single" w:sz="6" w:space="0" w:color="auto"/>
            </w:tcBorders>
            <w:shd w:val="pct10" w:color="auto" w:fill="auto"/>
            <w:vAlign w:val="center"/>
          </w:tcPr>
          <w:p w:rsidR="00CC5D90" w:rsidRPr="00D33B70" w:rsidRDefault="00CC5D90" w:rsidP="00CC5D90">
            <w:pPr>
              <w:numPr>
                <w:ilvl w:val="12"/>
                <w:numId w:val="0"/>
              </w:numPr>
              <w:spacing w:before="60" w:after="60"/>
              <w:jc w:val="center"/>
              <w:rPr>
                <w:b/>
              </w:rPr>
            </w:pPr>
            <w:r w:rsidRPr="00D33B70">
              <w:rPr>
                <w:b/>
              </w:rPr>
              <w:t>Scheme Two</w:t>
            </w:r>
          </w:p>
        </w:tc>
        <w:tc>
          <w:tcPr>
            <w:tcW w:w="1275" w:type="dxa"/>
            <w:vMerge/>
            <w:tcBorders>
              <w:left w:val="single" w:sz="6" w:space="0" w:color="auto"/>
              <w:bottom w:val="single" w:sz="6" w:space="0" w:color="auto"/>
              <w:right w:val="single" w:sz="6" w:space="0" w:color="auto"/>
            </w:tcBorders>
            <w:shd w:val="pct10" w:color="auto" w:fill="auto"/>
            <w:vAlign w:val="center"/>
          </w:tcPr>
          <w:p w:rsidR="00CC5D90" w:rsidRPr="00D33B70" w:rsidRDefault="00CC5D90" w:rsidP="00CC5D90">
            <w:pPr>
              <w:numPr>
                <w:ilvl w:val="12"/>
                <w:numId w:val="0"/>
              </w:numPr>
              <w:jc w:val="center"/>
              <w:rPr>
                <w:b/>
              </w:rPr>
            </w:pPr>
          </w:p>
        </w:tc>
      </w:tr>
      <w:tr w:rsidR="00CC5EF1" w:rsidRPr="00D33B70" w:rsidTr="00CC5D90">
        <w:tc>
          <w:tcPr>
            <w:tcW w:w="1125"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CC5D90">
            <w:pPr>
              <w:numPr>
                <w:ilvl w:val="12"/>
                <w:numId w:val="0"/>
              </w:numPr>
              <w:spacing w:before="60" w:after="60"/>
              <w:jc w:val="center"/>
              <w:rPr>
                <w:color w:val="000000"/>
                <w:spacing w:val="0"/>
              </w:rPr>
            </w:pPr>
            <w:r w:rsidRPr="00D33B70">
              <w:rPr>
                <w:color w:val="000000"/>
                <w:spacing w:val="0"/>
              </w:rPr>
              <w:t>20%</w:t>
            </w:r>
          </w:p>
        </w:tc>
        <w:tc>
          <w:tcPr>
            <w:tcW w:w="1276" w:type="dxa"/>
            <w:tcBorders>
              <w:top w:val="single" w:sz="6" w:space="0" w:color="auto"/>
              <w:left w:val="single" w:sz="6" w:space="0" w:color="auto"/>
              <w:bottom w:val="single" w:sz="6" w:space="0" w:color="auto"/>
              <w:right w:val="single" w:sz="6" w:space="0" w:color="auto"/>
            </w:tcBorders>
            <w:vAlign w:val="bottom"/>
          </w:tcPr>
          <w:p w:rsidR="00CC5EF1" w:rsidRPr="00D33B70" w:rsidRDefault="00CC5EF1" w:rsidP="003F5B42">
            <w:pPr>
              <w:numPr>
                <w:ilvl w:val="12"/>
                <w:numId w:val="0"/>
              </w:numPr>
              <w:spacing w:before="60" w:after="60"/>
              <w:jc w:val="center"/>
              <w:rPr>
                <w:color w:val="000000"/>
                <w:spacing w:val="0"/>
              </w:rPr>
            </w:pPr>
            <w:r w:rsidRPr="00D33B70">
              <w:rPr>
                <w:color w:val="000000"/>
                <w:spacing w:val="0"/>
              </w:rPr>
              <w:t>1402</w:t>
            </w:r>
          </w:p>
        </w:tc>
        <w:tc>
          <w:tcPr>
            <w:tcW w:w="1276" w:type="dxa"/>
            <w:tcBorders>
              <w:top w:val="single" w:sz="6" w:space="0" w:color="auto"/>
              <w:left w:val="single" w:sz="6" w:space="0" w:color="auto"/>
              <w:bottom w:val="single" w:sz="6" w:space="0" w:color="auto"/>
              <w:right w:val="single" w:sz="6" w:space="0" w:color="auto"/>
            </w:tcBorders>
            <w:vAlign w:val="center"/>
          </w:tcPr>
          <w:p w:rsidR="00CC5EF1" w:rsidRPr="00D33B70" w:rsidRDefault="00166E13" w:rsidP="00CC5D90">
            <w:pPr>
              <w:jc w:val="center"/>
              <w:rPr>
                <w:color w:val="000000"/>
                <w:spacing w:val="0"/>
              </w:rPr>
            </w:pPr>
            <w:r w:rsidRPr="00D33B70">
              <w:rPr>
                <w:color w:val="000000"/>
                <w:spacing w:val="0"/>
              </w:rPr>
              <w:t>1402</w:t>
            </w:r>
          </w:p>
        </w:tc>
        <w:tc>
          <w:tcPr>
            <w:tcW w:w="1277" w:type="dxa"/>
            <w:tcBorders>
              <w:top w:val="single" w:sz="6" w:space="0" w:color="auto"/>
              <w:left w:val="single" w:sz="6" w:space="0" w:color="auto"/>
              <w:bottom w:val="single" w:sz="6" w:space="0" w:color="auto"/>
              <w:right w:val="single" w:sz="6" w:space="0" w:color="auto"/>
            </w:tcBorders>
            <w:vAlign w:val="center"/>
          </w:tcPr>
          <w:p w:rsidR="00CC5EF1" w:rsidRPr="00D33B70" w:rsidRDefault="00710DC2" w:rsidP="00CC5D90">
            <w:pPr>
              <w:numPr>
                <w:ilvl w:val="12"/>
                <w:numId w:val="0"/>
              </w:numPr>
              <w:spacing w:before="60" w:after="60"/>
              <w:jc w:val="center"/>
              <w:rPr>
                <w:b/>
                <w:i/>
              </w:rPr>
            </w:pPr>
            <w:r w:rsidRPr="00D33B70">
              <w:rPr>
                <w:b/>
                <w:i/>
              </w:rPr>
              <w:t>0</w:t>
            </w:r>
          </w:p>
        </w:tc>
        <w:tc>
          <w:tcPr>
            <w:tcW w:w="1279" w:type="dxa"/>
            <w:tcBorders>
              <w:top w:val="single" w:sz="6" w:space="0" w:color="auto"/>
              <w:left w:val="single" w:sz="6" w:space="0" w:color="auto"/>
              <w:bottom w:val="single" w:sz="6" w:space="0" w:color="auto"/>
              <w:right w:val="single" w:sz="6" w:space="0" w:color="auto"/>
            </w:tcBorders>
            <w:vAlign w:val="bottom"/>
          </w:tcPr>
          <w:p w:rsidR="00CC5EF1" w:rsidRPr="00D33B70" w:rsidRDefault="00CC5EF1" w:rsidP="003F5B42">
            <w:pPr>
              <w:numPr>
                <w:ilvl w:val="12"/>
                <w:numId w:val="0"/>
              </w:numPr>
              <w:spacing w:before="60" w:after="60"/>
              <w:jc w:val="center"/>
              <w:rPr>
                <w:color w:val="000000"/>
                <w:spacing w:val="0"/>
              </w:rPr>
            </w:pPr>
            <w:r w:rsidRPr="00D33B70">
              <w:rPr>
                <w:color w:val="000000"/>
                <w:spacing w:val="0"/>
              </w:rPr>
              <w:t>14</w:t>
            </w:r>
          </w:p>
        </w:tc>
        <w:tc>
          <w:tcPr>
            <w:tcW w:w="1280"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CC5D90">
            <w:pPr>
              <w:jc w:val="center"/>
              <w:rPr>
                <w:color w:val="000000"/>
                <w:spacing w:val="0"/>
              </w:rPr>
            </w:pPr>
            <w:r w:rsidRPr="00D33B70">
              <w:rPr>
                <w:color w:val="000000"/>
                <w:spacing w:val="0"/>
              </w:rPr>
              <w:t>13</w:t>
            </w:r>
          </w:p>
        </w:tc>
        <w:tc>
          <w:tcPr>
            <w:tcW w:w="1275" w:type="dxa"/>
            <w:tcBorders>
              <w:top w:val="single" w:sz="6" w:space="0" w:color="auto"/>
              <w:left w:val="single" w:sz="6" w:space="0" w:color="auto"/>
              <w:bottom w:val="single" w:sz="6" w:space="0" w:color="auto"/>
              <w:right w:val="single" w:sz="6" w:space="0" w:color="auto"/>
            </w:tcBorders>
            <w:vAlign w:val="bottom"/>
          </w:tcPr>
          <w:p w:rsidR="00CC5EF1" w:rsidRPr="00D33B70" w:rsidRDefault="00CC5EF1" w:rsidP="00CC5D90">
            <w:pPr>
              <w:jc w:val="center"/>
              <w:rPr>
                <w:rFonts w:ascii="Calibri" w:hAnsi="Calibri" w:cs="Calibri"/>
                <w:b/>
                <w:i/>
                <w:color w:val="000000"/>
                <w:sz w:val="22"/>
                <w:szCs w:val="22"/>
              </w:rPr>
            </w:pPr>
            <w:r w:rsidRPr="00D33B70">
              <w:rPr>
                <w:rFonts w:ascii="Calibri" w:hAnsi="Calibri" w:cs="Calibri"/>
                <w:b/>
                <w:i/>
                <w:color w:val="000000"/>
                <w:sz w:val="22"/>
                <w:szCs w:val="22"/>
              </w:rPr>
              <w:t>1</w:t>
            </w:r>
          </w:p>
        </w:tc>
      </w:tr>
      <w:tr w:rsidR="00CC5EF1" w:rsidRPr="00D33B70" w:rsidTr="00CC5D90">
        <w:tc>
          <w:tcPr>
            <w:tcW w:w="1125"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CC5D90">
            <w:pPr>
              <w:numPr>
                <w:ilvl w:val="12"/>
                <w:numId w:val="0"/>
              </w:numPr>
              <w:spacing w:before="60" w:after="60"/>
              <w:jc w:val="center"/>
              <w:rPr>
                <w:color w:val="000000"/>
                <w:spacing w:val="0"/>
              </w:rPr>
            </w:pPr>
            <w:r w:rsidRPr="00D33B70">
              <w:rPr>
                <w:color w:val="000000"/>
                <w:spacing w:val="0"/>
              </w:rPr>
              <w:t>10%</w:t>
            </w:r>
          </w:p>
        </w:tc>
        <w:tc>
          <w:tcPr>
            <w:tcW w:w="1276" w:type="dxa"/>
            <w:tcBorders>
              <w:top w:val="single" w:sz="6" w:space="0" w:color="auto"/>
              <w:left w:val="single" w:sz="6" w:space="0" w:color="auto"/>
              <w:bottom w:val="single" w:sz="6" w:space="0" w:color="auto"/>
              <w:right w:val="single" w:sz="6" w:space="0" w:color="auto"/>
            </w:tcBorders>
            <w:vAlign w:val="bottom"/>
          </w:tcPr>
          <w:p w:rsidR="00CC5EF1" w:rsidRPr="00D33B70" w:rsidRDefault="00CC5EF1" w:rsidP="003F5B42">
            <w:pPr>
              <w:numPr>
                <w:ilvl w:val="12"/>
                <w:numId w:val="0"/>
              </w:numPr>
              <w:spacing w:before="60" w:after="60"/>
              <w:jc w:val="center"/>
              <w:rPr>
                <w:color w:val="000000"/>
                <w:spacing w:val="0"/>
              </w:rPr>
            </w:pPr>
            <w:r w:rsidRPr="00D33B70">
              <w:rPr>
                <w:color w:val="000000"/>
                <w:spacing w:val="0"/>
              </w:rPr>
              <w:t>1719</w:t>
            </w:r>
          </w:p>
        </w:tc>
        <w:tc>
          <w:tcPr>
            <w:tcW w:w="1276"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CC5D90">
            <w:pPr>
              <w:jc w:val="center"/>
              <w:rPr>
                <w:color w:val="000000"/>
                <w:spacing w:val="0"/>
              </w:rPr>
            </w:pPr>
            <w:r w:rsidRPr="00D33B70">
              <w:rPr>
                <w:color w:val="000000"/>
                <w:spacing w:val="0"/>
              </w:rPr>
              <w:t>1718</w:t>
            </w:r>
          </w:p>
        </w:tc>
        <w:tc>
          <w:tcPr>
            <w:tcW w:w="1277" w:type="dxa"/>
            <w:tcBorders>
              <w:top w:val="single" w:sz="6" w:space="0" w:color="auto"/>
              <w:left w:val="single" w:sz="6" w:space="0" w:color="auto"/>
              <w:bottom w:val="single" w:sz="6" w:space="0" w:color="auto"/>
              <w:right w:val="single" w:sz="6" w:space="0" w:color="auto"/>
            </w:tcBorders>
            <w:vAlign w:val="center"/>
          </w:tcPr>
          <w:p w:rsidR="00CC5EF1" w:rsidRPr="00D33B70" w:rsidRDefault="00710DC2" w:rsidP="00CC5D90">
            <w:pPr>
              <w:numPr>
                <w:ilvl w:val="12"/>
                <w:numId w:val="0"/>
              </w:numPr>
              <w:spacing w:before="60" w:after="60"/>
              <w:jc w:val="center"/>
              <w:rPr>
                <w:b/>
                <w:i/>
              </w:rPr>
            </w:pPr>
            <w:r w:rsidRPr="00D33B70">
              <w:rPr>
                <w:b/>
                <w:i/>
              </w:rPr>
              <w:t>1</w:t>
            </w:r>
          </w:p>
        </w:tc>
        <w:tc>
          <w:tcPr>
            <w:tcW w:w="1279" w:type="dxa"/>
            <w:tcBorders>
              <w:top w:val="single" w:sz="6" w:space="0" w:color="auto"/>
              <w:left w:val="single" w:sz="6" w:space="0" w:color="auto"/>
              <w:bottom w:val="single" w:sz="6" w:space="0" w:color="auto"/>
              <w:right w:val="single" w:sz="6" w:space="0" w:color="auto"/>
            </w:tcBorders>
            <w:vAlign w:val="bottom"/>
          </w:tcPr>
          <w:p w:rsidR="00CC5EF1" w:rsidRPr="00D33B70" w:rsidRDefault="00CC5EF1" w:rsidP="003F5B42">
            <w:pPr>
              <w:numPr>
                <w:ilvl w:val="12"/>
                <w:numId w:val="0"/>
              </w:numPr>
              <w:spacing w:before="60" w:after="60"/>
              <w:jc w:val="center"/>
              <w:rPr>
                <w:color w:val="000000"/>
                <w:spacing w:val="0"/>
              </w:rPr>
            </w:pPr>
            <w:r w:rsidRPr="00D33B70">
              <w:rPr>
                <w:color w:val="000000"/>
                <w:spacing w:val="0"/>
              </w:rPr>
              <w:t>16</w:t>
            </w:r>
          </w:p>
        </w:tc>
        <w:tc>
          <w:tcPr>
            <w:tcW w:w="1280"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CC5D90">
            <w:pPr>
              <w:jc w:val="center"/>
              <w:rPr>
                <w:color w:val="000000"/>
                <w:spacing w:val="0"/>
              </w:rPr>
            </w:pPr>
            <w:r w:rsidRPr="00D33B70">
              <w:rPr>
                <w:color w:val="000000"/>
                <w:spacing w:val="0"/>
              </w:rPr>
              <w:t>15</w:t>
            </w:r>
          </w:p>
        </w:tc>
        <w:tc>
          <w:tcPr>
            <w:tcW w:w="1275" w:type="dxa"/>
            <w:tcBorders>
              <w:top w:val="single" w:sz="6" w:space="0" w:color="auto"/>
              <w:left w:val="single" w:sz="6" w:space="0" w:color="auto"/>
              <w:bottom w:val="single" w:sz="6" w:space="0" w:color="auto"/>
              <w:right w:val="single" w:sz="6" w:space="0" w:color="auto"/>
            </w:tcBorders>
            <w:vAlign w:val="bottom"/>
          </w:tcPr>
          <w:p w:rsidR="00CC5EF1" w:rsidRPr="00D33B70" w:rsidRDefault="00CC5EF1" w:rsidP="00CC5D90">
            <w:pPr>
              <w:jc w:val="center"/>
              <w:rPr>
                <w:rFonts w:ascii="Calibri" w:hAnsi="Calibri" w:cs="Calibri"/>
                <w:b/>
                <w:i/>
                <w:color w:val="000000"/>
                <w:sz w:val="22"/>
                <w:szCs w:val="22"/>
              </w:rPr>
            </w:pPr>
            <w:r w:rsidRPr="00D33B70">
              <w:rPr>
                <w:rFonts w:ascii="Calibri" w:hAnsi="Calibri" w:cs="Calibri"/>
                <w:b/>
                <w:i/>
                <w:color w:val="000000"/>
                <w:sz w:val="22"/>
                <w:szCs w:val="22"/>
              </w:rPr>
              <w:t>1</w:t>
            </w:r>
          </w:p>
        </w:tc>
      </w:tr>
      <w:tr w:rsidR="00CC5EF1" w:rsidRPr="00D33B70" w:rsidTr="00CC5D90">
        <w:tc>
          <w:tcPr>
            <w:tcW w:w="1125"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CC5D90">
            <w:pPr>
              <w:numPr>
                <w:ilvl w:val="12"/>
                <w:numId w:val="0"/>
              </w:numPr>
              <w:spacing w:before="60" w:after="60"/>
              <w:jc w:val="center"/>
              <w:rPr>
                <w:color w:val="000000"/>
                <w:spacing w:val="0"/>
              </w:rPr>
            </w:pPr>
            <w:r w:rsidRPr="00D33B70">
              <w:rPr>
                <w:color w:val="000000"/>
                <w:spacing w:val="0"/>
              </w:rPr>
              <w:t>5%</w:t>
            </w:r>
          </w:p>
        </w:tc>
        <w:tc>
          <w:tcPr>
            <w:tcW w:w="1276" w:type="dxa"/>
            <w:tcBorders>
              <w:top w:val="single" w:sz="6" w:space="0" w:color="auto"/>
              <w:left w:val="single" w:sz="6" w:space="0" w:color="auto"/>
              <w:bottom w:val="single" w:sz="6" w:space="0" w:color="auto"/>
              <w:right w:val="single" w:sz="6" w:space="0" w:color="auto"/>
            </w:tcBorders>
            <w:vAlign w:val="bottom"/>
          </w:tcPr>
          <w:p w:rsidR="00CC5EF1" w:rsidRPr="00D33B70" w:rsidRDefault="00CC5EF1" w:rsidP="003F5B42">
            <w:pPr>
              <w:numPr>
                <w:ilvl w:val="12"/>
                <w:numId w:val="0"/>
              </w:numPr>
              <w:spacing w:before="60" w:after="60"/>
              <w:jc w:val="center"/>
              <w:rPr>
                <w:color w:val="000000"/>
                <w:spacing w:val="0"/>
              </w:rPr>
            </w:pPr>
            <w:r w:rsidRPr="00D33B70">
              <w:rPr>
                <w:color w:val="000000"/>
                <w:spacing w:val="0"/>
              </w:rPr>
              <w:t>1976</w:t>
            </w:r>
          </w:p>
        </w:tc>
        <w:tc>
          <w:tcPr>
            <w:tcW w:w="1276" w:type="dxa"/>
            <w:tcBorders>
              <w:top w:val="single" w:sz="6" w:space="0" w:color="auto"/>
              <w:left w:val="single" w:sz="6" w:space="0" w:color="auto"/>
              <w:bottom w:val="single" w:sz="6" w:space="0" w:color="auto"/>
              <w:right w:val="single" w:sz="6" w:space="0" w:color="auto"/>
            </w:tcBorders>
            <w:vAlign w:val="center"/>
          </w:tcPr>
          <w:p w:rsidR="00CC5EF1" w:rsidRPr="00D33B70" w:rsidRDefault="00710DC2" w:rsidP="00CC5D90">
            <w:pPr>
              <w:jc w:val="center"/>
              <w:rPr>
                <w:color w:val="000000"/>
                <w:spacing w:val="0"/>
              </w:rPr>
            </w:pPr>
            <w:r w:rsidRPr="00D33B70">
              <w:rPr>
                <w:color w:val="000000"/>
                <w:spacing w:val="0"/>
              </w:rPr>
              <w:t>1976</w:t>
            </w:r>
          </w:p>
        </w:tc>
        <w:tc>
          <w:tcPr>
            <w:tcW w:w="1277" w:type="dxa"/>
            <w:tcBorders>
              <w:top w:val="single" w:sz="6" w:space="0" w:color="auto"/>
              <w:left w:val="single" w:sz="6" w:space="0" w:color="auto"/>
              <w:bottom w:val="single" w:sz="6" w:space="0" w:color="auto"/>
              <w:right w:val="single" w:sz="6" w:space="0" w:color="auto"/>
            </w:tcBorders>
            <w:vAlign w:val="center"/>
          </w:tcPr>
          <w:p w:rsidR="00CC5EF1" w:rsidRPr="00D33B70" w:rsidRDefault="00710DC2" w:rsidP="00CC5D90">
            <w:pPr>
              <w:numPr>
                <w:ilvl w:val="12"/>
                <w:numId w:val="0"/>
              </w:numPr>
              <w:spacing w:before="60" w:after="60"/>
              <w:jc w:val="center"/>
              <w:rPr>
                <w:b/>
                <w:i/>
              </w:rPr>
            </w:pPr>
            <w:r w:rsidRPr="00D33B70">
              <w:rPr>
                <w:b/>
                <w:i/>
              </w:rPr>
              <w:t>0</w:t>
            </w:r>
          </w:p>
        </w:tc>
        <w:tc>
          <w:tcPr>
            <w:tcW w:w="1279" w:type="dxa"/>
            <w:tcBorders>
              <w:top w:val="single" w:sz="6" w:space="0" w:color="auto"/>
              <w:left w:val="single" w:sz="6" w:space="0" w:color="auto"/>
              <w:bottom w:val="single" w:sz="6" w:space="0" w:color="auto"/>
              <w:right w:val="single" w:sz="6" w:space="0" w:color="auto"/>
            </w:tcBorders>
            <w:vAlign w:val="bottom"/>
          </w:tcPr>
          <w:p w:rsidR="00CC5EF1" w:rsidRPr="00D33B70" w:rsidRDefault="00CC5EF1" w:rsidP="003F5B42">
            <w:pPr>
              <w:numPr>
                <w:ilvl w:val="12"/>
                <w:numId w:val="0"/>
              </w:numPr>
              <w:spacing w:before="60" w:after="60"/>
              <w:jc w:val="center"/>
              <w:rPr>
                <w:color w:val="000000"/>
                <w:spacing w:val="0"/>
              </w:rPr>
            </w:pPr>
            <w:r w:rsidRPr="00D33B70">
              <w:rPr>
                <w:color w:val="000000"/>
                <w:spacing w:val="0"/>
              </w:rPr>
              <w:t>22</w:t>
            </w:r>
          </w:p>
        </w:tc>
        <w:tc>
          <w:tcPr>
            <w:tcW w:w="1280"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CC5D90">
            <w:pPr>
              <w:jc w:val="center"/>
              <w:rPr>
                <w:color w:val="000000"/>
                <w:spacing w:val="0"/>
              </w:rPr>
            </w:pPr>
            <w:r w:rsidRPr="00D33B70">
              <w:rPr>
                <w:color w:val="000000"/>
                <w:spacing w:val="0"/>
              </w:rPr>
              <w:t>21</w:t>
            </w:r>
          </w:p>
        </w:tc>
        <w:tc>
          <w:tcPr>
            <w:tcW w:w="1275" w:type="dxa"/>
            <w:tcBorders>
              <w:top w:val="single" w:sz="6" w:space="0" w:color="auto"/>
              <w:left w:val="single" w:sz="6" w:space="0" w:color="auto"/>
              <w:bottom w:val="single" w:sz="6" w:space="0" w:color="auto"/>
              <w:right w:val="single" w:sz="6" w:space="0" w:color="auto"/>
            </w:tcBorders>
            <w:vAlign w:val="bottom"/>
          </w:tcPr>
          <w:p w:rsidR="00CC5EF1" w:rsidRPr="00D33B70" w:rsidRDefault="00CC5EF1" w:rsidP="00CC5D90">
            <w:pPr>
              <w:jc w:val="center"/>
              <w:rPr>
                <w:rFonts w:ascii="Calibri" w:hAnsi="Calibri" w:cs="Calibri"/>
                <w:b/>
                <w:i/>
                <w:color w:val="000000"/>
                <w:sz w:val="22"/>
                <w:szCs w:val="22"/>
              </w:rPr>
            </w:pPr>
            <w:r w:rsidRPr="00D33B70">
              <w:rPr>
                <w:rFonts w:ascii="Calibri" w:hAnsi="Calibri" w:cs="Calibri"/>
                <w:b/>
                <w:i/>
                <w:color w:val="000000"/>
                <w:sz w:val="22"/>
                <w:szCs w:val="22"/>
              </w:rPr>
              <w:t>1</w:t>
            </w:r>
          </w:p>
        </w:tc>
      </w:tr>
      <w:tr w:rsidR="00CC5EF1" w:rsidRPr="00D33B70" w:rsidTr="00CC5D90">
        <w:tc>
          <w:tcPr>
            <w:tcW w:w="1125"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CC5D90">
            <w:pPr>
              <w:numPr>
                <w:ilvl w:val="12"/>
                <w:numId w:val="0"/>
              </w:numPr>
              <w:spacing w:before="60" w:after="60"/>
              <w:jc w:val="center"/>
              <w:rPr>
                <w:color w:val="000000"/>
                <w:spacing w:val="0"/>
              </w:rPr>
            </w:pPr>
            <w:r w:rsidRPr="00D33B70">
              <w:rPr>
                <w:color w:val="000000"/>
                <w:spacing w:val="0"/>
              </w:rPr>
              <w:t>1%</w:t>
            </w:r>
          </w:p>
        </w:tc>
        <w:tc>
          <w:tcPr>
            <w:tcW w:w="1276" w:type="dxa"/>
            <w:tcBorders>
              <w:top w:val="single" w:sz="6" w:space="0" w:color="auto"/>
              <w:left w:val="single" w:sz="6" w:space="0" w:color="auto"/>
              <w:bottom w:val="single" w:sz="6" w:space="0" w:color="auto"/>
              <w:right w:val="single" w:sz="6" w:space="0" w:color="auto"/>
            </w:tcBorders>
            <w:vAlign w:val="bottom"/>
          </w:tcPr>
          <w:p w:rsidR="00CC5EF1" w:rsidRPr="00D33B70" w:rsidRDefault="00CC5EF1" w:rsidP="003F5B42">
            <w:pPr>
              <w:numPr>
                <w:ilvl w:val="12"/>
                <w:numId w:val="0"/>
              </w:numPr>
              <w:spacing w:before="60" w:after="60"/>
              <w:jc w:val="center"/>
              <w:rPr>
                <w:color w:val="000000"/>
                <w:spacing w:val="0"/>
              </w:rPr>
            </w:pPr>
            <w:r w:rsidRPr="00D33B70">
              <w:rPr>
                <w:color w:val="000000"/>
                <w:spacing w:val="0"/>
              </w:rPr>
              <w:t>2318</w:t>
            </w:r>
          </w:p>
        </w:tc>
        <w:tc>
          <w:tcPr>
            <w:tcW w:w="1276" w:type="dxa"/>
            <w:tcBorders>
              <w:top w:val="single" w:sz="6" w:space="0" w:color="auto"/>
              <w:left w:val="single" w:sz="6" w:space="0" w:color="auto"/>
              <w:bottom w:val="single" w:sz="6" w:space="0" w:color="auto"/>
              <w:right w:val="single" w:sz="6" w:space="0" w:color="auto"/>
            </w:tcBorders>
            <w:vAlign w:val="center"/>
          </w:tcPr>
          <w:p w:rsidR="00CC5EF1" w:rsidRPr="00D33B70" w:rsidRDefault="00166E13" w:rsidP="00CC5D90">
            <w:pPr>
              <w:jc w:val="center"/>
              <w:rPr>
                <w:color w:val="000000"/>
                <w:spacing w:val="0"/>
              </w:rPr>
            </w:pPr>
            <w:r w:rsidRPr="00D33B70">
              <w:rPr>
                <w:color w:val="000000"/>
                <w:spacing w:val="0"/>
              </w:rPr>
              <w:t>2</w:t>
            </w:r>
            <w:r w:rsidR="00710DC2" w:rsidRPr="00D33B70">
              <w:rPr>
                <w:color w:val="000000"/>
                <w:spacing w:val="0"/>
              </w:rPr>
              <w:t>294</w:t>
            </w:r>
          </w:p>
        </w:tc>
        <w:tc>
          <w:tcPr>
            <w:tcW w:w="1277" w:type="dxa"/>
            <w:tcBorders>
              <w:top w:val="single" w:sz="6" w:space="0" w:color="auto"/>
              <w:left w:val="single" w:sz="6" w:space="0" w:color="auto"/>
              <w:bottom w:val="single" w:sz="6" w:space="0" w:color="auto"/>
              <w:right w:val="single" w:sz="6" w:space="0" w:color="auto"/>
            </w:tcBorders>
            <w:vAlign w:val="center"/>
          </w:tcPr>
          <w:p w:rsidR="00CC5EF1" w:rsidRPr="00D33B70" w:rsidRDefault="00710DC2" w:rsidP="00CC5D90">
            <w:pPr>
              <w:numPr>
                <w:ilvl w:val="12"/>
                <w:numId w:val="0"/>
              </w:numPr>
              <w:spacing w:before="60" w:after="60"/>
              <w:jc w:val="center"/>
              <w:rPr>
                <w:b/>
                <w:i/>
              </w:rPr>
            </w:pPr>
            <w:r w:rsidRPr="00D33B70">
              <w:rPr>
                <w:b/>
                <w:i/>
              </w:rPr>
              <w:t>24</w:t>
            </w:r>
          </w:p>
        </w:tc>
        <w:tc>
          <w:tcPr>
            <w:tcW w:w="1279" w:type="dxa"/>
            <w:tcBorders>
              <w:top w:val="single" w:sz="6" w:space="0" w:color="auto"/>
              <w:left w:val="single" w:sz="6" w:space="0" w:color="auto"/>
              <w:bottom w:val="single" w:sz="6" w:space="0" w:color="auto"/>
              <w:right w:val="single" w:sz="6" w:space="0" w:color="auto"/>
            </w:tcBorders>
            <w:vAlign w:val="bottom"/>
          </w:tcPr>
          <w:p w:rsidR="00CC5EF1" w:rsidRPr="00D33B70" w:rsidRDefault="00CC5EF1" w:rsidP="003F5B42">
            <w:pPr>
              <w:numPr>
                <w:ilvl w:val="12"/>
                <w:numId w:val="0"/>
              </w:numPr>
              <w:spacing w:before="60" w:after="60"/>
              <w:jc w:val="center"/>
              <w:rPr>
                <w:color w:val="000000"/>
                <w:spacing w:val="0"/>
              </w:rPr>
            </w:pPr>
            <w:r w:rsidRPr="00D33B70">
              <w:rPr>
                <w:color w:val="000000"/>
                <w:spacing w:val="0"/>
              </w:rPr>
              <w:t>35</w:t>
            </w:r>
          </w:p>
        </w:tc>
        <w:tc>
          <w:tcPr>
            <w:tcW w:w="1280"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CC5D90">
            <w:pPr>
              <w:jc w:val="center"/>
              <w:rPr>
                <w:color w:val="000000"/>
                <w:spacing w:val="0"/>
              </w:rPr>
            </w:pPr>
            <w:r w:rsidRPr="00D33B70">
              <w:rPr>
                <w:color w:val="000000"/>
                <w:spacing w:val="0"/>
              </w:rPr>
              <w:t>30</w:t>
            </w:r>
          </w:p>
        </w:tc>
        <w:tc>
          <w:tcPr>
            <w:tcW w:w="1275" w:type="dxa"/>
            <w:tcBorders>
              <w:top w:val="single" w:sz="6" w:space="0" w:color="auto"/>
              <w:left w:val="single" w:sz="6" w:space="0" w:color="auto"/>
              <w:bottom w:val="single" w:sz="6" w:space="0" w:color="auto"/>
              <w:right w:val="single" w:sz="6" w:space="0" w:color="auto"/>
            </w:tcBorders>
            <w:vAlign w:val="bottom"/>
          </w:tcPr>
          <w:p w:rsidR="00CC5EF1" w:rsidRPr="00D33B70" w:rsidRDefault="00CC5EF1" w:rsidP="00CC5D90">
            <w:pPr>
              <w:jc w:val="center"/>
              <w:rPr>
                <w:rFonts w:ascii="Calibri" w:hAnsi="Calibri" w:cs="Calibri"/>
                <w:b/>
                <w:i/>
                <w:color w:val="000000"/>
                <w:sz w:val="22"/>
                <w:szCs w:val="22"/>
              </w:rPr>
            </w:pPr>
            <w:r w:rsidRPr="00D33B70">
              <w:rPr>
                <w:rFonts w:ascii="Calibri" w:hAnsi="Calibri" w:cs="Calibri"/>
                <w:b/>
                <w:i/>
                <w:color w:val="000000"/>
                <w:sz w:val="22"/>
                <w:szCs w:val="22"/>
              </w:rPr>
              <w:t>5</w:t>
            </w:r>
          </w:p>
        </w:tc>
      </w:tr>
    </w:tbl>
    <w:p w:rsidR="00CC5D90" w:rsidRPr="00D33B70" w:rsidRDefault="00CC5D90" w:rsidP="00CC5D90">
      <w:pPr>
        <w:spacing w:before="60"/>
        <w:ind w:left="851"/>
        <w:rPr>
          <w:sz w:val="16"/>
        </w:rPr>
      </w:pPr>
      <w:r w:rsidRPr="00D33B70">
        <w:rPr>
          <w:sz w:val="16"/>
        </w:rPr>
        <w:t>*  Results based on properties surveyed by CoGG.</w:t>
      </w:r>
    </w:p>
    <w:p w:rsidR="00CC5D90" w:rsidRPr="00D33B70" w:rsidRDefault="00CC5D90" w:rsidP="00B26EF8">
      <w:pPr>
        <w:pStyle w:val="Heading4"/>
      </w:pPr>
      <w:bookmarkStart w:id="306" w:name="_Ref293478287"/>
      <w:bookmarkStart w:id="307" w:name="_Toc295740269"/>
      <w:bookmarkStart w:id="308" w:name="_Toc387308914"/>
      <w:r w:rsidRPr="00D33B70">
        <w:t>Scheme Three</w:t>
      </w:r>
      <w:bookmarkEnd w:id="306"/>
      <w:bookmarkEnd w:id="307"/>
      <w:bookmarkEnd w:id="308"/>
    </w:p>
    <w:p w:rsidR="00CC5D90" w:rsidRPr="00D33B70" w:rsidRDefault="00CC5D90" w:rsidP="00CC5D90">
      <w:pPr>
        <w:pStyle w:val="Text"/>
      </w:pPr>
      <w:r w:rsidRPr="00D33B70">
        <w:t>The change in peak flood height and the properties with above floor flooding, for Scheme T</w:t>
      </w:r>
      <w:r w:rsidR="002A4631" w:rsidRPr="00D33B70">
        <w:t>hree</w:t>
      </w:r>
      <w:r w:rsidRPr="00D33B70">
        <w:t xml:space="preserve"> of the </w:t>
      </w:r>
      <w:r w:rsidR="005163C0" w:rsidRPr="00D33B70">
        <w:t>study area</w:t>
      </w:r>
      <w:r w:rsidRPr="00D33B70">
        <w:t xml:space="preserve">, are mapped in </w:t>
      </w:r>
      <w:r w:rsidR="005163C0" w:rsidRPr="00D33B70">
        <w:fldChar w:fldCharType="begin"/>
      </w:r>
      <w:r w:rsidR="005163C0" w:rsidRPr="00D33B70">
        <w:instrText xml:space="preserve"> REF _Ref359425004 \h </w:instrText>
      </w:r>
      <w:r w:rsidR="00CD042B" w:rsidRPr="00D33B70">
        <w:instrText xml:space="preserve"> \* MERGEFORMAT </w:instrText>
      </w:r>
      <w:r w:rsidR="005163C0" w:rsidRPr="00D33B70">
        <w:fldChar w:fldCharType="separate"/>
      </w:r>
      <w:r w:rsidR="00AC6986" w:rsidRPr="00D33B70">
        <w:t xml:space="preserve">Figure </w:t>
      </w:r>
      <w:r w:rsidR="00AC6986">
        <w:rPr>
          <w:noProof/>
        </w:rPr>
        <w:t>7</w:t>
      </w:r>
      <w:r w:rsidR="00AC6986" w:rsidRPr="00D33B70">
        <w:rPr>
          <w:noProof/>
        </w:rPr>
        <w:noBreakHyphen/>
      </w:r>
      <w:r w:rsidR="00AC6986">
        <w:rPr>
          <w:noProof/>
        </w:rPr>
        <w:t>12</w:t>
      </w:r>
      <w:r w:rsidR="005163C0" w:rsidRPr="00D33B70">
        <w:fldChar w:fldCharType="end"/>
      </w:r>
      <w:r w:rsidR="005163C0" w:rsidRPr="00D33B70">
        <w:t xml:space="preserve"> </w:t>
      </w:r>
      <w:r w:rsidRPr="00D33B70">
        <w:t xml:space="preserve">to </w:t>
      </w:r>
      <w:r w:rsidR="005163C0" w:rsidRPr="00D33B70">
        <w:fldChar w:fldCharType="begin"/>
      </w:r>
      <w:r w:rsidR="005163C0" w:rsidRPr="00D33B70">
        <w:instrText xml:space="preserve"> REF _Ref359425011 \h </w:instrText>
      </w:r>
      <w:r w:rsidR="00CD042B" w:rsidRPr="00D33B70">
        <w:instrText xml:space="preserve"> \* MERGEFORMAT </w:instrText>
      </w:r>
      <w:r w:rsidR="005163C0" w:rsidRPr="00D33B70">
        <w:fldChar w:fldCharType="separate"/>
      </w:r>
      <w:r w:rsidR="00AC6986" w:rsidRPr="00D33B70">
        <w:t xml:space="preserve">Figure </w:t>
      </w:r>
      <w:r w:rsidR="00AC6986">
        <w:rPr>
          <w:noProof/>
        </w:rPr>
        <w:t>7</w:t>
      </w:r>
      <w:r w:rsidR="00AC6986" w:rsidRPr="00D33B70">
        <w:rPr>
          <w:noProof/>
        </w:rPr>
        <w:noBreakHyphen/>
      </w:r>
      <w:r w:rsidR="00AC6986">
        <w:rPr>
          <w:noProof/>
        </w:rPr>
        <w:t>15</w:t>
      </w:r>
      <w:r w:rsidR="005163C0" w:rsidRPr="00D33B70">
        <w:fldChar w:fldCharType="end"/>
      </w:r>
      <w:r w:rsidR="005163C0" w:rsidRPr="00D33B70">
        <w:t xml:space="preserve"> </w:t>
      </w:r>
      <w:r w:rsidRPr="00D33B70">
        <w:t xml:space="preserve">for the four flood events assessed.  </w:t>
      </w:r>
      <w:r w:rsidR="005163C0" w:rsidRPr="00D33B70">
        <w:fldChar w:fldCharType="begin"/>
      </w:r>
      <w:r w:rsidR="005163C0" w:rsidRPr="00D33B70">
        <w:instrText xml:space="preserve"> REF _Ref359425025 \h </w:instrText>
      </w:r>
      <w:r w:rsidR="00CD042B" w:rsidRPr="00D33B70">
        <w:instrText xml:space="preserve"> \* MERGEFORMAT </w:instrText>
      </w:r>
      <w:r w:rsidR="005163C0" w:rsidRPr="00D33B70">
        <w:fldChar w:fldCharType="separate"/>
      </w:r>
      <w:r w:rsidR="00AC6986" w:rsidRPr="00D33B70">
        <w:t xml:space="preserve">Table </w:t>
      </w:r>
      <w:r w:rsidR="00AC6986">
        <w:rPr>
          <w:noProof/>
        </w:rPr>
        <w:t>7</w:t>
      </w:r>
      <w:r w:rsidR="00AC6986" w:rsidRPr="00D33B70">
        <w:rPr>
          <w:noProof/>
        </w:rPr>
        <w:noBreakHyphen/>
      </w:r>
      <w:r w:rsidR="00AC6986">
        <w:rPr>
          <w:noProof/>
        </w:rPr>
        <w:t>5</w:t>
      </w:r>
      <w:r w:rsidR="005163C0" w:rsidRPr="00D33B70">
        <w:fldChar w:fldCharType="end"/>
      </w:r>
      <w:r w:rsidR="005163C0" w:rsidRPr="00D33B70">
        <w:t xml:space="preserve"> </w:t>
      </w:r>
      <w:r w:rsidRPr="00D33B70">
        <w:t>summarises the reduction in f</w:t>
      </w:r>
      <w:r w:rsidR="0086134D" w:rsidRPr="00D33B70">
        <w:t>looded properties for Scheme Three</w:t>
      </w:r>
      <w:r w:rsidRPr="00D33B70">
        <w:t>.</w:t>
      </w:r>
    </w:p>
    <w:p w:rsidR="00CD042B" w:rsidRPr="00D33B70" w:rsidRDefault="003D632D" w:rsidP="00CC5D90">
      <w:pPr>
        <w:pStyle w:val="Text"/>
      </w:pPr>
      <w:r w:rsidRPr="00D33B70">
        <w:t>As expected the reductions in flood levels associated with Scheme Three are similar to those observed in Schemes One and Two in th</w:t>
      </w:r>
      <w:r w:rsidR="0086134D" w:rsidRPr="00D33B70">
        <w:t>e focus areas.  As a result</w:t>
      </w:r>
      <w:r w:rsidR="002A4631" w:rsidRPr="00D33B70">
        <w:t>,</w:t>
      </w:r>
      <w:r w:rsidRPr="00D33B70">
        <w:t xml:space="preserve"> significant reduction</w:t>
      </w:r>
      <w:r w:rsidR="0086134D" w:rsidRPr="00D33B70">
        <w:t>s</w:t>
      </w:r>
      <w:r w:rsidRPr="00D33B70">
        <w:t xml:space="preserve"> in the number of properties inundated or flooded floor levels has not been achieved in Scheme Three, with </w:t>
      </w:r>
      <w:r w:rsidR="0091093C" w:rsidRPr="00D33B70">
        <w:t xml:space="preserve">a reduction of </w:t>
      </w:r>
      <w:r w:rsidR="0086134D" w:rsidRPr="00D33B70">
        <w:t>six flooded floor levels compared to existing conditions in the 1% AEP event.</w:t>
      </w:r>
    </w:p>
    <w:p w:rsidR="00CC5D90" w:rsidRPr="00D33B70" w:rsidRDefault="00CC5D90" w:rsidP="00CC5D90">
      <w:pPr>
        <w:pStyle w:val="Caption"/>
        <w:numPr>
          <w:ilvl w:val="12"/>
          <w:numId w:val="0"/>
        </w:numPr>
        <w:ind w:left="851"/>
      </w:pPr>
      <w:bookmarkStart w:id="309" w:name="_Ref359425025"/>
      <w:bookmarkStart w:id="310" w:name="_Toc387308990"/>
      <w:r w:rsidRPr="00D33B70">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7</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5</w:t>
      </w:r>
      <w:r w:rsidR="00FF3C04" w:rsidRPr="00D33B70">
        <w:fldChar w:fldCharType="end"/>
      </w:r>
      <w:bookmarkEnd w:id="309"/>
      <w:r w:rsidRPr="00D33B70">
        <w:tab/>
        <w:t>Reduction in</w:t>
      </w:r>
      <w:r w:rsidR="005163C0" w:rsidRPr="00D33B70">
        <w:t xml:space="preserve"> Flooded Properties – Scheme Three</w:t>
      </w:r>
      <w:bookmarkEnd w:id="310"/>
    </w:p>
    <w:tbl>
      <w:tblPr>
        <w:tblW w:w="0" w:type="auto"/>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5"/>
        <w:gridCol w:w="1276"/>
        <w:gridCol w:w="1276"/>
        <w:gridCol w:w="1277"/>
        <w:gridCol w:w="1279"/>
        <w:gridCol w:w="1280"/>
        <w:gridCol w:w="1275"/>
      </w:tblGrid>
      <w:tr w:rsidR="00CC5D90" w:rsidRPr="00D33B70" w:rsidTr="00CC5D90">
        <w:tc>
          <w:tcPr>
            <w:tcW w:w="1125" w:type="dxa"/>
            <w:vMerge w:val="restart"/>
            <w:tcBorders>
              <w:top w:val="single" w:sz="6" w:space="0" w:color="auto"/>
              <w:left w:val="single" w:sz="6" w:space="0" w:color="auto"/>
              <w:right w:val="single" w:sz="6" w:space="0" w:color="auto"/>
            </w:tcBorders>
            <w:shd w:val="pct10" w:color="auto" w:fill="auto"/>
            <w:vAlign w:val="center"/>
          </w:tcPr>
          <w:p w:rsidR="00CC5D90" w:rsidRPr="00D33B70" w:rsidRDefault="00CC5D90" w:rsidP="00CC5D90">
            <w:pPr>
              <w:numPr>
                <w:ilvl w:val="12"/>
                <w:numId w:val="0"/>
              </w:numPr>
              <w:jc w:val="center"/>
              <w:rPr>
                <w:b/>
              </w:rPr>
            </w:pPr>
            <w:r w:rsidRPr="00D33B70">
              <w:rPr>
                <w:b/>
              </w:rPr>
              <w:t>AEP</w:t>
            </w:r>
          </w:p>
        </w:tc>
        <w:tc>
          <w:tcPr>
            <w:tcW w:w="2552" w:type="dxa"/>
            <w:gridSpan w:val="2"/>
            <w:tcBorders>
              <w:top w:val="single" w:sz="6" w:space="0" w:color="auto"/>
              <w:left w:val="single" w:sz="6" w:space="0" w:color="auto"/>
              <w:bottom w:val="single" w:sz="6" w:space="0" w:color="auto"/>
              <w:right w:val="single" w:sz="6" w:space="0" w:color="auto"/>
            </w:tcBorders>
            <w:shd w:val="pct10" w:color="auto" w:fill="auto"/>
            <w:vAlign w:val="center"/>
          </w:tcPr>
          <w:p w:rsidR="00CC5D90" w:rsidRPr="00D33B70" w:rsidRDefault="00CC5D90" w:rsidP="00CC5D90">
            <w:pPr>
              <w:numPr>
                <w:ilvl w:val="12"/>
                <w:numId w:val="0"/>
              </w:numPr>
              <w:spacing w:before="60" w:after="60"/>
              <w:jc w:val="center"/>
              <w:rPr>
                <w:b/>
              </w:rPr>
            </w:pPr>
            <w:r w:rsidRPr="00D33B70">
              <w:rPr>
                <w:b/>
              </w:rPr>
              <w:t>No. Flooded Grounds</w:t>
            </w:r>
          </w:p>
        </w:tc>
        <w:tc>
          <w:tcPr>
            <w:tcW w:w="1277" w:type="dxa"/>
            <w:vMerge w:val="restart"/>
            <w:tcBorders>
              <w:top w:val="single" w:sz="6" w:space="0" w:color="auto"/>
              <w:left w:val="single" w:sz="6" w:space="0" w:color="auto"/>
              <w:right w:val="single" w:sz="6" w:space="0" w:color="auto"/>
            </w:tcBorders>
            <w:shd w:val="pct10" w:color="auto" w:fill="auto"/>
            <w:vAlign w:val="center"/>
          </w:tcPr>
          <w:p w:rsidR="00CC5D90" w:rsidRPr="00D33B70" w:rsidRDefault="00CC5D90" w:rsidP="00CC5D90">
            <w:pPr>
              <w:numPr>
                <w:ilvl w:val="12"/>
                <w:numId w:val="0"/>
              </w:numPr>
              <w:jc w:val="center"/>
              <w:rPr>
                <w:b/>
              </w:rPr>
            </w:pPr>
            <w:r w:rsidRPr="00D33B70">
              <w:rPr>
                <w:b/>
              </w:rPr>
              <w:t>Reduction</w:t>
            </w:r>
          </w:p>
        </w:tc>
        <w:tc>
          <w:tcPr>
            <w:tcW w:w="2559" w:type="dxa"/>
            <w:gridSpan w:val="2"/>
            <w:tcBorders>
              <w:top w:val="single" w:sz="6" w:space="0" w:color="auto"/>
              <w:left w:val="single" w:sz="6" w:space="0" w:color="auto"/>
              <w:bottom w:val="single" w:sz="6" w:space="0" w:color="auto"/>
              <w:right w:val="single" w:sz="6" w:space="0" w:color="auto"/>
            </w:tcBorders>
            <w:shd w:val="pct10" w:color="auto" w:fill="auto"/>
            <w:vAlign w:val="center"/>
          </w:tcPr>
          <w:p w:rsidR="00CC5D90" w:rsidRPr="00D33B70" w:rsidRDefault="00CC5D90" w:rsidP="00CC5D90">
            <w:pPr>
              <w:numPr>
                <w:ilvl w:val="12"/>
                <w:numId w:val="0"/>
              </w:numPr>
              <w:spacing w:before="60" w:after="60"/>
              <w:jc w:val="center"/>
              <w:rPr>
                <w:b/>
              </w:rPr>
            </w:pPr>
            <w:r w:rsidRPr="00D33B70">
              <w:rPr>
                <w:b/>
              </w:rPr>
              <w:t>No. Flooded Floors*</w:t>
            </w:r>
          </w:p>
        </w:tc>
        <w:tc>
          <w:tcPr>
            <w:tcW w:w="1275" w:type="dxa"/>
            <w:vMerge w:val="restart"/>
            <w:tcBorders>
              <w:top w:val="single" w:sz="6" w:space="0" w:color="auto"/>
              <w:left w:val="single" w:sz="6" w:space="0" w:color="auto"/>
              <w:right w:val="single" w:sz="6" w:space="0" w:color="auto"/>
            </w:tcBorders>
            <w:shd w:val="pct10" w:color="auto" w:fill="auto"/>
            <w:vAlign w:val="center"/>
          </w:tcPr>
          <w:p w:rsidR="00CC5D90" w:rsidRPr="00D33B70" w:rsidRDefault="00CC5D90" w:rsidP="00CC5D90">
            <w:pPr>
              <w:numPr>
                <w:ilvl w:val="12"/>
                <w:numId w:val="0"/>
              </w:numPr>
              <w:jc w:val="center"/>
              <w:rPr>
                <w:b/>
              </w:rPr>
            </w:pPr>
            <w:r w:rsidRPr="00D33B70">
              <w:rPr>
                <w:b/>
              </w:rPr>
              <w:t>Reduction</w:t>
            </w:r>
          </w:p>
        </w:tc>
      </w:tr>
      <w:tr w:rsidR="00CC5D90" w:rsidRPr="00D33B70" w:rsidTr="00CC5D90">
        <w:tc>
          <w:tcPr>
            <w:tcW w:w="1125" w:type="dxa"/>
            <w:vMerge/>
            <w:tcBorders>
              <w:left w:val="single" w:sz="6" w:space="0" w:color="auto"/>
              <w:bottom w:val="single" w:sz="6" w:space="0" w:color="auto"/>
              <w:right w:val="single" w:sz="6" w:space="0" w:color="auto"/>
            </w:tcBorders>
            <w:shd w:val="pct10" w:color="auto" w:fill="auto"/>
            <w:vAlign w:val="center"/>
          </w:tcPr>
          <w:p w:rsidR="00CC5D90" w:rsidRPr="00D33B70" w:rsidRDefault="00CC5D90" w:rsidP="00CC5D90">
            <w:pPr>
              <w:numPr>
                <w:ilvl w:val="12"/>
                <w:numId w:val="0"/>
              </w:numPr>
              <w:jc w:val="center"/>
              <w:rPr>
                <w:b/>
              </w:rPr>
            </w:pPr>
          </w:p>
        </w:tc>
        <w:tc>
          <w:tcPr>
            <w:tcW w:w="1276" w:type="dxa"/>
            <w:tcBorders>
              <w:top w:val="single" w:sz="6" w:space="0" w:color="auto"/>
              <w:left w:val="single" w:sz="6" w:space="0" w:color="auto"/>
              <w:bottom w:val="single" w:sz="6" w:space="0" w:color="auto"/>
              <w:right w:val="single" w:sz="6" w:space="0" w:color="auto"/>
            </w:tcBorders>
            <w:shd w:val="pct10" w:color="auto" w:fill="auto"/>
            <w:vAlign w:val="center"/>
          </w:tcPr>
          <w:p w:rsidR="00CC5D90" w:rsidRPr="00D33B70" w:rsidRDefault="00CC5D90" w:rsidP="00CC5D90">
            <w:pPr>
              <w:numPr>
                <w:ilvl w:val="12"/>
                <w:numId w:val="0"/>
              </w:numPr>
              <w:spacing w:before="60" w:after="60"/>
              <w:jc w:val="center"/>
              <w:rPr>
                <w:b/>
              </w:rPr>
            </w:pPr>
            <w:r w:rsidRPr="00D33B70">
              <w:rPr>
                <w:b/>
              </w:rPr>
              <w:t>Existing</w:t>
            </w:r>
          </w:p>
        </w:tc>
        <w:tc>
          <w:tcPr>
            <w:tcW w:w="1276" w:type="dxa"/>
            <w:tcBorders>
              <w:top w:val="single" w:sz="6" w:space="0" w:color="auto"/>
              <w:left w:val="single" w:sz="6" w:space="0" w:color="auto"/>
              <w:bottom w:val="single" w:sz="6" w:space="0" w:color="auto"/>
              <w:right w:val="single" w:sz="6" w:space="0" w:color="auto"/>
            </w:tcBorders>
            <w:shd w:val="pct10" w:color="auto" w:fill="auto"/>
            <w:vAlign w:val="center"/>
          </w:tcPr>
          <w:p w:rsidR="00CC5D90" w:rsidRPr="00D33B70" w:rsidRDefault="00CC5D90" w:rsidP="00CC5D90">
            <w:pPr>
              <w:numPr>
                <w:ilvl w:val="12"/>
                <w:numId w:val="0"/>
              </w:numPr>
              <w:spacing w:before="60" w:after="60"/>
              <w:jc w:val="center"/>
              <w:rPr>
                <w:b/>
              </w:rPr>
            </w:pPr>
            <w:r w:rsidRPr="00D33B70">
              <w:rPr>
                <w:b/>
              </w:rPr>
              <w:t>Scheme Two</w:t>
            </w:r>
          </w:p>
        </w:tc>
        <w:tc>
          <w:tcPr>
            <w:tcW w:w="1277" w:type="dxa"/>
            <w:vMerge/>
            <w:tcBorders>
              <w:left w:val="single" w:sz="6" w:space="0" w:color="auto"/>
              <w:bottom w:val="single" w:sz="6" w:space="0" w:color="auto"/>
              <w:right w:val="single" w:sz="6" w:space="0" w:color="auto"/>
            </w:tcBorders>
            <w:shd w:val="pct10" w:color="auto" w:fill="auto"/>
            <w:vAlign w:val="center"/>
          </w:tcPr>
          <w:p w:rsidR="00CC5D90" w:rsidRPr="00D33B70" w:rsidRDefault="00CC5D90" w:rsidP="00CC5D90">
            <w:pPr>
              <w:numPr>
                <w:ilvl w:val="12"/>
                <w:numId w:val="0"/>
              </w:numPr>
              <w:jc w:val="center"/>
              <w:rPr>
                <w:b/>
              </w:rPr>
            </w:pPr>
          </w:p>
        </w:tc>
        <w:tc>
          <w:tcPr>
            <w:tcW w:w="1279" w:type="dxa"/>
            <w:tcBorders>
              <w:top w:val="single" w:sz="6" w:space="0" w:color="auto"/>
              <w:left w:val="single" w:sz="6" w:space="0" w:color="auto"/>
              <w:bottom w:val="single" w:sz="6" w:space="0" w:color="auto"/>
              <w:right w:val="single" w:sz="6" w:space="0" w:color="auto"/>
            </w:tcBorders>
            <w:shd w:val="pct10" w:color="auto" w:fill="auto"/>
            <w:vAlign w:val="center"/>
          </w:tcPr>
          <w:p w:rsidR="00CC5D90" w:rsidRPr="00D33B70" w:rsidRDefault="00CC5D90" w:rsidP="00CC5D90">
            <w:pPr>
              <w:numPr>
                <w:ilvl w:val="12"/>
                <w:numId w:val="0"/>
              </w:numPr>
              <w:spacing w:before="60" w:after="60"/>
              <w:jc w:val="center"/>
              <w:rPr>
                <w:b/>
                <w:color w:val="000000"/>
                <w:spacing w:val="0"/>
              </w:rPr>
            </w:pPr>
            <w:r w:rsidRPr="00D33B70">
              <w:rPr>
                <w:b/>
                <w:color w:val="000000"/>
                <w:spacing w:val="0"/>
              </w:rPr>
              <w:t>Existing</w:t>
            </w:r>
          </w:p>
        </w:tc>
        <w:tc>
          <w:tcPr>
            <w:tcW w:w="1280" w:type="dxa"/>
            <w:tcBorders>
              <w:top w:val="single" w:sz="6" w:space="0" w:color="auto"/>
              <w:left w:val="single" w:sz="6" w:space="0" w:color="auto"/>
              <w:bottom w:val="single" w:sz="6" w:space="0" w:color="auto"/>
              <w:right w:val="single" w:sz="6" w:space="0" w:color="auto"/>
            </w:tcBorders>
            <w:shd w:val="pct10" w:color="auto" w:fill="auto"/>
            <w:vAlign w:val="center"/>
          </w:tcPr>
          <w:p w:rsidR="00CC5D90" w:rsidRPr="00D33B70" w:rsidRDefault="001B264F" w:rsidP="00CC5D90">
            <w:pPr>
              <w:numPr>
                <w:ilvl w:val="12"/>
                <w:numId w:val="0"/>
              </w:numPr>
              <w:spacing w:before="60" w:after="60"/>
              <w:jc w:val="center"/>
              <w:rPr>
                <w:b/>
              </w:rPr>
            </w:pPr>
            <w:r w:rsidRPr="00D33B70">
              <w:rPr>
                <w:b/>
              </w:rPr>
              <w:t>Scheme Three</w:t>
            </w:r>
          </w:p>
        </w:tc>
        <w:tc>
          <w:tcPr>
            <w:tcW w:w="1275" w:type="dxa"/>
            <w:vMerge/>
            <w:tcBorders>
              <w:left w:val="single" w:sz="6" w:space="0" w:color="auto"/>
              <w:bottom w:val="single" w:sz="6" w:space="0" w:color="auto"/>
              <w:right w:val="single" w:sz="6" w:space="0" w:color="auto"/>
            </w:tcBorders>
            <w:shd w:val="pct10" w:color="auto" w:fill="auto"/>
            <w:vAlign w:val="center"/>
          </w:tcPr>
          <w:p w:rsidR="00CC5D90" w:rsidRPr="00D33B70" w:rsidRDefault="00CC5D90" w:rsidP="00CC5D90">
            <w:pPr>
              <w:numPr>
                <w:ilvl w:val="12"/>
                <w:numId w:val="0"/>
              </w:numPr>
              <w:jc w:val="center"/>
              <w:rPr>
                <w:b/>
              </w:rPr>
            </w:pPr>
          </w:p>
        </w:tc>
      </w:tr>
      <w:tr w:rsidR="00801B1D" w:rsidRPr="00D33B70" w:rsidTr="00CC5D90">
        <w:tc>
          <w:tcPr>
            <w:tcW w:w="1125"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CC5D90">
            <w:pPr>
              <w:numPr>
                <w:ilvl w:val="12"/>
                <w:numId w:val="0"/>
              </w:numPr>
              <w:spacing w:before="60" w:after="60"/>
              <w:jc w:val="center"/>
              <w:rPr>
                <w:color w:val="000000"/>
                <w:spacing w:val="0"/>
              </w:rPr>
            </w:pPr>
            <w:r w:rsidRPr="00D33B70">
              <w:rPr>
                <w:color w:val="000000"/>
                <w:spacing w:val="0"/>
              </w:rPr>
              <w:t>20%</w:t>
            </w:r>
          </w:p>
        </w:tc>
        <w:tc>
          <w:tcPr>
            <w:tcW w:w="1276" w:type="dxa"/>
            <w:tcBorders>
              <w:top w:val="single" w:sz="6" w:space="0" w:color="auto"/>
              <w:left w:val="single" w:sz="6" w:space="0" w:color="auto"/>
              <w:bottom w:val="single" w:sz="6" w:space="0" w:color="auto"/>
              <w:right w:val="single" w:sz="6" w:space="0" w:color="auto"/>
            </w:tcBorders>
            <w:vAlign w:val="bottom"/>
          </w:tcPr>
          <w:p w:rsidR="00801B1D" w:rsidRPr="00D33B70" w:rsidRDefault="00801B1D" w:rsidP="003F5B42">
            <w:pPr>
              <w:numPr>
                <w:ilvl w:val="12"/>
                <w:numId w:val="0"/>
              </w:numPr>
              <w:spacing w:before="60" w:after="60"/>
              <w:jc w:val="center"/>
              <w:rPr>
                <w:color w:val="000000"/>
                <w:spacing w:val="0"/>
              </w:rPr>
            </w:pPr>
            <w:r w:rsidRPr="00D33B70">
              <w:rPr>
                <w:color w:val="000000"/>
                <w:spacing w:val="0"/>
              </w:rPr>
              <w:t>1402</w:t>
            </w:r>
          </w:p>
        </w:tc>
        <w:tc>
          <w:tcPr>
            <w:tcW w:w="1276" w:type="dxa"/>
            <w:tcBorders>
              <w:top w:val="single" w:sz="6" w:space="0" w:color="auto"/>
              <w:left w:val="single" w:sz="6" w:space="0" w:color="auto"/>
              <w:bottom w:val="single" w:sz="6" w:space="0" w:color="auto"/>
              <w:right w:val="single" w:sz="6" w:space="0" w:color="auto"/>
            </w:tcBorders>
            <w:vAlign w:val="center"/>
          </w:tcPr>
          <w:p w:rsidR="00801B1D" w:rsidRPr="00D33B70" w:rsidRDefault="0086134D" w:rsidP="00CC5D90">
            <w:pPr>
              <w:jc w:val="center"/>
              <w:rPr>
                <w:color w:val="000000"/>
                <w:spacing w:val="0"/>
              </w:rPr>
            </w:pPr>
            <w:r w:rsidRPr="00D33B70">
              <w:rPr>
                <w:color w:val="000000"/>
                <w:spacing w:val="0"/>
              </w:rPr>
              <w:t>1402</w:t>
            </w:r>
          </w:p>
        </w:tc>
        <w:tc>
          <w:tcPr>
            <w:tcW w:w="1277" w:type="dxa"/>
            <w:tcBorders>
              <w:top w:val="single" w:sz="6" w:space="0" w:color="auto"/>
              <w:left w:val="single" w:sz="6" w:space="0" w:color="auto"/>
              <w:bottom w:val="single" w:sz="6" w:space="0" w:color="auto"/>
              <w:right w:val="single" w:sz="6" w:space="0" w:color="auto"/>
            </w:tcBorders>
            <w:vAlign w:val="center"/>
          </w:tcPr>
          <w:p w:rsidR="00801B1D" w:rsidRPr="00D33B70" w:rsidRDefault="0086134D" w:rsidP="00CC5D90">
            <w:pPr>
              <w:numPr>
                <w:ilvl w:val="12"/>
                <w:numId w:val="0"/>
              </w:numPr>
              <w:spacing w:before="60" w:after="60"/>
              <w:jc w:val="center"/>
              <w:rPr>
                <w:b/>
                <w:i/>
              </w:rPr>
            </w:pPr>
            <w:r w:rsidRPr="00D33B70">
              <w:rPr>
                <w:b/>
                <w:i/>
              </w:rPr>
              <w:t>0</w:t>
            </w:r>
          </w:p>
        </w:tc>
        <w:tc>
          <w:tcPr>
            <w:tcW w:w="1279" w:type="dxa"/>
            <w:tcBorders>
              <w:top w:val="single" w:sz="6" w:space="0" w:color="auto"/>
              <w:left w:val="single" w:sz="6" w:space="0" w:color="auto"/>
              <w:bottom w:val="single" w:sz="6" w:space="0" w:color="auto"/>
              <w:right w:val="single" w:sz="6" w:space="0" w:color="auto"/>
            </w:tcBorders>
            <w:vAlign w:val="bottom"/>
          </w:tcPr>
          <w:p w:rsidR="00801B1D" w:rsidRPr="00D33B70" w:rsidRDefault="00801B1D" w:rsidP="003F5B42">
            <w:pPr>
              <w:numPr>
                <w:ilvl w:val="12"/>
                <w:numId w:val="0"/>
              </w:numPr>
              <w:spacing w:before="60" w:after="60"/>
              <w:jc w:val="center"/>
              <w:rPr>
                <w:color w:val="000000"/>
                <w:spacing w:val="0"/>
              </w:rPr>
            </w:pPr>
            <w:r w:rsidRPr="00D33B70">
              <w:rPr>
                <w:color w:val="000000"/>
                <w:spacing w:val="0"/>
              </w:rPr>
              <w:t>14</w:t>
            </w:r>
          </w:p>
        </w:tc>
        <w:tc>
          <w:tcPr>
            <w:tcW w:w="1280"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CC5D90">
            <w:pPr>
              <w:jc w:val="center"/>
              <w:rPr>
                <w:color w:val="000000"/>
                <w:spacing w:val="0"/>
              </w:rPr>
            </w:pPr>
            <w:r w:rsidRPr="00D33B70">
              <w:rPr>
                <w:color w:val="000000"/>
                <w:spacing w:val="0"/>
              </w:rPr>
              <w:t>113</w:t>
            </w:r>
          </w:p>
        </w:tc>
        <w:tc>
          <w:tcPr>
            <w:tcW w:w="1275" w:type="dxa"/>
            <w:tcBorders>
              <w:top w:val="single" w:sz="6" w:space="0" w:color="auto"/>
              <w:left w:val="single" w:sz="6" w:space="0" w:color="auto"/>
              <w:bottom w:val="single" w:sz="6" w:space="0" w:color="auto"/>
              <w:right w:val="single" w:sz="6" w:space="0" w:color="auto"/>
            </w:tcBorders>
            <w:vAlign w:val="bottom"/>
          </w:tcPr>
          <w:p w:rsidR="00801B1D" w:rsidRPr="00D33B70" w:rsidRDefault="00801B1D" w:rsidP="00CC5D90">
            <w:pPr>
              <w:jc w:val="center"/>
              <w:rPr>
                <w:rFonts w:ascii="Calibri" w:hAnsi="Calibri" w:cs="Calibri"/>
                <w:b/>
                <w:i/>
                <w:color w:val="000000"/>
                <w:sz w:val="22"/>
                <w:szCs w:val="22"/>
              </w:rPr>
            </w:pPr>
            <w:r w:rsidRPr="00D33B70">
              <w:rPr>
                <w:rFonts w:ascii="Calibri" w:hAnsi="Calibri" w:cs="Calibri"/>
                <w:b/>
                <w:i/>
                <w:color w:val="000000"/>
                <w:sz w:val="22"/>
                <w:szCs w:val="22"/>
              </w:rPr>
              <w:t>1</w:t>
            </w:r>
          </w:p>
        </w:tc>
      </w:tr>
      <w:tr w:rsidR="00801B1D" w:rsidRPr="00D33B70" w:rsidTr="00CC5D90">
        <w:tc>
          <w:tcPr>
            <w:tcW w:w="1125"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CC5D90">
            <w:pPr>
              <w:numPr>
                <w:ilvl w:val="12"/>
                <w:numId w:val="0"/>
              </w:numPr>
              <w:spacing w:before="60" w:after="60"/>
              <w:jc w:val="center"/>
              <w:rPr>
                <w:color w:val="000000"/>
                <w:spacing w:val="0"/>
              </w:rPr>
            </w:pPr>
            <w:r w:rsidRPr="00D33B70">
              <w:rPr>
                <w:color w:val="000000"/>
                <w:spacing w:val="0"/>
              </w:rPr>
              <w:t>10%</w:t>
            </w:r>
          </w:p>
        </w:tc>
        <w:tc>
          <w:tcPr>
            <w:tcW w:w="1276" w:type="dxa"/>
            <w:tcBorders>
              <w:top w:val="single" w:sz="6" w:space="0" w:color="auto"/>
              <w:left w:val="single" w:sz="6" w:space="0" w:color="auto"/>
              <w:bottom w:val="single" w:sz="6" w:space="0" w:color="auto"/>
              <w:right w:val="single" w:sz="6" w:space="0" w:color="auto"/>
            </w:tcBorders>
            <w:vAlign w:val="bottom"/>
          </w:tcPr>
          <w:p w:rsidR="00801B1D" w:rsidRPr="00D33B70" w:rsidRDefault="00801B1D" w:rsidP="003F5B42">
            <w:pPr>
              <w:numPr>
                <w:ilvl w:val="12"/>
                <w:numId w:val="0"/>
              </w:numPr>
              <w:spacing w:before="60" w:after="60"/>
              <w:jc w:val="center"/>
              <w:rPr>
                <w:color w:val="000000"/>
                <w:spacing w:val="0"/>
              </w:rPr>
            </w:pPr>
            <w:r w:rsidRPr="00D33B70">
              <w:rPr>
                <w:color w:val="000000"/>
                <w:spacing w:val="0"/>
              </w:rPr>
              <w:t>1719</w:t>
            </w:r>
          </w:p>
        </w:tc>
        <w:tc>
          <w:tcPr>
            <w:tcW w:w="1276" w:type="dxa"/>
            <w:tcBorders>
              <w:top w:val="single" w:sz="6" w:space="0" w:color="auto"/>
              <w:left w:val="single" w:sz="6" w:space="0" w:color="auto"/>
              <w:bottom w:val="single" w:sz="6" w:space="0" w:color="auto"/>
              <w:right w:val="single" w:sz="6" w:space="0" w:color="auto"/>
            </w:tcBorders>
            <w:vAlign w:val="center"/>
          </w:tcPr>
          <w:p w:rsidR="00801B1D" w:rsidRPr="00D33B70" w:rsidRDefault="0086134D" w:rsidP="00CC5D90">
            <w:pPr>
              <w:jc w:val="center"/>
              <w:rPr>
                <w:color w:val="000000"/>
                <w:spacing w:val="0"/>
              </w:rPr>
            </w:pPr>
            <w:r w:rsidRPr="00D33B70">
              <w:rPr>
                <w:color w:val="000000"/>
                <w:spacing w:val="0"/>
              </w:rPr>
              <w:t>1719</w:t>
            </w:r>
          </w:p>
        </w:tc>
        <w:tc>
          <w:tcPr>
            <w:tcW w:w="1277" w:type="dxa"/>
            <w:tcBorders>
              <w:top w:val="single" w:sz="6" w:space="0" w:color="auto"/>
              <w:left w:val="single" w:sz="6" w:space="0" w:color="auto"/>
              <w:bottom w:val="single" w:sz="6" w:space="0" w:color="auto"/>
              <w:right w:val="single" w:sz="6" w:space="0" w:color="auto"/>
            </w:tcBorders>
            <w:vAlign w:val="center"/>
          </w:tcPr>
          <w:p w:rsidR="00801B1D" w:rsidRPr="00D33B70" w:rsidRDefault="0086134D" w:rsidP="00CC5D90">
            <w:pPr>
              <w:numPr>
                <w:ilvl w:val="12"/>
                <w:numId w:val="0"/>
              </w:numPr>
              <w:spacing w:before="60" w:after="60"/>
              <w:jc w:val="center"/>
              <w:rPr>
                <w:b/>
                <w:i/>
              </w:rPr>
            </w:pPr>
            <w:r w:rsidRPr="00D33B70">
              <w:rPr>
                <w:b/>
                <w:i/>
              </w:rPr>
              <w:t>0</w:t>
            </w:r>
          </w:p>
        </w:tc>
        <w:tc>
          <w:tcPr>
            <w:tcW w:w="1279" w:type="dxa"/>
            <w:tcBorders>
              <w:top w:val="single" w:sz="6" w:space="0" w:color="auto"/>
              <w:left w:val="single" w:sz="6" w:space="0" w:color="auto"/>
              <w:bottom w:val="single" w:sz="6" w:space="0" w:color="auto"/>
              <w:right w:val="single" w:sz="6" w:space="0" w:color="auto"/>
            </w:tcBorders>
            <w:vAlign w:val="bottom"/>
          </w:tcPr>
          <w:p w:rsidR="00801B1D" w:rsidRPr="00D33B70" w:rsidRDefault="00801B1D" w:rsidP="003F5B42">
            <w:pPr>
              <w:numPr>
                <w:ilvl w:val="12"/>
                <w:numId w:val="0"/>
              </w:numPr>
              <w:spacing w:before="60" w:after="60"/>
              <w:jc w:val="center"/>
              <w:rPr>
                <w:color w:val="000000"/>
                <w:spacing w:val="0"/>
              </w:rPr>
            </w:pPr>
            <w:r w:rsidRPr="00D33B70">
              <w:rPr>
                <w:color w:val="000000"/>
                <w:spacing w:val="0"/>
              </w:rPr>
              <w:t>16</w:t>
            </w:r>
          </w:p>
        </w:tc>
        <w:tc>
          <w:tcPr>
            <w:tcW w:w="1280"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CC5D90">
            <w:pPr>
              <w:jc w:val="center"/>
              <w:rPr>
                <w:color w:val="000000"/>
                <w:spacing w:val="0"/>
              </w:rPr>
            </w:pPr>
            <w:r w:rsidRPr="00D33B70">
              <w:rPr>
                <w:color w:val="000000"/>
                <w:spacing w:val="0"/>
              </w:rPr>
              <w:t>15</w:t>
            </w:r>
          </w:p>
        </w:tc>
        <w:tc>
          <w:tcPr>
            <w:tcW w:w="1275" w:type="dxa"/>
            <w:tcBorders>
              <w:top w:val="single" w:sz="6" w:space="0" w:color="auto"/>
              <w:left w:val="single" w:sz="6" w:space="0" w:color="auto"/>
              <w:bottom w:val="single" w:sz="6" w:space="0" w:color="auto"/>
              <w:right w:val="single" w:sz="6" w:space="0" w:color="auto"/>
            </w:tcBorders>
            <w:vAlign w:val="bottom"/>
          </w:tcPr>
          <w:p w:rsidR="00801B1D" w:rsidRPr="00D33B70" w:rsidRDefault="00801B1D" w:rsidP="00CC5D90">
            <w:pPr>
              <w:jc w:val="center"/>
              <w:rPr>
                <w:rFonts w:ascii="Calibri" w:hAnsi="Calibri" w:cs="Calibri"/>
                <w:b/>
                <w:i/>
                <w:color w:val="000000"/>
                <w:sz w:val="22"/>
                <w:szCs w:val="22"/>
              </w:rPr>
            </w:pPr>
            <w:r w:rsidRPr="00D33B70">
              <w:rPr>
                <w:rFonts w:ascii="Calibri" w:hAnsi="Calibri" w:cs="Calibri"/>
                <w:b/>
                <w:i/>
                <w:color w:val="000000"/>
                <w:sz w:val="22"/>
                <w:szCs w:val="22"/>
              </w:rPr>
              <w:t>1</w:t>
            </w:r>
          </w:p>
        </w:tc>
      </w:tr>
      <w:tr w:rsidR="00801B1D" w:rsidRPr="00D33B70" w:rsidTr="00CC5D90">
        <w:tc>
          <w:tcPr>
            <w:tcW w:w="1125"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CC5D90">
            <w:pPr>
              <w:numPr>
                <w:ilvl w:val="12"/>
                <w:numId w:val="0"/>
              </w:numPr>
              <w:spacing w:before="60" w:after="60"/>
              <w:jc w:val="center"/>
              <w:rPr>
                <w:color w:val="000000"/>
                <w:spacing w:val="0"/>
              </w:rPr>
            </w:pPr>
            <w:r w:rsidRPr="00D33B70">
              <w:rPr>
                <w:color w:val="000000"/>
                <w:spacing w:val="0"/>
              </w:rPr>
              <w:t>5%</w:t>
            </w:r>
          </w:p>
        </w:tc>
        <w:tc>
          <w:tcPr>
            <w:tcW w:w="1276" w:type="dxa"/>
            <w:tcBorders>
              <w:top w:val="single" w:sz="6" w:space="0" w:color="auto"/>
              <w:left w:val="single" w:sz="6" w:space="0" w:color="auto"/>
              <w:bottom w:val="single" w:sz="6" w:space="0" w:color="auto"/>
              <w:right w:val="single" w:sz="6" w:space="0" w:color="auto"/>
            </w:tcBorders>
            <w:vAlign w:val="bottom"/>
          </w:tcPr>
          <w:p w:rsidR="00801B1D" w:rsidRPr="00D33B70" w:rsidRDefault="00801B1D" w:rsidP="003F5B42">
            <w:pPr>
              <w:numPr>
                <w:ilvl w:val="12"/>
                <w:numId w:val="0"/>
              </w:numPr>
              <w:spacing w:before="60" w:after="60"/>
              <w:jc w:val="center"/>
              <w:rPr>
                <w:color w:val="000000"/>
                <w:spacing w:val="0"/>
              </w:rPr>
            </w:pPr>
            <w:r w:rsidRPr="00D33B70">
              <w:rPr>
                <w:color w:val="000000"/>
                <w:spacing w:val="0"/>
              </w:rPr>
              <w:t>1976</w:t>
            </w:r>
          </w:p>
        </w:tc>
        <w:tc>
          <w:tcPr>
            <w:tcW w:w="1276"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CC5D90">
            <w:pPr>
              <w:jc w:val="center"/>
              <w:rPr>
                <w:color w:val="000000"/>
                <w:spacing w:val="0"/>
              </w:rPr>
            </w:pPr>
            <w:r w:rsidRPr="00D33B70">
              <w:rPr>
                <w:color w:val="000000"/>
                <w:spacing w:val="0"/>
              </w:rPr>
              <w:t>1963</w:t>
            </w:r>
          </w:p>
        </w:tc>
        <w:tc>
          <w:tcPr>
            <w:tcW w:w="1277"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CC5D90">
            <w:pPr>
              <w:numPr>
                <w:ilvl w:val="12"/>
                <w:numId w:val="0"/>
              </w:numPr>
              <w:spacing w:before="60" w:after="60"/>
              <w:jc w:val="center"/>
              <w:rPr>
                <w:b/>
                <w:i/>
              </w:rPr>
            </w:pPr>
            <w:r w:rsidRPr="00D33B70">
              <w:rPr>
                <w:b/>
                <w:i/>
              </w:rPr>
              <w:t>13</w:t>
            </w:r>
          </w:p>
        </w:tc>
        <w:tc>
          <w:tcPr>
            <w:tcW w:w="1279" w:type="dxa"/>
            <w:tcBorders>
              <w:top w:val="single" w:sz="6" w:space="0" w:color="auto"/>
              <w:left w:val="single" w:sz="6" w:space="0" w:color="auto"/>
              <w:bottom w:val="single" w:sz="6" w:space="0" w:color="auto"/>
              <w:right w:val="single" w:sz="6" w:space="0" w:color="auto"/>
            </w:tcBorders>
            <w:vAlign w:val="bottom"/>
          </w:tcPr>
          <w:p w:rsidR="00801B1D" w:rsidRPr="00D33B70" w:rsidRDefault="00801B1D" w:rsidP="003F5B42">
            <w:pPr>
              <w:numPr>
                <w:ilvl w:val="12"/>
                <w:numId w:val="0"/>
              </w:numPr>
              <w:spacing w:before="60" w:after="60"/>
              <w:jc w:val="center"/>
              <w:rPr>
                <w:color w:val="000000"/>
                <w:spacing w:val="0"/>
              </w:rPr>
            </w:pPr>
            <w:r w:rsidRPr="00D33B70">
              <w:rPr>
                <w:color w:val="000000"/>
                <w:spacing w:val="0"/>
              </w:rPr>
              <w:t>22</w:t>
            </w:r>
          </w:p>
        </w:tc>
        <w:tc>
          <w:tcPr>
            <w:tcW w:w="1280"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CC5D90">
            <w:pPr>
              <w:jc w:val="center"/>
              <w:rPr>
                <w:color w:val="000000"/>
                <w:spacing w:val="0"/>
              </w:rPr>
            </w:pPr>
            <w:r w:rsidRPr="00D33B70">
              <w:rPr>
                <w:color w:val="000000"/>
                <w:spacing w:val="0"/>
              </w:rPr>
              <w:t>20</w:t>
            </w:r>
          </w:p>
        </w:tc>
        <w:tc>
          <w:tcPr>
            <w:tcW w:w="1275" w:type="dxa"/>
            <w:tcBorders>
              <w:top w:val="single" w:sz="6" w:space="0" w:color="auto"/>
              <w:left w:val="single" w:sz="6" w:space="0" w:color="auto"/>
              <w:bottom w:val="single" w:sz="6" w:space="0" w:color="auto"/>
              <w:right w:val="single" w:sz="6" w:space="0" w:color="auto"/>
            </w:tcBorders>
            <w:vAlign w:val="bottom"/>
          </w:tcPr>
          <w:p w:rsidR="00801B1D" w:rsidRPr="00D33B70" w:rsidRDefault="00801B1D" w:rsidP="00CC5D90">
            <w:pPr>
              <w:jc w:val="center"/>
              <w:rPr>
                <w:rFonts w:ascii="Calibri" w:hAnsi="Calibri" w:cs="Calibri"/>
                <w:b/>
                <w:i/>
                <w:color w:val="000000"/>
                <w:sz w:val="22"/>
                <w:szCs w:val="22"/>
              </w:rPr>
            </w:pPr>
            <w:r w:rsidRPr="00D33B70">
              <w:rPr>
                <w:rFonts w:ascii="Calibri" w:hAnsi="Calibri" w:cs="Calibri"/>
                <w:b/>
                <w:i/>
                <w:color w:val="000000"/>
                <w:sz w:val="22"/>
                <w:szCs w:val="22"/>
              </w:rPr>
              <w:t>2</w:t>
            </w:r>
          </w:p>
        </w:tc>
      </w:tr>
      <w:tr w:rsidR="00801B1D" w:rsidRPr="00D33B70" w:rsidTr="00CC5D90">
        <w:tc>
          <w:tcPr>
            <w:tcW w:w="1125"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CC5D90">
            <w:pPr>
              <w:numPr>
                <w:ilvl w:val="12"/>
                <w:numId w:val="0"/>
              </w:numPr>
              <w:spacing w:before="60" w:after="60"/>
              <w:jc w:val="center"/>
              <w:rPr>
                <w:color w:val="000000"/>
                <w:spacing w:val="0"/>
              </w:rPr>
            </w:pPr>
            <w:r w:rsidRPr="00D33B70">
              <w:rPr>
                <w:color w:val="000000"/>
                <w:spacing w:val="0"/>
              </w:rPr>
              <w:t>1%</w:t>
            </w:r>
          </w:p>
        </w:tc>
        <w:tc>
          <w:tcPr>
            <w:tcW w:w="1276" w:type="dxa"/>
            <w:tcBorders>
              <w:top w:val="single" w:sz="6" w:space="0" w:color="auto"/>
              <w:left w:val="single" w:sz="6" w:space="0" w:color="auto"/>
              <w:bottom w:val="single" w:sz="6" w:space="0" w:color="auto"/>
              <w:right w:val="single" w:sz="6" w:space="0" w:color="auto"/>
            </w:tcBorders>
            <w:vAlign w:val="bottom"/>
          </w:tcPr>
          <w:p w:rsidR="00801B1D" w:rsidRPr="00D33B70" w:rsidRDefault="00801B1D" w:rsidP="003F5B42">
            <w:pPr>
              <w:numPr>
                <w:ilvl w:val="12"/>
                <w:numId w:val="0"/>
              </w:numPr>
              <w:spacing w:before="60" w:after="60"/>
              <w:jc w:val="center"/>
              <w:rPr>
                <w:color w:val="000000"/>
                <w:spacing w:val="0"/>
              </w:rPr>
            </w:pPr>
            <w:r w:rsidRPr="00D33B70">
              <w:rPr>
                <w:color w:val="000000"/>
                <w:spacing w:val="0"/>
              </w:rPr>
              <w:t>2318</w:t>
            </w:r>
          </w:p>
        </w:tc>
        <w:tc>
          <w:tcPr>
            <w:tcW w:w="1276"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CC5D90">
            <w:pPr>
              <w:jc w:val="center"/>
              <w:rPr>
                <w:color w:val="000000"/>
                <w:spacing w:val="0"/>
              </w:rPr>
            </w:pPr>
            <w:r w:rsidRPr="00D33B70">
              <w:rPr>
                <w:color w:val="000000"/>
                <w:spacing w:val="0"/>
              </w:rPr>
              <w:t>2288</w:t>
            </w:r>
          </w:p>
        </w:tc>
        <w:tc>
          <w:tcPr>
            <w:tcW w:w="1277"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CC5D90">
            <w:pPr>
              <w:numPr>
                <w:ilvl w:val="12"/>
                <w:numId w:val="0"/>
              </w:numPr>
              <w:spacing w:before="60" w:after="60"/>
              <w:jc w:val="center"/>
              <w:rPr>
                <w:b/>
                <w:i/>
              </w:rPr>
            </w:pPr>
            <w:r w:rsidRPr="00D33B70">
              <w:rPr>
                <w:b/>
                <w:i/>
              </w:rPr>
              <w:t>30</w:t>
            </w:r>
          </w:p>
        </w:tc>
        <w:tc>
          <w:tcPr>
            <w:tcW w:w="1279" w:type="dxa"/>
            <w:tcBorders>
              <w:top w:val="single" w:sz="6" w:space="0" w:color="auto"/>
              <w:left w:val="single" w:sz="6" w:space="0" w:color="auto"/>
              <w:bottom w:val="single" w:sz="6" w:space="0" w:color="auto"/>
              <w:right w:val="single" w:sz="6" w:space="0" w:color="auto"/>
            </w:tcBorders>
            <w:vAlign w:val="bottom"/>
          </w:tcPr>
          <w:p w:rsidR="00801B1D" w:rsidRPr="00D33B70" w:rsidRDefault="00801B1D" w:rsidP="003F5B42">
            <w:pPr>
              <w:numPr>
                <w:ilvl w:val="12"/>
                <w:numId w:val="0"/>
              </w:numPr>
              <w:spacing w:before="60" w:after="60"/>
              <w:jc w:val="center"/>
              <w:rPr>
                <w:color w:val="000000"/>
                <w:spacing w:val="0"/>
              </w:rPr>
            </w:pPr>
            <w:r w:rsidRPr="00D33B70">
              <w:rPr>
                <w:color w:val="000000"/>
                <w:spacing w:val="0"/>
              </w:rPr>
              <w:t>35</w:t>
            </w:r>
          </w:p>
        </w:tc>
        <w:tc>
          <w:tcPr>
            <w:tcW w:w="1280"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CC5D90">
            <w:pPr>
              <w:jc w:val="center"/>
              <w:rPr>
                <w:color w:val="000000"/>
                <w:spacing w:val="0"/>
              </w:rPr>
            </w:pPr>
            <w:r w:rsidRPr="00D33B70">
              <w:rPr>
                <w:color w:val="000000"/>
                <w:spacing w:val="0"/>
              </w:rPr>
              <w:t>29</w:t>
            </w:r>
          </w:p>
        </w:tc>
        <w:tc>
          <w:tcPr>
            <w:tcW w:w="1275" w:type="dxa"/>
            <w:tcBorders>
              <w:top w:val="single" w:sz="6" w:space="0" w:color="auto"/>
              <w:left w:val="single" w:sz="6" w:space="0" w:color="auto"/>
              <w:bottom w:val="single" w:sz="6" w:space="0" w:color="auto"/>
              <w:right w:val="single" w:sz="6" w:space="0" w:color="auto"/>
            </w:tcBorders>
            <w:vAlign w:val="bottom"/>
          </w:tcPr>
          <w:p w:rsidR="00801B1D" w:rsidRPr="00D33B70" w:rsidRDefault="00801B1D" w:rsidP="00CC5D90">
            <w:pPr>
              <w:jc w:val="center"/>
              <w:rPr>
                <w:rFonts w:ascii="Calibri" w:hAnsi="Calibri" w:cs="Calibri"/>
                <w:b/>
                <w:i/>
                <w:color w:val="000000"/>
                <w:sz w:val="22"/>
                <w:szCs w:val="22"/>
              </w:rPr>
            </w:pPr>
            <w:r w:rsidRPr="00D33B70">
              <w:rPr>
                <w:rFonts w:ascii="Calibri" w:hAnsi="Calibri" w:cs="Calibri"/>
                <w:b/>
                <w:i/>
                <w:color w:val="000000"/>
                <w:sz w:val="22"/>
                <w:szCs w:val="22"/>
              </w:rPr>
              <w:t>6</w:t>
            </w:r>
          </w:p>
        </w:tc>
      </w:tr>
    </w:tbl>
    <w:p w:rsidR="00CC5D90" w:rsidRPr="00D33B70" w:rsidRDefault="00CC5D90" w:rsidP="00CC5D90">
      <w:pPr>
        <w:spacing w:before="60"/>
        <w:ind w:left="851"/>
        <w:rPr>
          <w:sz w:val="16"/>
        </w:rPr>
      </w:pPr>
      <w:r w:rsidRPr="00D33B70">
        <w:rPr>
          <w:sz w:val="16"/>
        </w:rPr>
        <w:t>*  Results based on properties surveyed by CoGG.</w:t>
      </w:r>
    </w:p>
    <w:p w:rsidR="00CC5D90" w:rsidRPr="00D33B70" w:rsidRDefault="00CC5D90">
      <w:pPr>
        <w:overflowPunct/>
        <w:autoSpaceDE/>
        <w:autoSpaceDN/>
        <w:adjustRightInd/>
        <w:jc w:val="left"/>
        <w:textAlignment w:val="auto"/>
      </w:pPr>
      <w:r w:rsidRPr="00D33B70">
        <w:br w:type="page"/>
      </w:r>
    </w:p>
    <w:p w:rsidR="00CC5D90" w:rsidRPr="00D33B70" w:rsidRDefault="00CC5D90" w:rsidP="00CC5D90">
      <w:pPr>
        <w:pStyle w:val="Text"/>
      </w:pPr>
    </w:p>
    <w:p w:rsidR="00CC5D90" w:rsidRPr="00D33B70" w:rsidRDefault="00CC5D90" w:rsidP="00CC5D90">
      <w:pPr>
        <w:pStyle w:val="Caption"/>
      </w:pPr>
      <w:bookmarkStart w:id="311" w:name="_Ref359424843"/>
      <w:bookmarkStart w:id="312" w:name="_Toc387308957"/>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7</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4</w:t>
      </w:r>
      <w:r w:rsidR="00FF3C04" w:rsidRPr="00D33B70">
        <w:fldChar w:fldCharType="end"/>
      </w:r>
      <w:bookmarkEnd w:id="311"/>
      <w:r w:rsidRPr="00D33B70">
        <w:tab/>
        <w:t>Scheme One 20% AEP Peak Flood Impact</w:t>
      </w:r>
      <w:bookmarkEnd w:id="312"/>
    </w:p>
    <w:p w:rsidR="00CC5D90" w:rsidRPr="00D33B70" w:rsidRDefault="00CC5D90" w:rsidP="00CC5D90">
      <w:pPr>
        <w:pStyle w:val="Text"/>
      </w:pPr>
    </w:p>
    <w:p w:rsidR="000A5AB5" w:rsidRPr="00D33B70" w:rsidRDefault="000A5AB5" w:rsidP="00CC5D90">
      <w:pPr>
        <w:pStyle w:val="Text"/>
      </w:pPr>
    </w:p>
    <w:p w:rsidR="00CC5D90" w:rsidRPr="00D33B70" w:rsidRDefault="00CC5D90" w:rsidP="00CC5D90">
      <w:pPr>
        <w:pStyle w:val="Text"/>
      </w:pPr>
    </w:p>
    <w:p w:rsidR="00CC5D90" w:rsidRPr="00D33B70" w:rsidRDefault="00CC5D90">
      <w:pPr>
        <w:overflowPunct/>
        <w:autoSpaceDE/>
        <w:autoSpaceDN/>
        <w:adjustRightInd/>
        <w:jc w:val="left"/>
        <w:textAlignment w:val="auto"/>
      </w:pPr>
      <w:r w:rsidRPr="00D33B70">
        <w:br w:type="page"/>
      </w:r>
    </w:p>
    <w:p w:rsidR="00CC5D90" w:rsidRPr="00D33B70" w:rsidRDefault="00CC5D90" w:rsidP="00CC5D90">
      <w:pPr>
        <w:pStyle w:val="Text"/>
      </w:pPr>
    </w:p>
    <w:p w:rsidR="00CC5D90" w:rsidRPr="00D33B70" w:rsidRDefault="00CC5D90" w:rsidP="00CC5D90">
      <w:pPr>
        <w:pStyle w:val="Caption"/>
      </w:pPr>
      <w:bookmarkStart w:id="313" w:name="_Toc387308958"/>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7</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5</w:t>
      </w:r>
      <w:r w:rsidR="00FF3C04" w:rsidRPr="00D33B70">
        <w:fldChar w:fldCharType="end"/>
      </w:r>
      <w:r w:rsidRPr="00D33B70">
        <w:tab/>
        <w:t>Scheme One 10% AEP Peak Flood Impact</w:t>
      </w:r>
      <w:bookmarkEnd w:id="313"/>
    </w:p>
    <w:p w:rsidR="00CC5D90" w:rsidRPr="00D33B70" w:rsidRDefault="00CC5D90" w:rsidP="00CC5D90">
      <w:pPr>
        <w:pStyle w:val="Text"/>
      </w:pPr>
    </w:p>
    <w:p w:rsidR="00CC5D90" w:rsidRPr="00D33B70" w:rsidRDefault="00CC5D90" w:rsidP="00CC5D90">
      <w:pPr>
        <w:pStyle w:val="Text"/>
      </w:pPr>
    </w:p>
    <w:p w:rsidR="00CC5D90" w:rsidRPr="00D33B70" w:rsidRDefault="00CC5D90">
      <w:pPr>
        <w:overflowPunct/>
        <w:autoSpaceDE/>
        <w:autoSpaceDN/>
        <w:adjustRightInd/>
        <w:jc w:val="left"/>
        <w:textAlignment w:val="auto"/>
      </w:pPr>
      <w:r w:rsidRPr="00D33B70">
        <w:br w:type="page"/>
      </w:r>
    </w:p>
    <w:p w:rsidR="00CC5D90" w:rsidRPr="00D33B70" w:rsidRDefault="00CC5D90" w:rsidP="00CC5D90">
      <w:pPr>
        <w:pStyle w:val="Text"/>
      </w:pPr>
    </w:p>
    <w:p w:rsidR="00CC5D90" w:rsidRPr="00D33B70" w:rsidRDefault="00CC5D90" w:rsidP="00CC5D90">
      <w:pPr>
        <w:pStyle w:val="Caption"/>
      </w:pPr>
      <w:bookmarkStart w:id="314" w:name="_Toc387308959"/>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7</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6</w:t>
      </w:r>
      <w:r w:rsidR="00FF3C04" w:rsidRPr="00D33B70">
        <w:fldChar w:fldCharType="end"/>
      </w:r>
      <w:r w:rsidRPr="00D33B70">
        <w:tab/>
        <w:t>Scheme One 5% AEP Peak Flood Impact</w:t>
      </w:r>
      <w:bookmarkEnd w:id="314"/>
    </w:p>
    <w:p w:rsidR="00CC5D90" w:rsidRPr="00D33B70" w:rsidRDefault="00CC5D90" w:rsidP="00CC5D90">
      <w:pPr>
        <w:pStyle w:val="Text"/>
      </w:pPr>
    </w:p>
    <w:p w:rsidR="00CC5D90" w:rsidRPr="00D33B70" w:rsidRDefault="00CC5D90" w:rsidP="00CC5D90">
      <w:pPr>
        <w:pStyle w:val="Text"/>
      </w:pPr>
    </w:p>
    <w:p w:rsidR="000A5AB5" w:rsidRPr="00D33B70" w:rsidRDefault="000A5AB5" w:rsidP="00CC5D90">
      <w:pPr>
        <w:pStyle w:val="Text"/>
      </w:pPr>
    </w:p>
    <w:p w:rsidR="00CC5D90" w:rsidRPr="00D33B70" w:rsidRDefault="00CC5D90">
      <w:pPr>
        <w:overflowPunct/>
        <w:autoSpaceDE/>
        <w:autoSpaceDN/>
        <w:adjustRightInd/>
        <w:jc w:val="left"/>
        <w:textAlignment w:val="auto"/>
      </w:pPr>
      <w:r w:rsidRPr="00D33B70">
        <w:br w:type="page"/>
      </w:r>
    </w:p>
    <w:p w:rsidR="00CC5D90" w:rsidRPr="00D33B70" w:rsidRDefault="00CC5D90" w:rsidP="00CC5D90">
      <w:pPr>
        <w:pStyle w:val="Text"/>
      </w:pPr>
    </w:p>
    <w:p w:rsidR="00CC5D90" w:rsidRPr="00D33B70" w:rsidRDefault="00CC5D90" w:rsidP="00CC5D90">
      <w:pPr>
        <w:pStyle w:val="Caption"/>
      </w:pPr>
      <w:bookmarkStart w:id="315" w:name="_Ref359424855"/>
      <w:bookmarkStart w:id="316" w:name="_Toc387308960"/>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7</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7</w:t>
      </w:r>
      <w:r w:rsidR="00FF3C04" w:rsidRPr="00D33B70">
        <w:fldChar w:fldCharType="end"/>
      </w:r>
      <w:bookmarkEnd w:id="315"/>
      <w:r w:rsidRPr="00D33B70">
        <w:tab/>
        <w:t>Scheme One 1% AEP Peak Flood Impact</w:t>
      </w:r>
      <w:bookmarkEnd w:id="316"/>
    </w:p>
    <w:p w:rsidR="00CC5D90" w:rsidRPr="00D33B70" w:rsidRDefault="00CC5D90" w:rsidP="00CC5D90">
      <w:pPr>
        <w:pStyle w:val="Text"/>
      </w:pPr>
    </w:p>
    <w:p w:rsidR="000A5AB5" w:rsidRPr="00D33B70" w:rsidRDefault="000A5AB5" w:rsidP="00CC5D90">
      <w:pPr>
        <w:pStyle w:val="Text"/>
      </w:pPr>
    </w:p>
    <w:p w:rsidR="000A5AB5" w:rsidRPr="00D33B70" w:rsidRDefault="000A5AB5" w:rsidP="00CC5D90">
      <w:pPr>
        <w:pStyle w:val="Text"/>
      </w:pPr>
    </w:p>
    <w:p w:rsidR="00CC5D90" w:rsidRPr="00D33B70" w:rsidRDefault="00CC5D90" w:rsidP="00CC5D90">
      <w:pPr>
        <w:pStyle w:val="Text"/>
      </w:pPr>
    </w:p>
    <w:p w:rsidR="00CC5D90" w:rsidRPr="00D33B70" w:rsidRDefault="00CC5D90">
      <w:pPr>
        <w:overflowPunct/>
        <w:autoSpaceDE/>
        <w:autoSpaceDN/>
        <w:adjustRightInd/>
        <w:jc w:val="left"/>
        <w:textAlignment w:val="auto"/>
      </w:pPr>
      <w:r w:rsidRPr="00D33B70">
        <w:br w:type="page"/>
      </w:r>
    </w:p>
    <w:p w:rsidR="00CC5D90" w:rsidRPr="00D33B70" w:rsidRDefault="00CC5D90" w:rsidP="00CC5D90">
      <w:pPr>
        <w:pStyle w:val="Text"/>
      </w:pPr>
    </w:p>
    <w:p w:rsidR="00CC5D90" w:rsidRPr="00D33B70" w:rsidRDefault="00CC5D90" w:rsidP="00CC5D90">
      <w:pPr>
        <w:pStyle w:val="Caption"/>
      </w:pPr>
      <w:bookmarkStart w:id="317" w:name="_Ref359424964"/>
      <w:bookmarkStart w:id="318" w:name="_Toc387308961"/>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7</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8</w:t>
      </w:r>
      <w:r w:rsidR="00FF3C04" w:rsidRPr="00D33B70">
        <w:fldChar w:fldCharType="end"/>
      </w:r>
      <w:bookmarkEnd w:id="317"/>
      <w:r w:rsidRPr="00D33B70">
        <w:tab/>
        <w:t>Scheme Two 20% AEP Peak Flood Impact</w:t>
      </w:r>
      <w:bookmarkEnd w:id="318"/>
    </w:p>
    <w:p w:rsidR="00CC5D90" w:rsidRPr="00D33B70" w:rsidRDefault="00CC5D90" w:rsidP="00CC5D90">
      <w:pPr>
        <w:pStyle w:val="Text"/>
      </w:pPr>
    </w:p>
    <w:p w:rsidR="000A5AB5" w:rsidRPr="00D33B70" w:rsidRDefault="000A5AB5" w:rsidP="00CC5D90">
      <w:pPr>
        <w:pStyle w:val="Text"/>
      </w:pPr>
    </w:p>
    <w:p w:rsidR="000A5AB5" w:rsidRPr="00D33B70" w:rsidRDefault="000A5AB5" w:rsidP="00CC5D90">
      <w:pPr>
        <w:pStyle w:val="Text"/>
      </w:pPr>
    </w:p>
    <w:p w:rsidR="00CC5D90" w:rsidRPr="00D33B70" w:rsidRDefault="00CC5D90" w:rsidP="00CC5D90">
      <w:pPr>
        <w:pStyle w:val="Text"/>
      </w:pPr>
    </w:p>
    <w:p w:rsidR="00CC5D90" w:rsidRPr="00D33B70" w:rsidRDefault="00CC5D90">
      <w:pPr>
        <w:overflowPunct/>
        <w:autoSpaceDE/>
        <w:autoSpaceDN/>
        <w:adjustRightInd/>
        <w:jc w:val="left"/>
        <w:textAlignment w:val="auto"/>
      </w:pPr>
      <w:r w:rsidRPr="00D33B70">
        <w:br w:type="page"/>
      </w:r>
    </w:p>
    <w:p w:rsidR="00CC5D90" w:rsidRPr="00D33B70" w:rsidRDefault="00CC5D90" w:rsidP="00CC5D90">
      <w:pPr>
        <w:pStyle w:val="Text"/>
      </w:pPr>
    </w:p>
    <w:p w:rsidR="00CC5D90" w:rsidRPr="00D33B70" w:rsidRDefault="00CC5D90" w:rsidP="00CC5D90">
      <w:pPr>
        <w:pStyle w:val="Caption"/>
      </w:pPr>
      <w:bookmarkStart w:id="319" w:name="_Toc387308962"/>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7</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9</w:t>
      </w:r>
      <w:r w:rsidR="00FF3C04" w:rsidRPr="00D33B70">
        <w:fldChar w:fldCharType="end"/>
      </w:r>
      <w:r w:rsidRPr="00D33B70">
        <w:tab/>
        <w:t>Scheme Two 10% AEP Peak Flood Impact</w:t>
      </w:r>
      <w:bookmarkEnd w:id="319"/>
    </w:p>
    <w:p w:rsidR="00CC5D90" w:rsidRPr="00D33B70" w:rsidRDefault="00CC5D90" w:rsidP="00CC5D90">
      <w:pPr>
        <w:pStyle w:val="Text"/>
      </w:pPr>
    </w:p>
    <w:p w:rsidR="000A5AB5" w:rsidRPr="00D33B70" w:rsidRDefault="000A5AB5" w:rsidP="00CC5D90">
      <w:pPr>
        <w:pStyle w:val="Text"/>
      </w:pPr>
    </w:p>
    <w:p w:rsidR="000A5AB5" w:rsidRPr="00D33B70" w:rsidRDefault="000A5AB5" w:rsidP="00CC5D90">
      <w:pPr>
        <w:pStyle w:val="Text"/>
      </w:pPr>
    </w:p>
    <w:p w:rsidR="00CC5D90" w:rsidRPr="00D33B70" w:rsidRDefault="00CC5D90" w:rsidP="00CC5D90">
      <w:pPr>
        <w:pStyle w:val="Text"/>
      </w:pPr>
    </w:p>
    <w:p w:rsidR="00CC5D90" w:rsidRPr="00D33B70" w:rsidRDefault="00CC5D90">
      <w:pPr>
        <w:overflowPunct/>
        <w:autoSpaceDE/>
        <w:autoSpaceDN/>
        <w:adjustRightInd/>
        <w:jc w:val="left"/>
        <w:textAlignment w:val="auto"/>
      </w:pPr>
      <w:r w:rsidRPr="00D33B70">
        <w:br w:type="page"/>
      </w:r>
    </w:p>
    <w:p w:rsidR="00CC5D90" w:rsidRPr="00D33B70" w:rsidRDefault="00CC5D90" w:rsidP="00CC5D90">
      <w:pPr>
        <w:pStyle w:val="Text"/>
      </w:pPr>
    </w:p>
    <w:p w:rsidR="00CC5D90" w:rsidRPr="00D33B70" w:rsidRDefault="00CC5D90" w:rsidP="00CC5D90">
      <w:pPr>
        <w:pStyle w:val="Caption"/>
      </w:pPr>
      <w:bookmarkStart w:id="320" w:name="_Toc387308963"/>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7</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10</w:t>
      </w:r>
      <w:r w:rsidR="00FF3C04" w:rsidRPr="00D33B70">
        <w:fldChar w:fldCharType="end"/>
      </w:r>
      <w:r w:rsidRPr="00D33B70">
        <w:tab/>
        <w:t>Scheme Two 5% AEP Peak Flood Impact</w:t>
      </w:r>
      <w:bookmarkEnd w:id="320"/>
    </w:p>
    <w:p w:rsidR="00CC5D90" w:rsidRPr="00D33B70" w:rsidRDefault="00CC5D90" w:rsidP="00CC5D90">
      <w:pPr>
        <w:pStyle w:val="Text"/>
      </w:pPr>
    </w:p>
    <w:p w:rsidR="00CC5D90" w:rsidRPr="00D33B70" w:rsidRDefault="00CC5D90" w:rsidP="00CC5D90">
      <w:pPr>
        <w:pStyle w:val="Text"/>
      </w:pPr>
    </w:p>
    <w:p w:rsidR="00CC5D90" w:rsidRPr="00D33B70" w:rsidRDefault="00CC5D90">
      <w:pPr>
        <w:overflowPunct/>
        <w:autoSpaceDE/>
        <w:autoSpaceDN/>
        <w:adjustRightInd/>
        <w:jc w:val="left"/>
        <w:textAlignment w:val="auto"/>
      </w:pPr>
      <w:r w:rsidRPr="00D33B70">
        <w:br w:type="page"/>
      </w:r>
    </w:p>
    <w:p w:rsidR="00CC5D90" w:rsidRPr="00D33B70" w:rsidRDefault="00CC5D90" w:rsidP="00CC5D90">
      <w:pPr>
        <w:pStyle w:val="Text"/>
      </w:pPr>
    </w:p>
    <w:p w:rsidR="00CC5D90" w:rsidRPr="00D33B70" w:rsidRDefault="00CC5D90" w:rsidP="00CC5D90">
      <w:pPr>
        <w:pStyle w:val="Caption"/>
      </w:pPr>
      <w:bookmarkStart w:id="321" w:name="_Ref359424950"/>
      <w:bookmarkStart w:id="322" w:name="_Toc387308964"/>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7</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11</w:t>
      </w:r>
      <w:r w:rsidR="00FF3C04" w:rsidRPr="00D33B70">
        <w:fldChar w:fldCharType="end"/>
      </w:r>
      <w:bookmarkEnd w:id="321"/>
      <w:r w:rsidRPr="00D33B70">
        <w:tab/>
        <w:t>Scheme Two 1% AEP Peak Flood Impact</w:t>
      </w:r>
      <w:bookmarkEnd w:id="322"/>
    </w:p>
    <w:p w:rsidR="00CC5D90" w:rsidRPr="00D33B70" w:rsidRDefault="00CC5D90" w:rsidP="00CC5D90">
      <w:pPr>
        <w:pStyle w:val="Text"/>
      </w:pPr>
    </w:p>
    <w:p w:rsidR="00CC5D90" w:rsidRPr="00D33B70" w:rsidRDefault="00CC5D90">
      <w:pPr>
        <w:overflowPunct/>
        <w:autoSpaceDE/>
        <w:autoSpaceDN/>
        <w:adjustRightInd/>
        <w:jc w:val="left"/>
        <w:textAlignment w:val="auto"/>
      </w:pPr>
      <w:r w:rsidRPr="00D33B70">
        <w:br w:type="page"/>
      </w:r>
    </w:p>
    <w:p w:rsidR="00CC5D90" w:rsidRPr="00D33B70" w:rsidRDefault="00CC5D90">
      <w:pPr>
        <w:overflowPunct/>
        <w:autoSpaceDE/>
        <w:autoSpaceDN/>
        <w:adjustRightInd/>
        <w:jc w:val="left"/>
        <w:textAlignment w:val="auto"/>
      </w:pPr>
    </w:p>
    <w:p w:rsidR="00CC5D90" w:rsidRPr="00D33B70" w:rsidRDefault="00CC5D90">
      <w:pPr>
        <w:overflowPunct/>
        <w:autoSpaceDE/>
        <w:autoSpaceDN/>
        <w:adjustRightInd/>
        <w:jc w:val="left"/>
        <w:textAlignment w:val="auto"/>
      </w:pPr>
    </w:p>
    <w:p w:rsidR="00CC5D90" w:rsidRPr="00D33B70" w:rsidRDefault="00CC5D90" w:rsidP="00CC5D90">
      <w:pPr>
        <w:pStyle w:val="Caption"/>
      </w:pPr>
      <w:bookmarkStart w:id="323" w:name="_Ref359425004"/>
      <w:bookmarkStart w:id="324" w:name="_Toc387308965"/>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7</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12</w:t>
      </w:r>
      <w:r w:rsidR="00FF3C04" w:rsidRPr="00D33B70">
        <w:fldChar w:fldCharType="end"/>
      </w:r>
      <w:bookmarkEnd w:id="323"/>
      <w:r w:rsidRPr="00D33B70">
        <w:tab/>
        <w:t>Scheme Three 20% AEP Peak Flood Impact</w:t>
      </w:r>
      <w:bookmarkEnd w:id="324"/>
    </w:p>
    <w:p w:rsidR="00CC5D90" w:rsidRPr="00D33B70" w:rsidRDefault="00CC5D90">
      <w:pPr>
        <w:overflowPunct/>
        <w:autoSpaceDE/>
        <w:autoSpaceDN/>
        <w:adjustRightInd/>
        <w:jc w:val="left"/>
        <w:textAlignment w:val="auto"/>
      </w:pPr>
    </w:p>
    <w:p w:rsidR="00CC5D90" w:rsidRPr="00D33B70" w:rsidRDefault="00CC5D90">
      <w:pPr>
        <w:overflowPunct/>
        <w:autoSpaceDE/>
        <w:autoSpaceDN/>
        <w:adjustRightInd/>
        <w:jc w:val="left"/>
        <w:textAlignment w:val="auto"/>
      </w:pPr>
    </w:p>
    <w:p w:rsidR="00CC5D90" w:rsidRPr="00D33B70" w:rsidRDefault="00CC5D90">
      <w:pPr>
        <w:overflowPunct/>
        <w:autoSpaceDE/>
        <w:autoSpaceDN/>
        <w:adjustRightInd/>
        <w:jc w:val="left"/>
        <w:textAlignment w:val="auto"/>
      </w:pPr>
    </w:p>
    <w:p w:rsidR="00CC5D90" w:rsidRPr="00D33B70" w:rsidRDefault="00CC5D90">
      <w:pPr>
        <w:overflowPunct/>
        <w:autoSpaceDE/>
        <w:autoSpaceDN/>
        <w:adjustRightInd/>
        <w:jc w:val="left"/>
        <w:textAlignment w:val="auto"/>
      </w:pPr>
    </w:p>
    <w:p w:rsidR="00CC5D90" w:rsidRPr="00D33B70" w:rsidRDefault="00CC5D90">
      <w:pPr>
        <w:overflowPunct/>
        <w:autoSpaceDE/>
        <w:autoSpaceDN/>
        <w:adjustRightInd/>
        <w:jc w:val="left"/>
        <w:textAlignment w:val="auto"/>
      </w:pPr>
    </w:p>
    <w:p w:rsidR="00CC5D90" w:rsidRPr="00D33B70" w:rsidRDefault="00CC5D90">
      <w:pPr>
        <w:overflowPunct/>
        <w:autoSpaceDE/>
        <w:autoSpaceDN/>
        <w:adjustRightInd/>
        <w:jc w:val="left"/>
        <w:textAlignment w:val="auto"/>
      </w:pPr>
    </w:p>
    <w:p w:rsidR="00CC5D90" w:rsidRPr="00D33B70" w:rsidRDefault="00CC5D90">
      <w:pPr>
        <w:overflowPunct/>
        <w:autoSpaceDE/>
        <w:autoSpaceDN/>
        <w:adjustRightInd/>
        <w:jc w:val="left"/>
        <w:textAlignment w:val="auto"/>
      </w:pPr>
      <w:r w:rsidRPr="00D33B70">
        <w:br w:type="page"/>
      </w:r>
    </w:p>
    <w:p w:rsidR="00CC5D90" w:rsidRPr="00D33B70" w:rsidRDefault="00CC5D90" w:rsidP="00CC5D90">
      <w:pPr>
        <w:pStyle w:val="Text"/>
      </w:pPr>
    </w:p>
    <w:p w:rsidR="00CC5D90" w:rsidRPr="00D33B70" w:rsidRDefault="00CC5D90" w:rsidP="00CC5D90">
      <w:pPr>
        <w:pStyle w:val="Caption"/>
      </w:pPr>
      <w:bookmarkStart w:id="325" w:name="_Toc387308966"/>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7</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13</w:t>
      </w:r>
      <w:r w:rsidR="00FF3C04" w:rsidRPr="00D33B70">
        <w:fldChar w:fldCharType="end"/>
      </w:r>
      <w:r w:rsidRPr="00D33B70">
        <w:tab/>
        <w:t>Scheme Three 10% AEP Peak Flood Impact</w:t>
      </w:r>
      <w:bookmarkEnd w:id="325"/>
    </w:p>
    <w:p w:rsidR="00CC5D90" w:rsidRPr="00D33B70" w:rsidRDefault="00CC5D90" w:rsidP="00CC5D90">
      <w:pPr>
        <w:pStyle w:val="Text"/>
      </w:pPr>
    </w:p>
    <w:p w:rsidR="00CC5D90" w:rsidRPr="00D33B70" w:rsidRDefault="00CC5D90" w:rsidP="00CC5D90">
      <w:pPr>
        <w:pStyle w:val="Text"/>
      </w:pPr>
    </w:p>
    <w:p w:rsidR="00CC5D90" w:rsidRPr="00D33B70" w:rsidRDefault="00CC5D90">
      <w:pPr>
        <w:overflowPunct/>
        <w:autoSpaceDE/>
        <w:autoSpaceDN/>
        <w:adjustRightInd/>
        <w:jc w:val="left"/>
        <w:textAlignment w:val="auto"/>
      </w:pPr>
      <w:r w:rsidRPr="00D33B70">
        <w:br w:type="page"/>
      </w:r>
    </w:p>
    <w:p w:rsidR="00CC5D90" w:rsidRPr="00D33B70" w:rsidRDefault="00CC5D90" w:rsidP="00CC5D90">
      <w:pPr>
        <w:pStyle w:val="Text"/>
      </w:pPr>
    </w:p>
    <w:p w:rsidR="00CC5D90" w:rsidRPr="00D33B70" w:rsidRDefault="00CC5D90" w:rsidP="00CC5D90">
      <w:pPr>
        <w:pStyle w:val="Caption"/>
      </w:pPr>
      <w:bookmarkStart w:id="326" w:name="_Toc387308967"/>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7</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14</w:t>
      </w:r>
      <w:r w:rsidR="00FF3C04" w:rsidRPr="00D33B70">
        <w:fldChar w:fldCharType="end"/>
      </w:r>
      <w:r w:rsidRPr="00D33B70">
        <w:tab/>
        <w:t>Scheme Three 5% AEP Peak Flood Impact</w:t>
      </w:r>
      <w:bookmarkEnd w:id="326"/>
    </w:p>
    <w:p w:rsidR="00CC5D90" w:rsidRPr="00D33B70" w:rsidRDefault="00CC5D90" w:rsidP="00CC5D90">
      <w:pPr>
        <w:pStyle w:val="Text"/>
      </w:pPr>
    </w:p>
    <w:p w:rsidR="00CC5D90" w:rsidRPr="00D33B70" w:rsidRDefault="00CC5D90" w:rsidP="00CC5D90">
      <w:pPr>
        <w:pStyle w:val="Text"/>
      </w:pPr>
    </w:p>
    <w:p w:rsidR="00CC5D90" w:rsidRPr="00D33B70" w:rsidRDefault="00CC5D90" w:rsidP="00CC5D90">
      <w:pPr>
        <w:pStyle w:val="Text"/>
      </w:pPr>
    </w:p>
    <w:p w:rsidR="00CC5D90" w:rsidRPr="00D33B70" w:rsidRDefault="00CC5D90">
      <w:pPr>
        <w:overflowPunct/>
        <w:autoSpaceDE/>
        <w:autoSpaceDN/>
        <w:adjustRightInd/>
        <w:jc w:val="left"/>
        <w:textAlignment w:val="auto"/>
      </w:pPr>
      <w:r w:rsidRPr="00D33B70">
        <w:br w:type="page"/>
      </w:r>
    </w:p>
    <w:p w:rsidR="00CC5D90" w:rsidRPr="00D33B70" w:rsidRDefault="00CC5D90" w:rsidP="00CC5D90">
      <w:pPr>
        <w:pStyle w:val="Text"/>
      </w:pPr>
    </w:p>
    <w:p w:rsidR="00CC5D90" w:rsidRPr="00D33B70" w:rsidRDefault="00CC5D90" w:rsidP="00CC5D90">
      <w:pPr>
        <w:pStyle w:val="Caption"/>
      </w:pPr>
      <w:bookmarkStart w:id="327" w:name="_Ref359425011"/>
      <w:bookmarkStart w:id="328" w:name="_Toc387308968"/>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7</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15</w:t>
      </w:r>
      <w:r w:rsidR="00FF3C04" w:rsidRPr="00D33B70">
        <w:fldChar w:fldCharType="end"/>
      </w:r>
      <w:bookmarkEnd w:id="327"/>
      <w:r w:rsidRPr="00D33B70">
        <w:tab/>
        <w:t>Scheme Three 1% AEP Peak Flood Impact</w:t>
      </w:r>
      <w:bookmarkEnd w:id="328"/>
    </w:p>
    <w:p w:rsidR="00CC5D90" w:rsidRPr="00D33B70" w:rsidRDefault="00CC5D90" w:rsidP="00CC5D90">
      <w:pPr>
        <w:pStyle w:val="Text"/>
      </w:pPr>
    </w:p>
    <w:p w:rsidR="00CC5D90" w:rsidRPr="00D33B70" w:rsidRDefault="00CC5D90" w:rsidP="00CC5D90">
      <w:pPr>
        <w:pStyle w:val="Text"/>
      </w:pPr>
    </w:p>
    <w:p w:rsidR="00CC5D90" w:rsidRPr="00D33B70" w:rsidRDefault="00CC5D90" w:rsidP="00CC5D90">
      <w:pPr>
        <w:pStyle w:val="Text"/>
      </w:pPr>
    </w:p>
    <w:p w:rsidR="00CC5D90" w:rsidRPr="00D33B70" w:rsidRDefault="00CC5D90" w:rsidP="00CC5D90">
      <w:pPr>
        <w:pStyle w:val="Text"/>
        <w:sectPr w:rsidR="00CC5D90" w:rsidRPr="00D33B70" w:rsidSect="007018E6">
          <w:pgSz w:w="11907" w:h="16840"/>
          <w:pgMar w:top="1418" w:right="1134" w:bottom="1418" w:left="1134" w:header="851" w:footer="828" w:gutter="0"/>
          <w:pgNumType w:start="1" w:chapStyle="1"/>
          <w:cols w:space="720"/>
        </w:sectPr>
      </w:pPr>
    </w:p>
    <w:p w:rsidR="001E4CD5" w:rsidRPr="00D33B70" w:rsidRDefault="00EF2A8B" w:rsidP="00EF2A8B">
      <w:pPr>
        <w:pStyle w:val="Heading1"/>
      </w:pPr>
      <w:bookmarkStart w:id="329" w:name="_Toc387308915"/>
      <w:r w:rsidRPr="00D33B70">
        <w:lastRenderedPageBreak/>
        <w:t>Mitigation Option Assessment</w:t>
      </w:r>
      <w:bookmarkEnd w:id="329"/>
    </w:p>
    <w:p w:rsidR="00EF2A8B" w:rsidRPr="00D33B70" w:rsidRDefault="00EF2A8B" w:rsidP="00B26EF8">
      <w:pPr>
        <w:pStyle w:val="Heading2"/>
      </w:pPr>
      <w:bookmarkStart w:id="330" w:name="_Toc236814069"/>
      <w:bookmarkStart w:id="331" w:name="_Toc280013946"/>
      <w:bookmarkStart w:id="332" w:name="_Toc295740271"/>
      <w:bookmarkStart w:id="333" w:name="_Toc387308916"/>
      <w:r w:rsidRPr="00D33B70">
        <w:t>Economic Assessment</w:t>
      </w:r>
      <w:bookmarkEnd w:id="330"/>
      <w:bookmarkEnd w:id="331"/>
      <w:bookmarkEnd w:id="332"/>
      <w:bookmarkEnd w:id="333"/>
    </w:p>
    <w:p w:rsidR="00EF2A8B" w:rsidRPr="00D33B70" w:rsidRDefault="00EF2A8B" w:rsidP="00B26EF8">
      <w:pPr>
        <w:pStyle w:val="Heading3"/>
      </w:pPr>
      <w:bookmarkStart w:id="334" w:name="_Toc236814070"/>
      <w:bookmarkStart w:id="335" w:name="_Toc280013947"/>
      <w:bookmarkStart w:id="336" w:name="_Toc295740272"/>
      <w:bookmarkStart w:id="337" w:name="_Toc387308917"/>
      <w:r w:rsidRPr="00D33B70">
        <w:t>Basis of Assessment</w:t>
      </w:r>
      <w:bookmarkEnd w:id="334"/>
      <w:bookmarkEnd w:id="335"/>
      <w:bookmarkEnd w:id="336"/>
      <w:bookmarkEnd w:id="337"/>
    </w:p>
    <w:p w:rsidR="00EF2A8B" w:rsidRPr="00D33B70" w:rsidRDefault="00EF2A8B" w:rsidP="00EF2A8B">
      <w:pPr>
        <w:pStyle w:val="Text"/>
        <w:numPr>
          <w:ilvl w:val="12"/>
          <w:numId w:val="0"/>
        </w:numPr>
        <w:ind w:left="851"/>
      </w:pPr>
      <w:r w:rsidRPr="00D33B70">
        <w:t>In general, the benefits of the construction of flood management schemes are as follows:</w:t>
      </w:r>
    </w:p>
    <w:p w:rsidR="00EF2A8B" w:rsidRPr="00D33B70" w:rsidRDefault="00EF2A8B" w:rsidP="00EF2A8B">
      <w:pPr>
        <w:pStyle w:val="Bullets"/>
        <w:numPr>
          <w:ilvl w:val="0"/>
          <w:numId w:val="16"/>
        </w:numPr>
        <w:tabs>
          <w:tab w:val="left" w:pos="1560"/>
        </w:tabs>
        <w:ind w:left="1560"/>
      </w:pPr>
      <w:r w:rsidRPr="00D33B70">
        <w:t>increased flood immunity of properties protected by the scheme;</w:t>
      </w:r>
    </w:p>
    <w:p w:rsidR="00EF2A8B" w:rsidRPr="00D33B70" w:rsidRDefault="00EF2A8B" w:rsidP="00EF2A8B">
      <w:pPr>
        <w:pStyle w:val="Bullets"/>
        <w:numPr>
          <w:ilvl w:val="0"/>
          <w:numId w:val="16"/>
        </w:numPr>
        <w:tabs>
          <w:tab w:val="left" w:pos="1560"/>
        </w:tabs>
        <w:ind w:left="1560"/>
      </w:pPr>
      <w:r w:rsidRPr="00D33B70">
        <w:t>increased flood immunity of roads protected by the scheme and thus improved mobility of the community during flooding events;</w:t>
      </w:r>
    </w:p>
    <w:p w:rsidR="00EF2A8B" w:rsidRPr="00D33B70" w:rsidRDefault="00EF2A8B" w:rsidP="00EF2A8B">
      <w:pPr>
        <w:pStyle w:val="Bullets"/>
        <w:numPr>
          <w:ilvl w:val="0"/>
          <w:numId w:val="16"/>
        </w:numPr>
        <w:tabs>
          <w:tab w:val="left" w:pos="1560"/>
        </w:tabs>
        <w:ind w:left="1560"/>
      </w:pPr>
      <w:r w:rsidRPr="00D33B70">
        <w:t>decreased cost of flood damage to properties protected by the scheme;</w:t>
      </w:r>
    </w:p>
    <w:p w:rsidR="00EF2A8B" w:rsidRPr="00D33B70" w:rsidRDefault="00EF2A8B" w:rsidP="00EF2A8B">
      <w:pPr>
        <w:pStyle w:val="Bullets"/>
        <w:numPr>
          <w:ilvl w:val="0"/>
          <w:numId w:val="16"/>
        </w:numPr>
        <w:tabs>
          <w:tab w:val="left" w:pos="1560"/>
        </w:tabs>
        <w:ind w:left="1560"/>
      </w:pPr>
      <w:r w:rsidRPr="00D33B70">
        <w:t>decreased potential for loss of life during a flood event within the area protected by the scheme; and</w:t>
      </w:r>
    </w:p>
    <w:p w:rsidR="00EF2A8B" w:rsidRPr="00D33B70" w:rsidRDefault="00EF2A8B" w:rsidP="00EF2A8B">
      <w:pPr>
        <w:pStyle w:val="Bullets"/>
        <w:numPr>
          <w:ilvl w:val="0"/>
          <w:numId w:val="16"/>
        </w:numPr>
        <w:tabs>
          <w:tab w:val="left" w:pos="1560"/>
        </w:tabs>
        <w:ind w:left="1560"/>
      </w:pPr>
      <w:r w:rsidRPr="00D33B70">
        <w:t>decreased emotional, social and psychological trauma experienced by residents in times of flooding.</w:t>
      </w:r>
    </w:p>
    <w:p w:rsidR="00EF2A8B" w:rsidRPr="00D33B70" w:rsidRDefault="00EF2A8B" w:rsidP="00EF2A8B">
      <w:pPr>
        <w:pStyle w:val="Text"/>
        <w:numPr>
          <w:ilvl w:val="12"/>
          <w:numId w:val="0"/>
        </w:numPr>
        <w:ind w:left="851"/>
      </w:pPr>
      <w:r w:rsidRPr="00D33B70">
        <w:t>It is important to note that flood management schemes can have the effect of increasing flood levels in other areas, thereby resulting in increased flood damages to properties elsewhere.</w:t>
      </w:r>
    </w:p>
    <w:p w:rsidR="00EF2A8B" w:rsidRPr="00D33B70" w:rsidRDefault="00EF2A8B" w:rsidP="00EF2A8B">
      <w:pPr>
        <w:pStyle w:val="Text"/>
        <w:numPr>
          <w:ilvl w:val="12"/>
          <w:numId w:val="0"/>
        </w:numPr>
        <w:ind w:left="851"/>
      </w:pPr>
      <w:r w:rsidRPr="00D33B70">
        <w:t>Of the factors listed above, the change in flood damages is the only one that can be easily quantified in monetary terms.  In Section</w:t>
      </w:r>
      <w:r w:rsidR="005533F8" w:rsidRPr="00D33B70">
        <w:t xml:space="preserve"> </w:t>
      </w:r>
      <w:r w:rsidR="005533F8" w:rsidRPr="00D33B70">
        <w:fldChar w:fldCharType="begin"/>
      </w:r>
      <w:r w:rsidR="005533F8" w:rsidRPr="00D33B70">
        <w:instrText xml:space="preserve"> REF _Ref367885804 \r \h </w:instrText>
      </w:r>
      <w:r w:rsidR="005533F8" w:rsidRPr="00D33B70">
        <w:fldChar w:fldCharType="separate"/>
      </w:r>
      <w:r w:rsidR="00AC6986">
        <w:t>6</w:t>
      </w:r>
      <w:r w:rsidR="005533F8" w:rsidRPr="00D33B70">
        <w:fldChar w:fldCharType="end"/>
      </w:r>
      <w:r w:rsidRPr="00D33B70">
        <w:t>, the flood damages for the existing study area were calculated.  The reductions (or increases) in these damages have been calculated to quantify the monetary benefit of each scheme.</w:t>
      </w:r>
    </w:p>
    <w:p w:rsidR="00EF2A8B" w:rsidRPr="00D33B70" w:rsidRDefault="00EF2A8B" w:rsidP="00EF2A8B">
      <w:pPr>
        <w:pStyle w:val="Text"/>
        <w:numPr>
          <w:ilvl w:val="12"/>
          <w:numId w:val="0"/>
        </w:numPr>
        <w:ind w:left="851"/>
      </w:pPr>
      <w:r w:rsidRPr="00D33B70">
        <w:t>The overall financial viability of a scheme is initially assessed by calculating the monetary benefit-cost ratio (BCR).  These ratios are used to evaluate the economic potential for the option to be undertaken.  A monetary benefit-cost ratio of 1.0 indicates that the monetary benefits are equal to the monetary costs.  A ratio greater than 1.0 indicates that the benefits are greater than the costs while a ratio less than 1.0 indicates that the costs are greater than the benefits.  The change in infrastructure damage as a result of implementing the scheme is not included in the benefit-cost analysis.</w:t>
      </w:r>
    </w:p>
    <w:p w:rsidR="00EF2A8B" w:rsidRPr="00D33B70" w:rsidRDefault="00EF2A8B" w:rsidP="00EF2A8B">
      <w:pPr>
        <w:pStyle w:val="Text"/>
        <w:numPr>
          <w:ilvl w:val="12"/>
          <w:numId w:val="0"/>
        </w:numPr>
        <w:ind w:left="851"/>
      </w:pPr>
      <w:r w:rsidRPr="00D33B70">
        <w:t>In floodplain management, a BCR substantially less than 1.0 may still be considered viable because the economic analysis does not include the intangible benefits of a flood mitigation scheme.</w:t>
      </w:r>
    </w:p>
    <w:p w:rsidR="00EF2A8B" w:rsidRPr="00D33B70" w:rsidRDefault="00EF2A8B" w:rsidP="00EF2A8B">
      <w:pPr>
        <w:pStyle w:val="Text"/>
        <w:numPr>
          <w:ilvl w:val="12"/>
          <w:numId w:val="0"/>
        </w:numPr>
        <w:ind w:left="851"/>
      </w:pPr>
      <w:r w:rsidRPr="00D33B70">
        <w:t>In order to calculate the BCR, the annual financial benefit (the change in average annual damages) of a scheme is summed over the financial project life and converted to present value.</w:t>
      </w:r>
    </w:p>
    <w:p w:rsidR="00EF2A8B" w:rsidRPr="00D33B70" w:rsidRDefault="00EF2A8B" w:rsidP="00EF2A8B">
      <w:pPr>
        <w:pStyle w:val="Text"/>
        <w:numPr>
          <w:ilvl w:val="12"/>
          <w:numId w:val="0"/>
        </w:numPr>
        <w:ind w:left="851"/>
      </w:pPr>
      <w:r w:rsidRPr="00D33B70">
        <w:t>A financial project life of 30 years was chosen for this study.  This does not imply that the projected structural life of the scheme is only 30 years.  In fact, some measures should be effective in reducing the frequency of flooding for centuries to come.</w:t>
      </w:r>
    </w:p>
    <w:p w:rsidR="00EF2A8B" w:rsidRPr="00D33B70" w:rsidRDefault="00EF2A8B" w:rsidP="00EF2A8B">
      <w:pPr>
        <w:pStyle w:val="Text"/>
        <w:numPr>
          <w:ilvl w:val="12"/>
          <w:numId w:val="0"/>
        </w:numPr>
        <w:ind w:left="851"/>
      </w:pPr>
      <w:r w:rsidRPr="00D33B70">
        <w:t>It is not correct to simply multiply a long term average annual benefit by the financial project life of 30 years to derive a total worth of the benefits.  To do so would ignore the important point that the benefits from this scheme (i.e. reduced flood damages) will occur over time and in the future.</w:t>
      </w:r>
    </w:p>
    <w:p w:rsidR="00EF2A8B" w:rsidRPr="00D33B70" w:rsidRDefault="00EF2A8B" w:rsidP="00EF2A8B">
      <w:pPr>
        <w:pStyle w:val="Text"/>
        <w:numPr>
          <w:ilvl w:val="12"/>
          <w:numId w:val="0"/>
        </w:numPr>
        <w:ind w:left="851"/>
      </w:pPr>
      <w:r w:rsidRPr="00D33B70">
        <w:lastRenderedPageBreak/>
        <w:t xml:space="preserve">For example, a benefit of $2.3 million to be gained in 10 </w:t>
      </w:r>
      <w:r w:rsidR="002A4631" w:rsidRPr="00D33B70">
        <w:t>years’ time</w:t>
      </w:r>
      <w:r w:rsidRPr="00D33B70">
        <w:t xml:space="preserve"> is not worth $2.3 million now but only $1.2 million now.  This is because $1.2 million could be invested now and appreciate at say 7% p.a. over and above inflation for 10 years.  This would then be equivalent to $2.3 million in 10 </w:t>
      </w:r>
      <w:r w:rsidR="00187766" w:rsidRPr="00D33B70">
        <w:t>years’ time</w:t>
      </w:r>
      <w:r w:rsidRPr="00D33B70">
        <w:t>.  This is called the Present Value of the benefit.  It is a universally accepted economic theory and used in all major project economic analyses.  The adopted rate of 7% is called the discount rate and is the middle of the range 6 to 8% typically considered for assessing public works.</w:t>
      </w:r>
    </w:p>
    <w:p w:rsidR="00EF2A8B" w:rsidRPr="00D33B70" w:rsidRDefault="00EF2A8B" w:rsidP="00EF2A8B">
      <w:pPr>
        <w:pStyle w:val="Text"/>
        <w:numPr>
          <w:ilvl w:val="12"/>
          <w:numId w:val="0"/>
        </w:numPr>
        <w:ind w:left="851"/>
      </w:pPr>
      <w:r w:rsidRPr="00D33B70">
        <w:t xml:space="preserve">As an example, </w:t>
      </w:r>
      <w:r w:rsidR="005533F8" w:rsidRPr="00D33B70">
        <w:fldChar w:fldCharType="begin"/>
      </w:r>
      <w:r w:rsidR="005533F8" w:rsidRPr="00D33B70">
        <w:instrText xml:space="preserve"> REF _Ref367885829 \h </w:instrText>
      </w:r>
      <w:r w:rsidR="005533F8" w:rsidRPr="00D33B70">
        <w:fldChar w:fldCharType="separate"/>
      </w:r>
      <w:r w:rsidR="00AC6986" w:rsidRPr="00D33B70">
        <w:t xml:space="preserve">Table </w:t>
      </w:r>
      <w:r w:rsidR="00AC6986">
        <w:rPr>
          <w:noProof/>
        </w:rPr>
        <w:t>8</w:t>
      </w:r>
      <w:r w:rsidR="00AC6986" w:rsidRPr="00D33B70">
        <w:noBreakHyphen/>
      </w:r>
      <w:r w:rsidR="00AC6986">
        <w:rPr>
          <w:noProof/>
        </w:rPr>
        <w:t>1</w:t>
      </w:r>
      <w:r w:rsidR="005533F8" w:rsidRPr="00D33B70">
        <w:fldChar w:fldCharType="end"/>
      </w:r>
      <w:r w:rsidR="005533F8" w:rsidRPr="00D33B70">
        <w:t xml:space="preserve"> </w:t>
      </w:r>
      <w:r w:rsidRPr="00D33B70">
        <w:t>shows the present value of the annual benefit realised at different times over a 50 year period.</w:t>
      </w:r>
    </w:p>
    <w:p w:rsidR="00FF3C04" w:rsidRPr="00D33B70" w:rsidRDefault="00FF3C04" w:rsidP="00FF3C04">
      <w:pPr>
        <w:pStyle w:val="Caption"/>
        <w:keepNext/>
      </w:pPr>
      <w:bookmarkStart w:id="338" w:name="_Ref367885829"/>
      <w:bookmarkStart w:id="339" w:name="_Toc387308991"/>
      <w:r w:rsidRPr="00D33B70">
        <w:t xml:space="preserve">Table </w:t>
      </w:r>
      <w:r w:rsidRPr="00D33B70">
        <w:fldChar w:fldCharType="begin"/>
      </w:r>
      <w:r w:rsidRPr="00D33B70">
        <w:instrText xml:space="preserve"> STYLEREF 1 \s </w:instrText>
      </w:r>
      <w:r w:rsidRPr="00D33B70">
        <w:fldChar w:fldCharType="separate"/>
      </w:r>
      <w:r w:rsidR="00AC6986">
        <w:rPr>
          <w:noProof/>
        </w:rPr>
        <w:t>8</w:t>
      </w:r>
      <w:r w:rsidRPr="00D33B70">
        <w:fldChar w:fldCharType="end"/>
      </w:r>
      <w:r w:rsidRPr="00D33B70">
        <w:noBreakHyphen/>
      </w:r>
      <w:r w:rsidRPr="00D33B70">
        <w:fldChar w:fldCharType="begin"/>
      </w:r>
      <w:r w:rsidRPr="00D33B70">
        <w:instrText xml:space="preserve"> SEQ Table \* ARABIC \s 1 </w:instrText>
      </w:r>
      <w:r w:rsidRPr="00D33B70">
        <w:fldChar w:fldCharType="separate"/>
      </w:r>
      <w:r w:rsidR="00AC6986">
        <w:rPr>
          <w:noProof/>
        </w:rPr>
        <w:t>1</w:t>
      </w:r>
      <w:r w:rsidRPr="00D33B70">
        <w:fldChar w:fldCharType="end"/>
      </w:r>
      <w:bookmarkEnd w:id="338"/>
      <w:r w:rsidRPr="00D33B70">
        <w:tab/>
        <w:t>Present Value of Annual Benefits</w:t>
      </w:r>
      <w:bookmarkEnd w:id="339"/>
    </w:p>
    <w:tbl>
      <w:tblPr>
        <w:tblW w:w="0" w:type="auto"/>
        <w:tblInd w:w="9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126"/>
        <w:gridCol w:w="3827"/>
        <w:gridCol w:w="2835"/>
      </w:tblGrid>
      <w:tr w:rsidR="00EF2A8B" w:rsidRPr="00D33B70" w:rsidTr="00CC5D90">
        <w:tc>
          <w:tcPr>
            <w:tcW w:w="2126" w:type="dxa"/>
            <w:tcBorders>
              <w:top w:val="single" w:sz="6" w:space="0" w:color="auto"/>
              <w:left w:val="single" w:sz="6" w:space="0" w:color="auto"/>
              <w:bottom w:val="single" w:sz="6" w:space="0" w:color="auto"/>
              <w:right w:val="single" w:sz="6" w:space="0" w:color="auto"/>
            </w:tcBorders>
            <w:shd w:val="pct10" w:color="auto" w:fill="auto"/>
          </w:tcPr>
          <w:p w:rsidR="00EF2A8B" w:rsidRPr="00D33B70" w:rsidRDefault="00EF2A8B" w:rsidP="00CC5D90">
            <w:pPr>
              <w:numPr>
                <w:ilvl w:val="12"/>
                <w:numId w:val="0"/>
              </w:numPr>
              <w:spacing w:before="90" w:after="54" w:line="240" w:lineRule="exact"/>
              <w:jc w:val="center"/>
              <w:rPr>
                <w:b/>
              </w:rPr>
            </w:pPr>
            <w:r w:rsidRPr="00D33B70">
              <w:rPr>
                <w:b/>
              </w:rPr>
              <w:t>Year</w:t>
            </w:r>
          </w:p>
        </w:tc>
        <w:tc>
          <w:tcPr>
            <w:tcW w:w="3827" w:type="dxa"/>
            <w:tcBorders>
              <w:top w:val="single" w:sz="6" w:space="0" w:color="auto"/>
              <w:left w:val="single" w:sz="6" w:space="0" w:color="auto"/>
              <w:bottom w:val="single" w:sz="6" w:space="0" w:color="auto"/>
              <w:right w:val="single" w:sz="6" w:space="0" w:color="auto"/>
            </w:tcBorders>
            <w:shd w:val="pct10" w:color="auto" w:fill="auto"/>
          </w:tcPr>
          <w:p w:rsidR="00EF2A8B" w:rsidRPr="00D33B70" w:rsidRDefault="00EF2A8B" w:rsidP="00CC5D90">
            <w:pPr>
              <w:numPr>
                <w:ilvl w:val="12"/>
                <w:numId w:val="0"/>
              </w:numPr>
              <w:spacing w:before="90" w:after="54" w:line="240" w:lineRule="exact"/>
              <w:jc w:val="center"/>
              <w:rPr>
                <w:b/>
              </w:rPr>
            </w:pPr>
            <w:r w:rsidRPr="00D33B70">
              <w:rPr>
                <w:b/>
              </w:rPr>
              <w:t>Average Annual Benefit ($ million)</w:t>
            </w:r>
          </w:p>
        </w:tc>
        <w:tc>
          <w:tcPr>
            <w:tcW w:w="2835" w:type="dxa"/>
            <w:tcBorders>
              <w:top w:val="single" w:sz="6" w:space="0" w:color="auto"/>
              <w:left w:val="single" w:sz="6" w:space="0" w:color="auto"/>
              <w:bottom w:val="single" w:sz="6" w:space="0" w:color="auto"/>
              <w:right w:val="single" w:sz="6" w:space="0" w:color="auto"/>
            </w:tcBorders>
            <w:shd w:val="pct10" w:color="auto" w:fill="auto"/>
          </w:tcPr>
          <w:p w:rsidR="00EF2A8B" w:rsidRPr="00D33B70" w:rsidRDefault="00EF2A8B" w:rsidP="00CC5D90">
            <w:pPr>
              <w:numPr>
                <w:ilvl w:val="12"/>
                <w:numId w:val="0"/>
              </w:numPr>
              <w:spacing w:before="90" w:after="54" w:line="240" w:lineRule="exact"/>
              <w:jc w:val="center"/>
              <w:rPr>
                <w:b/>
              </w:rPr>
            </w:pPr>
            <w:r w:rsidRPr="00D33B70">
              <w:rPr>
                <w:b/>
              </w:rPr>
              <w:t>Present Value ($ million)</w:t>
            </w:r>
          </w:p>
        </w:tc>
      </w:tr>
      <w:tr w:rsidR="00EF2A8B" w:rsidRPr="00D33B70" w:rsidTr="00CC5D90">
        <w:tc>
          <w:tcPr>
            <w:tcW w:w="2126" w:type="dxa"/>
            <w:tcBorders>
              <w:top w:val="single" w:sz="6" w:space="0" w:color="auto"/>
              <w:left w:val="single" w:sz="6" w:space="0" w:color="auto"/>
              <w:bottom w:val="single" w:sz="6" w:space="0" w:color="auto"/>
              <w:right w:val="single" w:sz="6" w:space="0" w:color="auto"/>
            </w:tcBorders>
          </w:tcPr>
          <w:p w:rsidR="00EF2A8B" w:rsidRPr="00D33B70" w:rsidRDefault="00EF2A8B" w:rsidP="00CC5D90">
            <w:pPr>
              <w:numPr>
                <w:ilvl w:val="12"/>
                <w:numId w:val="0"/>
              </w:numPr>
              <w:spacing w:before="90" w:after="54" w:line="240" w:lineRule="exact"/>
              <w:jc w:val="center"/>
            </w:pPr>
            <w:r w:rsidRPr="00D33B70">
              <w:t>0</w:t>
            </w:r>
          </w:p>
          <w:p w:rsidR="00EF2A8B" w:rsidRPr="00D33B70" w:rsidRDefault="00EF2A8B" w:rsidP="00CC5D90">
            <w:pPr>
              <w:numPr>
                <w:ilvl w:val="12"/>
                <w:numId w:val="0"/>
              </w:numPr>
              <w:spacing w:before="90" w:after="54" w:line="240" w:lineRule="exact"/>
              <w:jc w:val="center"/>
            </w:pPr>
            <w:r w:rsidRPr="00D33B70">
              <w:t>1</w:t>
            </w:r>
          </w:p>
          <w:p w:rsidR="00EF2A8B" w:rsidRPr="00D33B70" w:rsidRDefault="00EF2A8B" w:rsidP="00CC5D90">
            <w:pPr>
              <w:numPr>
                <w:ilvl w:val="12"/>
                <w:numId w:val="0"/>
              </w:numPr>
              <w:spacing w:before="90" w:after="54" w:line="240" w:lineRule="exact"/>
              <w:jc w:val="center"/>
            </w:pPr>
            <w:r w:rsidRPr="00D33B70">
              <w:t>10</w:t>
            </w:r>
          </w:p>
          <w:p w:rsidR="00EF2A8B" w:rsidRPr="00D33B70" w:rsidRDefault="00EF2A8B" w:rsidP="00CC5D90">
            <w:pPr>
              <w:numPr>
                <w:ilvl w:val="12"/>
                <w:numId w:val="0"/>
              </w:numPr>
              <w:spacing w:before="90" w:after="54" w:line="240" w:lineRule="exact"/>
              <w:jc w:val="center"/>
            </w:pPr>
            <w:r w:rsidRPr="00D33B70">
              <w:t>25</w:t>
            </w:r>
          </w:p>
          <w:p w:rsidR="00EF2A8B" w:rsidRPr="00D33B70" w:rsidRDefault="00EF2A8B" w:rsidP="00CC5D90">
            <w:pPr>
              <w:numPr>
                <w:ilvl w:val="12"/>
                <w:numId w:val="0"/>
              </w:numPr>
              <w:spacing w:before="90" w:after="54" w:line="240" w:lineRule="exact"/>
              <w:jc w:val="center"/>
            </w:pPr>
            <w:r w:rsidRPr="00D33B70">
              <w:t>50</w:t>
            </w:r>
          </w:p>
        </w:tc>
        <w:tc>
          <w:tcPr>
            <w:tcW w:w="3827" w:type="dxa"/>
            <w:tcBorders>
              <w:top w:val="single" w:sz="6" w:space="0" w:color="auto"/>
              <w:left w:val="single" w:sz="6" w:space="0" w:color="auto"/>
              <w:bottom w:val="single" w:sz="6" w:space="0" w:color="auto"/>
              <w:right w:val="single" w:sz="6" w:space="0" w:color="auto"/>
            </w:tcBorders>
          </w:tcPr>
          <w:p w:rsidR="00EF2A8B" w:rsidRPr="00D33B70" w:rsidRDefault="00EF2A8B" w:rsidP="00CC5D90">
            <w:pPr>
              <w:numPr>
                <w:ilvl w:val="12"/>
                <w:numId w:val="0"/>
              </w:numPr>
              <w:spacing w:before="90" w:after="54" w:line="240" w:lineRule="exact"/>
              <w:jc w:val="center"/>
            </w:pPr>
            <w:r w:rsidRPr="00D33B70">
              <w:t>2.3</w:t>
            </w:r>
          </w:p>
          <w:p w:rsidR="00EF2A8B" w:rsidRPr="00D33B70" w:rsidRDefault="00EF2A8B" w:rsidP="00CC5D90">
            <w:pPr>
              <w:numPr>
                <w:ilvl w:val="12"/>
                <w:numId w:val="0"/>
              </w:numPr>
              <w:spacing w:before="90" w:after="54" w:line="240" w:lineRule="exact"/>
              <w:jc w:val="center"/>
            </w:pPr>
            <w:r w:rsidRPr="00D33B70">
              <w:t>2.3</w:t>
            </w:r>
          </w:p>
          <w:p w:rsidR="00EF2A8B" w:rsidRPr="00D33B70" w:rsidRDefault="00EF2A8B" w:rsidP="00CC5D90">
            <w:pPr>
              <w:numPr>
                <w:ilvl w:val="12"/>
                <w:numId w:val="0"/>
              </w:numPr>
              <w:spacing w:before="90" w:after="54" w:line="240" w:lineRule="exact"/>
              <w:jc w:val="center"/>
            </w:pPr>
            <w:r w:rsidRPr="00D33B70">
              <w:t>2.3</w:t>
            </w:r>
          </w:p>
          <w:p w:rsidR="00EF2A8B" w:rsidRPr="00D33B70" w:rsidRDefault="00EF2A8B" w:rsidP="00CC5D90">
            <w:pPr>
              <w:numPr>
                <w:ilvl w:val="12"/>
                <w:numId w:val="0"/>
              </w:numPr>
              <w:spacing w:before="90" w:after="54" w:line="240" w:lineRule="exact"/>
              <w:jc w:val="center"/>
            </w:pPr>
            <w:r w:rsidRPr="00D33B70">
              <w:t>2.3</w:t>
            </w:r>
          </w:p>
          <w:p w:rsidR="00EF2A8B" w:rsidRPr="00D33B70" w:rsidRDefault="00EF2A8B" w:rsidP="00CC5D90">
            <w:pPr>
              <w:numPr>
                <w:ilvl w:val="12"/>
                <w:numId w:val="0"/>
              </w:numPr>
              <w:spacing w:before="90" w:after="54" w:line="240" w:lineRule="exact"/>
              <w:jc w:val="center"/>
            </w:pPr>
            <w:r w:rsidRPr="00D33B70">
              <w:t>2.3</w:t>
            </w:r>
          </w:p>
        </w:tc>
        <w:tc>
          <w:tcPr>
            <w:tcW w:w="2835" w:type="dxa"/>
            <w:tcBorders>
              <w:top w:val="single" w:sz="6" w:space="0" w:color="auto"/>
              <w:left w:val="single" w:sz="6" w:space="0" w:color="auto"/>
              <w:bottom w:val="single" w:sz="6" w:space="0" w:color="auto"/>
              <w:right w:val="single" w:sz="6" w:space="0" w:color="auto"/>
            </w:tcBorders>
          </w:tcPr>
          <w:p w:rsidR="00EF2A8B" w:rsidRPr="00D33B70" w:rsidRDefault="00EF2A8B" w:rsidP="00CC5D90">
            <w:pPr>
              <w:numPr>
                <w:ilvl w:val="12"/>
                <w:numId w:val="0"/>
              </w:numPr>
              <w:spacing w:before="90" w:after="54" w:line="240" w:lineRule="exact"/>
              <w:jc w:val="center"/>
            </w:pPr>
            <w:r w:rsidRPr="00D33B70">
              <w:t>2.3</w:t>
            </w:r>
          </w:p>
          <w:p w:rsidR="00EF2A8B" w:rsidRPr="00D33B70" w:rsidRDefault="00EF2A8B" w:rsidP="00CC5D90">
            <w:pPr>
              <w:numPr>
                <w:ilvl w:val="12"/>
                <w:numId w:val="0"/>
              </w:numPr>
              <w:spacing w:before="90" w:after="54" w:line="240" w:lineRule="exact"/>
              <w:jc w:val="center"/>
            </w:pPr>
            <w:r w:rsidRPr="00D33B70">
              <w:t>2.2</w:t>
            </w:r>
          </w:p>
          <w:p w:rsidR="00EF2A8B" w:rsidRPr="00D33B70" w:rsidRDefault="00EF2A8B" w:rsidP="00CC5D90">
            <w:pPr>
              <w:numPr>
                <w:ilvl w:val="12"/>
                <w:numId w:val="0"/>
              </w:numPr>
              <w:spacing w:before="90" w:after="54" w:line="240" w:lineRule="exact"/>
              <w:jc w:val="center"/>
            </w:pPr>
            <w:r w:rsidRPr="00D33B70">
              <w:t>1.2</w:t>
            </w:r>
          </w:p>
          <w:p w:rsidR="00EF2A8B" w:rsidRPr="00D33B70" w:rsidRDefault="00EF2A8B" w:rsidP="00CC5D90">
            <w:pPr>
              <w:numPr>
                <w:ilvl w:val="12"/>
                <w:numId w:val="0"/>
              </w:numPr>
              <w:spacing w:before="90" w:after="54" w:line="240" w:lineRule="exact"/>
              <w:jc w:val="center"/>
            </w:pPr>
            <w:r w:rsidRPr="00D33B70">
              <w:t>0.4</w:t>
            </w:r>
          </w:p>
          <w:p w:rsidR="00EF2A8B" w:rsidRPr="00D33B70" w:rsidRDefault="00EF2A8B" w:rsidP="00CC5D90">
            <w:pPr>
              <w:numPr>
                <w:ilvl w:val="12"/>
                <w:numId w:val="0"/>
              </w:numPr>
              <w:spacing w:before="90" w:after="54" w:line="240" w:lineRule="exact"/>
              <w:jc w:val="center"/>
            </w:pPr>
            <w:r w:rsidRPr="00D33B70">
              <w:t>0.1</w:t>
            </w:r>
          </w:p>
        </w:tc>
      </w:tr>
    </w:tbl>
    <w:p w:rsidR="00EF2A8B" w:rsidRPr="00D33B70" w:rsidRDefault="00EF2A8B" w:rsidP="00EF2A8B">
      <w:pPr>
        <w:pStyle w:val="Text"/>
        <w:numPr>
          <w:ilvl w:val="12"/>
          <w:numId w:val="0"/>
        </w:numPr>
        <w:ind w:left="851"/>
      </w:pPr>
      <w:r w:rsidRPr="00D33B70">
        <w:t>If the present value benefits for each year are totalled for the 50 years, the total present value (or total benefit) of the benefits is $31.7 million.  The calculation of the total benefit can be simplified through the use of a Present Value Factor.  Rather than calculating the present value for each year and summing to calculate the total benefit, a Present Value Factor can be used when the average annual benefit is identical in each year.  The Present Value Factor is calculated using equation (1).  The Present Value Factor is multiplied by the average annual benefit to calculate the total benefit.  The Present Value Factor is 13.8 for a 50 year period and a discount rate of 7%.</w:t>
      </w:r>
    </w:p>
    <w:p w:rsidR="00EF2A8B" w:rsidRPr="00D33B70" w:rsidRDefault="00EF2A8B" w:rsidP="00EF2A8B">
      <w:pPr>
        <w:pStyle w:val="Text"/>
        <w:numPr>
          <w:ilvl w:val="12"/>
          <w:numId w:val="0"/>
        </w:numPr>
        <w:ind w:left="851"/>
      </w:pPr>
      <w:r w:rsidRPr="00D33B70">
        <w:t>It is interesting to note that if a longer financial project life of say, 100 years was chosen then the total present value of the benefits is only $1.1 million more at $32.8 million.  This is due to the fact that the present value of the benefits to be accrued in the second 50 year period is low because of the length of time until the benefits are realised.</w:t>
      </w:r>
    </w:p>
    <w:p w:rsidR="00EF2A8B" w:rsidRPr="00D33B70" w:rsidRDefault="00EF2A8B" w:rsidP="00EF2A8B">
      <w:pPr>
        <w:pStyle w:val="Text1"/>
      </w:pPr>
    </w:p>
    <w:p w:rsidR="00EF2A8B" w:rsidRPr="00D33B70" w:rsidRDefault="00EF2A8B" w:rsidP="00EF2A8B">
      <w:pPr>
        <w:numPr>
          <w:ilvl w:val="12"/>
          <w:numId w:val="0"/>
        </w:numPr>
        <w:tabs>
          <w:tab w:val="right" w:pos="9498"/>
        </w:tabs>
        <w:ind w:firstLine="1276"/>
        <w:jc w:val="center"/>
      </w:pPr>
      <w:r w:rsidRPr="00D33B70">
        <w:rPr>
          <w:position w:val="-24"/>
        </w:rPr>
        <w:object w:dxaOrig="154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7pt;height:52.15pt" o:ole="">
            <v:imagedata r:id="rId31" o:title=""/>
          </v:shape>
          <o:OLEObject Type="Embed" ProgID="Equation.3" ShapeID="_x0000_i1026" DrawAspect="Content" ObjectID="_1461051840" r:id="rId32"/>
        </w:object>
      </w:r>
      <w:r w:rsidRPr="00D33B70">
        <w:t xml:space="preserve">                                                                                                                     (1)</w:t>
      </w:r>
    </w:p>
    <w:p w:rsidR="00EF2A8B" w:rsidRPr="00D33B70" w:rsidRDefault="00EF2A8B" w:rsidP="00EF2A8B">
      <w:pPr>
        <w:numPr>
          <w:ilvl w:val="12"/>
          <w:numId w:val="0"/>
        </w:numPr>
        <w:ind w:left="1531" w:firstLine="169"/>
      </w:pPr>
      <w:r w:rsidRPr="00D33B70">
        <w:tab/>
      </w:r>
    </w:p>
    <w:p w:rsidR="00EF2A8B" w:rsidRPr="00D33B70" w:rsidRDefault="00EF2A8B" w:rsidP="00EF2A8B">
      <w:pPr>
        <w:numPr>
          <w:ilvl w:val="12"/>
          <w:numId w:val="0"/>
        </w:numPr>
      </w:pPr>
      <w:r w:rsidRPr="00D33B70">
        <w:tab/>
      </w:r>
      <w:r w:rsidRPr="00D33B70">
        <w:tab/>
      </w:r>
      <w:r w:rsidRPr="00D33B70">
        <w:tab/>
        <w:t>where</w:t>
      </w:r>
      <w:r w:rsidRPr="00D33B70">
        <w:tab/>
      </w:r>
    </w:p>
    <w:p w:rsidR="00EF2A8B" w:rsidRPr="00D33B70" w:rsidRDefault="00EF2A8B" w:rsidP="00EF2A8B">
      <w:pPr>
        <w:numPr>
          <w:ilvl w:val="12"/>
          <w:numId w:val="0"/>
        </w:numPr>
        <w:rPr>
          <w:i/>
        </w:rPr>
      </w:pPr>
      <w:r w:rsidRPr="00D33B70">
        <w:tab/>
      </w:r>
      <w:r w:rsidRPr="00D33B70">
        <w:tab/>
      </w:r>
      <w:r w:rsidRPr="00D33B70">
        <w:tab/>
      </w:r>
      <w:r w:rsidRPr="00D33B70">
        <w:rPr>
          <w:i/>
        </w:rPr>
        <w:t xml:space="preserve">n </w:t>
      </w:r>
      <w:r w:rsidRPr="00D33B70">
        <w:t>is the number of years</w:t>
      </w:r>
    </w:p>
    <w:p w:rsidR="00EF2A8B" w:rsidRPr="00D33B70" w:rsidRDefault="00EF2A8B" w:rsidP="00EF2A8B">
      <w:pPr>
        <w:numPr>
          <w:ilvl w:val="12"/>
          <w:numId w:val="0"/>
        </w:numPr>
        <w:rPr>
          <w:i/>
        </w:rPr>
      </w:pPr>
      <w:r w:rsidRPr="00D33B70">
        <w:rPr>
          <w:i/>
        </w:rPr>
        <w:tab/>
      </w:r>
      <w:r w:rsidRPr="00D33B70">
        <w:rPr>
          <w:i/>
        </w:rPr>
        <w:tab/>
      </w:r>
      <w:r w:rsidRPr="00D33B70">
        <w:rPr>
          <w:i/>
        </w:rPr>
        <w:tab/>
        <w:t xml:space="preserve">i </w:t>
      </w:r>
      <w:r w:rsidRPr="00D33B70">
        <w:t>is the discount rate(%)</w:t>
      </w:r>
    </w:p>
    <w:p w:rsidR="00EF2A8B" w:rsidRPr="00D33B70" w:rsidRDefault="00EF2A8B" w:rsidP="00EF2A8B">
      <w:pPr>
        <w:pStyle w:val="Text"/>
        <w:numPr>
          <w:ilvl w:val="12"/>
          <w:numId w:val="0"/>
        </w:numPr>
        <w:ind w:left="851"/>
      </w:pPr>
      <w:r w:rsidRPr="00D33B70">
        <w:t>The procedure for calculating benefit-cost ratios is outlined below:</w:t>
      </w:r>
    </w:p>
    <w:p w:rsidR="00EF2A8B" w:rsidRPr="00D33B70" w:rsidRDefault="00EF2A8B" w:rsidP="00EF2A8B">
      <w:pPr>
        <w:pStyle w:val="Bullets"/>
        <w:numPr>
          <w:ilvl w:val="0"/>
          <w:numId w:val="16"/>
        </w:numPr>
        <w:tabs>
          <w:tab w:val="left" w:pos="1560"/>
        </w:tabs>
        <w:ind w:left="1560"/>
      </w:pPr>
      <w:r w:rsidRPr="00D33B70">
        <w:t>calculate the average annual benefit associated with the option (i.e. the reduction in average annual damages) using the method described in Section</w:t>
      </w:r>
      <w:r w:rsidR="005533F8" w:rsidRPr="00D33B70">
        <w:t xml:space="preserve">  </w:t>
      </w:r>
      <w:r w:rsidR="005533F8" w:rsidRPr="00D33B70">
        <w:fldChar w:fldCharType="begin"/>
      </w:r>
      <w:r w:rsidR="005533F8" w:rsidRPr="00D33B70">
        <w:instrText xml:space="preserve"> REF _Ref367885863 \r \h </w:instrText>
      </w:r>
      <w:r w:rsidR="005533F8" w:rsidRPr="00D33B70">
        <w:fldChar w:fldCharType="separate"/>
      </w:r>
      <w:r w:rsidR="00AC6986">
        <w:t>6</w:t>
      </w:r>
      <w:r w:rsidR="005533F8" w:rsidRPr="00D33B70">
        <w:fldChar w:fldCharType="end"/>
      </w:r>
      <w:r w:rsidRPr="00D33B70">
        <w:t>;</w:t>
      </w:r>
    </w:p>
    <w:p w:rsidR="00EF2A8B" w:rsidRPr="00D33B70" w:rsidRDefault="00EF2A8B" w:rsidP="00EF2A8B">
      <w:pPr>
        <w:pStyle w:val="Bullets"/>
        <w:numPr>
          <w:ilvl w:val="0"/>
          <w:numId w:val="16"/>
        </w:numPr>
        <w:tabs>
          <w:tab w:val="left" w:pos="1560"/>
        </w:tabs>
        <w:ind w:left="1560"/>
      </w:pPr>
      <w:r w:rsidRPr="00D33B70">
        <w:t>convert the average annual benefit to a total benefit by multiplying by the present value factor; and</w:t>
      </w:r>
    </w:p>
    <w:p w:rsidR="00EF2A8B" w:rsidRPr="00D33B70" w:rsidRDefault="00EF2A8B" w:rsidP="00EF2A8B">
      <w:pPr>
        <w:pStyle w:val="Bullets"/>
        <w:numPr>
          <w:ilvl w:val="0"/>
          <w:numId w:val="16"/>
        </w:numPr>
        <w:tabs>
          <w:tab w:val="left" w:pos="1560"/>
        </w:tabs>
        <w:ind w:left="1560"/>
      </w:pPr>
      <w:r w:rsidRPr="00D33B70">
        <w:t>calculate the total cost of the option.</w:t>
      </w:r>
    </w:p>
    <w:p w:rsidR="00EF2A8B" w:rsidRPr="00D33B70" w:rsidRDefault="00EF2A8B" w:rsidP="00EF2A8B">
      <w:pPr>
        <w:pStyle w:val="Text"/>
        <w:numPr>
          <w:ilvl w:val="12"/>
          <w:numId w:val="0"/>
        </w:numPr>
        <w:ind w:left="851"/>
      </w:pPr>
      <w:r w:rsidRPr="00D33B70">
        <w:lastRenderedPageBreak/>
        <w:t xml:space="preserve">Calculate the monetary </w:t>
      </w:r>
      <w:r w:rsidRPr="00D33B70">
        <w:rPr>
          <w:b/>
        </w:rPr>
        <w:t>benefit-cost</w:t>
      </w:r>
      <w:r w:rsidRPr="00D33B70">
        <w:t xml:space="preserve"> ratio:</w:t>
      </w:r>
      <w:r w:rsidRPr="00D33B70">
        <w:br/>
      </w:r>
    </w:p>
    <w:p w:rsidR="00EF2A8B" w:rsidRPr="00D33B70" w:rsidRDefault="00EF2A8B" w:rsidP="00EF2A8B">
      <w:pPr>
        <w:numPr>
          <w:ilvl w:val="12"/>
          <w:numId w:val="0"/>
        </w:numPr>
        <w:jc w:val="center"/>
      </w:pPr>
      <w:r w:rsidRPr="00D33B70">
        <w:rPr>
          <w:position w:val="-30"/>
        </w:rPr>
        <w:object w:dxaOrig="3600" w:dyaOrig="680">
          <v:shape id="_x0000_i1027" type="#_x0000_t75" style="width:181.25pt;height:33.5pt" o:ole="">
            <v:imagedata r:id="rId33" o:title=""/>
          </v:shape>
          <o:OLEObject Type="Embed" ProgID="Equation.3" ShapeID="_x0000_i1027" DrawAspect="Content" ObjectID="_1461051841" r:id="rId34"/>
        </w:object>
      </w:r>
    </w:p>
    <w:p w:rsidR="00EF2A8B" w:rsidRPr="00D33B70" w:rsidRDefault="00EF2A8B" w:rsidP="00EF2A8B">
      <w:pPr>
        <w:pStyle w:val="Text"/>
        <w:numPr>
          <w:ilvl w:val="12"/>
          <w:numId w:val="0"/>
        </w:numPr>
        <w:ind w:left="851"/>
      </w:pPr>
      <w:r w:rsidRPr="00D33B70">
        <w:t>It is important to recognise that the monetary benefit-cost ratios represent only one of the issues that must be considered in respect to the viability of an option.  Other issues such as social and psychological impacts, although difficult to quantify, must be included in the complete assessment.</w:t>
      </w:r>
    </w:p>
    <w:p w:rsidR="00EF2A8B" w:rsidRPr="00D33B70" w:rsidRDefault="00EF2A8B" w:rsidP="00EF2A8B">
      <w:pPr>
        <w:pStyle w:val="Text"/>
        <w:numPr>
          <w:ilvl w:val="12"/>
          <w:numId w:val="0"/>
        </w:numPr>
        <w:ind w:left="851"/>
      </w:pPr>
      <w:r w:rsidRPr="00D33B70">
        <w:t>Benefit-cost ratios may be sensitive to variations and/or inaccuracies in the following:</w:t>
      </w:r>
    </w:p>
    <w:p w:rsidR="00EF2A8B" w:rsidRPr="00D33B70" w:rsidRDefault="00EF2A8B" w:rsidP="00EF2A8B">
      <w:pPr>
        <w:pStyle w:val="Bullets"/>
        <w:numPr>
          <w:ilvl w:val="0"/>
          <w:numId w:val="16"/>
        </w:numPr>
        <w:tabs>
          <w:tab w:val="left" w:pos="1247"/>
        </w:tabs>
        <w:ind w:left="1587"/>
      </w:pPr>
      <w:r w:rsidRPr="00D33B70">
        <w:t>difficulties associated with upgrading pipes under existing roads;</w:t>
      </w:r>
    </w:p>
    <w:p w:rsidR="00EF2A8B" w:rsidRPr="00D33B70" w:rsidRDefault="00EF2A8B" w:rsidP="00EF2A8B">
      <w:pPr>
        <w:pStyle w:val="Bullets"/>
        <w:numPr>
          <w:ilvl w:val="0"/>
          <w:numId w:val="16"/>
        </w:numPr>
        <w:tabs>
          <w:tab w:val="left" w:pos="1247"/>
        </w:tabs>
        <w:ind w:left="1587"/>
      </w:pPr>
      <w:r w:rsidRPr="00D33B70">
        <w:t>service conflicts;</w:t>
      </w:r>
    </w:p>
    <w:p w:rsidR="00EF2A8B" w:rsidRPr="00D33B70" w:rsidRDefault="00EF2A8B" w:rsidP="00EF2A8B">
      <w:pPr>
        <w:pStyle w:val="Bullets"/>
        <w:numPr>
          <w:ilvl w:val="0"/>
          <w:numId w:val="16"/>
        </w:numPr>
        <w:tabs>
          <w:tab w:val="left" w:pos="1247"/>
        </w:tabs>
        <w:ind w:left="1587"/>
      </w:pPr>
      <w:r w:rsidRPr="00D33B70">
        <w:t>difficulties associated with trenching near buildings and power poles; and</w:t>
      </w:r>
    </w:p>
    <w:p w:rsidR="00EF2A8B" w:rsidRPr="00D33B70" w:rsidRDefault="00EF2A8B" w:rsidP="00EF2A8B">
      <w:pPr>
        <w:pStyle w:val="Bullets"/>
        <w:numPr>
          <w:ilvl w:val="0"/>
          <w:numId w:val="16"/>
        </w:numPr>
        <w:tabs>
          <w:tab w:val="left" w:pos="1247"/>
        </w:tabs>
        <w:ind w:left="1587"/>
      </w:pPr>
      <w:r w:rsidRPr="00D33B70">
        <w:t>construction, maintenance and operation costs.</w:t>
      </w:r>
    </w:p>
    <w:p w:rsidR="00EF2A8B" w:rsidRPr="00D33B70" w:rsidRDefault="00EF2A8B" w:rsidP="00EF2A8B">
      <w:pPr>
        <w:pStyle w:val="Text"/>
        <w:numPr>
          <w:ilvl w:val="12"/>
          <w:numId w:val="0"/>
        </w:numPr>
        <w:ind w:left="851"/>
      </w:pPr>
      <w:r w:rsidRPr="00D33B70">
        <w:t>Data from Melbourne Water’s Land Development Manual and Melbourne Water rate estimates for drainage works were used to estimate the total cost of each option.  These rates are summarised in Appendix A.  The rates for stormwater pipes and rising mains were factored by 1.5 for sections constructed alongside or under roads.  Stormwater pipes were costed on the basis of flush jointed construction with 100% fine crushed rock backfill.  An allowance for engineering and contingencies of 15% and 20% has been allowed for in the proposed works with an Administration allowance of 9% (applied to the cost estimate inclusive of the engineering allowance).</w:t>
      </w:r>
    </w:p>
    <w:p w:rsidR="00EF2A8B" w:rsidRPr="00D33B70" w:rsidRDefault="00EF2A8B" w:rsidP="00EF2A8B">
      <w:pPr>
        <w:pStyle w:val="Text"/>
      </w:pPr>
      <w:r w:rsidRPr="00D33B70">
        <w:t>Maintenance costs were calculated based on recommendations made in the CoGG publication, Report on Asset Maintenance Benchmarking (GHD, 1997).  Table Two of this report shows that CoGG are currently spending 0.4% of asset value on maintenance of drainage assets and recommends expenditure be increased to 2.4% of asset value.  BMT WBM has adopted the recommended value of 2.4%.</w:t>
      </w:r>
    </w:p>
    <w:p w:rsidR="00D57D13" w:rsidRPr="00D33B70" w:rsidRDefault="00D57D13" w:rsidP="00B26EF8">
      <w:pPr>
        <w:pStyle w:val="Heading3"/>
      </w:pPr>
      <w:bookmarkStart w:id="340" w:name="_Toc236814071"/>
      <w:bookmarkStart w:id="341" w:name="_Toc280013948"/>
      <w:bookmarkStart w:id="342" w:name="_Toc295740273"/>
      <w:bookmarkStart w:id="343" w:name="_Toc387308918"/>
      <w:r w:rsidRPr="00D33B70">
        <w:t>Scheme One</w:t>
      </w:r>
      <w:bookmarkEnd w:id="340"/>
      <w:bookmarkEnd w:id="341"/>
      <w:bookmarkEnd w:id="342"/>
      <w:bookmarkEnd w:id="343"/>
    </w:p>
    <w:p w:rsidR="00D57D13" w:rsidRPr="00D33B70" w:rsidRDefault="00D57D13" w:rsidP="00D57D13">
      <w:pPr>
        <w:pStyle w:val="Text"/>
        <w:numPr>
          <w:ilvl w:val="12"/>
          <w:numId w:val="0"/>
        </w:numPr>
        <w:ind w:left="851"/>
      </w:pPr>
      <w:r w:rsidRPr="00D33B70">
        <w:t xml:space="preserve">The damages under Scheme One for each design flood event are summarised in </w:t>
      </w:r>
      <w:r w:rsidRPr="00D33B70">
        <w:fldChar w:fldCharType="begin"/>
      </w:r>
      <w:r w:rsidRPr="00D33B70">
        <w:instrText xml:space="preserve"> REF _Ref180314406 \h  \* MERGEFORMAT </w:instrText>
      </w:r>
      <w:r w:rsidRPr="00D33B70">
        <w:fldChar w:fldCharType="separate"/>
      </w:r>
      <w:r w:rsidR="00AC6986" w:rsidRPr="00D33B70">
        <w:t xml:space="preserve">Table </w:t>
      </w:r>
      <w:r w:rsidR="00AC6986">
        <w:t>8</w:t>
      </w:r>
      <w:r w:rsidR="00AC6986" w:rsidRPr="00D33B70">
        <w:noBreakHyphen/>
      </w:r>
      <w:r w:rsidR="00AC6986">
        <w:t>2</w:t>
      </w:r>
      <w:r w:rsidRPr="00D33B70">
        <w:fldChar w:fldCharType="end"/>
      </w:r>
      <w:r w:rsidRPr="00D33B70">
        <w:t xml:space="preserve"> and illustrated in </w:t>
      </w:r>
      <w:r w:rsidRPr="00D33B70">
        <w:fldChar w:fldCharType="begin"/>
      </w:r>
      <w:r w:rsidRPr="00D33B70">
        <w:instrText xml:space="preserve"> REF _Ref102883023 \h  \* MERGEFORMAT </w:instrText>
      </w:r>
      <w:r w:rsidRPr="00D33B70">
        <w:fldChar w:fldCharType="separate"/>
      </w:r>
      <w:r w:rsidR="00AC6986" w:rsidRPr="00D33B70">
        <w:rPr>
          <w:bCs/>
        </w:rPr>
        <w:t xml:space="preserve">Figure </w:t>
      </w:r>
      <w:r w:rsidR="00AC6986">
        <w:rPr>
          <w:bCs/>
          <w:noProof/>
        </w:rPr>
        <w:t>8</w:t>
      </w:r>
      <w:r w:rsidR="00AC6986" w:rsidRPr="00D33B70">
        <w:rPr>
          <w:bCs/>
          <w:noProof/>
        </w:rPr>
        <w:noBreakHyphen/>
      </w:r>
      <w:r w:rsidR="00AC6986">
        <w:rPr>
          <w:bCs/>
          <w:noProof/>
        </w:rPr>
        <w:t>1</w:t>
      </w:r>
      <w:r w:rsidRPr="00D33B70">
        <w:fldChar w:fldCharType="end"/>
      </w:r>
      <w:r w:rsidRPr="00D33B70">
        <w:t xml:space="preserve">.  The Scheme One AAD, also presented in </w:t>
      </w:r>
      <w:r w:rsidRPr="00D33B70">
        <w:fldChar w:fldCharType="begin"/>
      </w:r>
      <w:r w:rsidRPr="00D33B70">
        <w:instrText xml:space="preserve"> REF _Ref180314406 \h  \* MERGEFORMAT </w:instrText>
      </w:r>
      <w:r w:rsidRPr="00D33B70">
        <w:fldChar w:fldCharType="separate"/>
      </w:r>
      <w:r w:rsidR="00AC6986" w:rsidRPr="00D33B70">
        <w:t xml:space="preserve">Table </w:t>
      </w:r>
      <w:r w:rsidR="00AC6986">
        <w:rPr>
          <w:noProof/>
        </w:rPr>
        <w:t>8</w:t>
      </w:r>
      <w:r w:rsidR="00AC6986" w:rsidRPr="00D33B70">
        <w:rPr>
          <w:noProof/>
        </w:rPr>
        <w:noBreakHyphen/>
      </w:r>
      <w:r w:rsidR="00AC6986">
        <w:rPr>
          <w:noProof/>
        </w:rPr>
        <w:t>2</w:t>
      </w:r>
      <w:r w:rsidRPr="00D33B70">
        <w:fldChar w:fldCharType="end"/>
      </w:r>
      <w:r w:rsidRPr="00D33B70">
        <w:t>, is $</w:t>
      </w:r>
      <w:r w:rsidR="0091093C" w:rsidRPr="00D33B70">
        <w:t>381</w:t>
      </w:r>
      <w:r w:rsidRPr="00D33B70">
        <w:t>,000, which i</w:t>
      </w:r>
      <w:r w:rsidR="0091093C" w:rsidRPr="00D33B70">
        <w:t>s a reduction of $8</w:t>
      </w:r>
      <w:r w:rsidRPr="00D33B70">
        <w:t>,000 from th</w:t>
      </w:r>
      <w:r w:rsidR="0091093C" w:rsidRPr="00D33B70">
        <w:t>e existing conditions AAD of $389</w:t>
      </w:r>
      <w:r w:rsidRPr="00D33B70">
        <w:t>,000 per annum.</w:t>
      </w:r>
    </w:p>
    <w:p w:rsidR="00D57D13" w:rsidRPr="00D33B70" w:rsidRDefault="00D57D13" w:rsidP="00D57D13">
      <w:pPr>
        <w:pStyle w:val="Text"/>
        <w:numPr>
          <w:ilvl w:val="12"/>
          <w:numId w:val="0"/>
        </w:numPr>
        <w:shd w:val="clear" w:color="auto" w:fill="FFFFFF"/>
        <w:ind w:left="851"/>
      </w:pPr>
      <w:r w:rsidRPr="00D33B70">
        <w:t xml:space="preserve">A summary of the capital costs for Scheme One is presented in </w:t>
      </w:r>
      <w:r w:rsidRPr="00D33B70">
        <w:fldChar w:fldCharType="begin"/>
      </w:r>
      <w:r w:rsidRPr="00D33B70">
        <w:instrText xml:space="preserve"> REF _Ref233450874 \h  \* MERGEFORMAT </w:instrText>
      </w:r>
      <w:r w:rsidRPr="00D33B70">
        <w:fldChar w:fldCharType="separate"/>
      </w:r>
      <w:r w:rsidR="00AC6986" w:rsidRPr="00D33B70">
        <w:t xml:space="preserve">Table </w:t>
      </w:r>
      <w:r w:rsidR="00AC6986">
        <w:rPr>
          <w:noProof/>
        </w:rPr>
        <w:t>8</w:t>
      </w:r>
      <w:r w:rsidR="00AC6986" w:rsidRPr="00D33B70">
        <w:rPr>
          <w:noProof/>
        </w:rPr>
        <w:noBreakHyphen/>
      </w:r>
      <w:r w:rsidR="00AC6986">
        <w:rPr>
          <w:noProof/>
        </w:rPr>
        <w:t>3</w:t>
      </w:r>
      <w:r w:rsidRPr="00D33B70">
        <w:fldChar w:fldCharType="end"/>
      </w:r>
      <w:r w:rsidRPr="00D33B70">
        <w:t xml:space="preserve"> and the benefit cost analysis is summarised in </w:t>
      </w:r>
      <w:r w:rsidRPr="00D33B70">
        <w:fldChar w:fldCharType="begin"/>
      </w:r>
      <w:r w:rsidRPr="00D33B70">
        <w:instrText xml:space="preserve"> REF _Ref233450901 \h  \* MERGEFORMAT </w:instrText>
      </w:r>
      <w:r w:rsidRPr="00D33B70">
        <w:fldChar w:fldCharType="separate"/>
      </w:r>
      <w:r w:rsidR="00AC6986" w:rsidRPr="00D33B70">
        <w:t xml:space="preserve">Table </w:t>
      </w:r>
      <w:r w:rsidR="00AC6986">
        <w:rPr>
          <w:noProof/>
        </w:rPr>
        <w:t>8</w:t>
      </w:r>
      <w:r w:rsidR="00AC6986" w:rsidRPr="00D33B70">
        <w:rPr>
          <w:noProof/>
        </w:rPr>
        <w:noBreakHyphen/>
      </w:r>
      <w:r w:rsidR="00AC6986">
        <w:rPr>
          <w:noProof/>
        </w:rPr>
        <w:t>4</w:t>
      </w:r>
      <w:r w:rsidRPr="00D33B70">
        <w:fldChar w:fldCharType="end"/>
      </w:r>
      <w:r w:rsidRPr="00D33B70">
        <w:t>.</w:t>
      </w:r>
      <w:r w:rsidR="009B39B1" w:rsidRPr="00D33B70">
        <w:t xml:space="preserve">  The BCR for Scheme One is 0.01</w:t>
      </w:r>
      <w:r w:rsidRPr="00D33B70">
        <w:t xml:space="preserve">.  Based on the figures presented in </w:t>
      </w:r>
      <w:r w:rsidRPr="00D33B70">
        <w:fldChar w:fldCharType="begin"/>
      </w:r>
      <w:r w:rsidRPr="00D33B70">
        <w:instrText xml:space="preserve"> REF _Ref233005054 \h  \* MERGEFORMAT </w:instrText>
      </w:r>
      <w:r w:rsidRPr="00D33B70">
        <w:fldChar w:fldCharType="separate"/>
      </w:r>
      <w:r w:rsidR="00AC6986" w:rsidRPr="00D33B70">
        <w:t xml:space="preserve">Table </w:t>
      </w:r>
      <w:r w:rsidR="00AC6986">
        <w:t>7</w:t>
      </w:r>
      <w:r w:rsidR="00AC6986" w:rsidRPr="00D33B70">
        <w:noBreakHyphen/>
      </w:r>
      <w:r w:rsidR="00AC6986">
        <w:t>3</w:t>
      </w:r>
      <w:r w:rsidRPr="00D33B70">
        <w:fldChar w:fldCharType="end"/>
      </w:r>
      <w:r w:rsidRPr="00D33B70">
        <w:t xml:space="preserve"> and </w:t>
      </w:r>
      <w:r w:rsidRPr="00D33B70">
        <w:fldChar w:fldCharType="begin"/>
      </w:r>
      <w:r w:rsidRPr="00D33B70">
        <w:instrText xml:space="preserve"> REF _Ref233450874 \h  \* MERGEFORMAT </w:instrText>
      </w:r>
      <w:r w:rsidRPr="00D33B70">
        <w:fldChar w:fldCharType="separate"/>
      </w:r>
      <w:r w:rsidR="00AC6986" w:rsidRPr="00D33B70">
        <w:t xml:space="preserve">Table </w:t>
      </w:r>
      <w:r w:rsidR="00AC6986">
        <w:rPr>
          <w:noProof/>
        </w:rPr>
        <w:t>8</w:t>
      </w:r>
      <w:r w:rsidR="00AC6986" w:rsidRPr="00D33B70">
        <w:rPr>
          <w:noProof/>
        </w:rPr>
        <w:noBreakHyphen/>
      </w:r>
      <w:r w:rsidR="00AC6986">
        <w:rPr>
          <w:noProof/>
        </w:rPr>
        <w:t>3</w:t>
      </w:r>
      <w:r w:rsidRPr="00D33B70">
        <w:fldChar w:fldCharType="end"/>
      </w:r>
      <w:r w:rsidRPr="00D33B70">
        <w:t xml:space="preserve">, the capital cost of Scheme One per property floor saved from flooding during a 1% AEP flood event </w:t>
      </w:r>
      <w:r w:rsidR="009B39B1" w:rsidRPr="00D33B70">
        <w:rPr>
          <w:shd w:val="clear" w:color="auto" w:fill="FFFFFF"/>
        </w:rPr>
        <w:t>is $3,347</w:t>
      </w:r>
      <w:r w:rsidRPr="00D33B70">
        <w:rPr>
          <w:shd w:val="clear" w:color="auto" w:fill="FFFFFF"/>
        </w:rPr>
        <w:t>,000.</w:t>
      </w:r>
    </w:p>
    <w:p w:rsidR="00D57D13" w:rsidRPr="00D33B70" w:rsidRDefault="00D57D13" w:rsidP="00D57D13">
      <w:pPr>
        <w:pStyle w:val="Caption"/>
        <w:numPr>
          <w:ilvl w:val="12"/>
          <w:numId w:val="0"/>
        </w:numPr>
        <w:ind w:left="851"/>
      </w:pPr>
      <w:r w:rsidRPr="00D33B70">
        <w:rPr>
          <w:highlight w:val="yellow"/>
        </w:rPr>
        <w:br w:type="page"/>
      </w:r>
      <w:bookmarkStart w:id="344" w:name="_Ref180314406"/>
      <w:bookmarkStart w:id="345" w:name="_Toc231362348"/>
      <w:bookmarkStart w:id="346" w:name="_Toc236553390"/>
      <w:bookmarkStart w:id="347" w:name="_Toc280014014"/>
      <w:bookmarkStart w:id="348" w:name="_Toc295475238"/>
      <w:bookmarkStart w:id="349" w:name="_Toc295914237"/>
      <w:bookmarkStart w:id="350" w:name="_Toc387308992"/>
      <w:r w:rsidRPr="00D33B70">
        <w:lastRenderedPageBreak/>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8</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2</w:t>
      </w:r>
      <w:r w:rsidR="00FF3C04" w:rsidRPr="00D33B70">
        <w:fldChar w:fldCharType="end"/>
      </w:r>
      <w:bookmarkEnd w:id="344"/>
      <w:r w:rsidRPr="00D33B70">
        <w:tab/>
        <w:t>Scheme One Damages Summary</w:t>
      </w:r>
      <w:bookmarkEnd w:id="345"/>
      <w:bookmarkEnd w:id="346"/>
      <w:bookmarkEnd w:id="347"/>
      <w:bookmarkEnd w:id="348"/>
      <w:bookmarkEnd w:id="349"/>
      <w:bookmarkEnd w:id="350"/>
    </w:p>
    <w:tbl>
      <w:tblPr>
        <w:tblW w:w="9694" w:type="dxa"/>
        <w:tblLayout w:type="fixed"/>
        <w:tblCellMar>
          <w:left w:w="30" w:type="dxa"/>
          <w:right w:w="30" w:type="dxa"/>
        </w:tblCellMar>
        <w:tblLook w:val="0000" w:firstRow="0" w:lastRow="0" w:firstColumn="0" w:lastColumn="0" w:noHBand="0" w:noVBand="0"/>
      </w:tblPr>
      <w:tblGrid>
        <w:gridCol w:w="818"/>
        <w:gridCol w:w="770"/>
        <w:gridCol w:w="1417"/>
        <w:gridCol w:w="1641"/>
        <w:gridCol w:w="1701"/>
        <w:gridCol w:w="1701"/>
        <w:gridCol w:w="1646"/>
      </w:tblGrid>
      <w:tr w:rsidR="00EE26AC" w:rsidRPr="00D33B70" w:rsidTr="003F5B42">
        <w:trPr>
          <w:trHeight w:val="742"/>
        </w:trPr>
        <w:tc>
          <w:tcPr>
            <w:tcW w:w="1588" w:type="dxa"/>
            <w:gridSpan w:val="2"/>
            <w:tcBorders>
              <w:top w:val="single" w:sz="4" w:space="0" w:color="auto"/>
              <w:left w:val="single" w:sz="4" w:space="0" w:color="auto"/>
              <w:bottom w:val="single" w:sz="6" w:space="0" w:color="auto"/>
              <w:right w:val="nil"/>
            </w:tcBorders>
            <w:shd w:val="pct10" w:color="auto" w:fill="auto"/>
            <w:vAlign w:val="center"/>
          </w:tcPr>
          <w:p w:rsidR="00EE26AC" w:rsidRPr="00D33B70" w:rsidRDefault="00EE26AC" w:rsidP="009B39B1">
            <w:pPr>
              <w:numPr>
                <w:ilvl w:val="12"/>
                <w:numId w:val="0"/>
              </w:numPr>
              <w:jc w:val="left"/>
              <w:rPr>
                <w:rFonts w:cs="Arial"/>
                <w:b/>
              </w:rPr>
            </w:pPr>
            <w:bookmarkStart w:id="351" w:name="_Ref196564425"/>
            <w:r w:rsidRPr="00D33B70">
              <w:rPr>
                <w:rFonts w:cs="Arial"/>
                <w:b/>
              </w:rPr>
              <w:t>Event</w:t>
            </w:r>
          </w:p>
        </w:tc>
        <w:tc>
          <w:tcPr>
            <w:tcW w:w="8106" w:type="dxa"/>
            <w:gridSpan w:val="5"/>
            <w:tcBorders>
              <w:top w:val="single" w:sz="4" w:space="0" w:color="auto"/>
              <w:left w:val="single" w:sz="6" w:space="0" w:color="auto"/>
              <w:bottom w:val="single" w:sz="6" w:space="0" w:color="auto"/>
              <w:right w:val="single" w:sz="4" w:space="0" w:color="auto"/>
            </w:tcBorders>
            <w:shd w:val="pct10" w:color="auto" w:fill="auto"/>
            <w:vAlign w:val="center"/>
          </w:tcPr>
          <w:p w:rsidR="00EE26AC" w:rsidRPr="00D33B70" w:rsidRDefault="00EE26AC" w:rsidP="003F5B42">
            <w:pPr>
              <w:numPr>
                <w:ilvl w:val="12"/>
                <w:numId w:val="0"/>
              </w:numPr>
              <w:jc w:val="center"/>
              <w:rPr>
                <w:rFonts w:cs="Arial"/>
                <w:b/>
              </w:rPr>
            </w:pPr>
            <w:r w:rsidRPr="00D33B70">
              <w:rPr>
                <w:rFonts w:cs="Arial"/>
                <w:b/>
              </w:rPr>
              <w:t>Scheme One</w:t>
            </w:r>
          </w:p>
        </w:tc>
      </w:tr>
      <w:tr w:rsidR="00EE26AC" w:rsidRPr="00D33B70" w:rsidTr="003F5B42">
        <w:trPr>
          <w:trHeight w:val="756"/>
        </w:trPr>
        <w:tc>
          <w:tcPr>
            <w:tcW w:w="818" w:type="dxa"/>
            <w:tcBorders>
              <w:top w:val="single" w:sz="6" w:space="0" w:color="auto"/>
              <w:left w:val="single" w:sz="4" w:space="0" w:color="auto"/>
              <w:bottom w:val="single" w:sz="6" w:space="0" w:color="auto"/>
              <w:right w:val="single" w:sz="6" w:space="0" w:color="auto"/>
            </w:tcBorders>
            <w:shd w:val="pct10" w:color="auto" w:fill="auto"/>
            <w:vAlign w:val="center"/>
          </w:tcPr>
          <w:p w:rsidR="00EE26AC" w:rsidRPr="00D33B70" w:rsidRDefault="00EE26AC" w:rsidP="009B39B1">
            <w:pPr>
              <w:numPr>
                <w:ilvl w:val="12"/>
                <w:numId w:val="0"/>
              </w:numPr>
              <w:jc w:val="left"/>
              <w:rPr>
                <w:rFonts w:cs="Arial"/>
                <w:b/>
              </w:rPr>
            </w:pPr>
            <w:r w:rsidRPr="00D33B70">
              <w:rPr>
                <w:rFonts w:cs="Arial"/>
                <w:b/>
              </w:rPr>
              <w:t>(Years ARI)</w:t>
            </w:r>
          </w:p>
        </w:tc>
        <w:tc>
          <w:tcPr>
            <w:tcW w:w="770" w:type="dxa"/>
            <w:tcBorders>
              <w:top w:val="single" w:sz="6" w:space="0" w:color="auto"/>
              <w:left w:val="single" w:sz="6" w:space="0" w:color="auto"/>
              <w:bottom w:val="single" w:sz="6" w:space="0" w:color="auto"/>
              <w:right w:val="single" w:sz="6" w:space="0" w:color="auto"/>
            </w:tcBorders>
            <w:shd w:val="pct10" w:color="auto" w:fill="auto"/>
            <w:vAlign w:val="center"/>
          </w:tcPr>
          <w:p w:rsidR="00EE26AC" w:rsidRPr="00D33B70" w:rsidRDefault="00EE26AC" w:rsidP="009B39B1">
            <w:pPr>
              <w:numPr>
                <w:ilvl w:val="12"/>
                <w:numId w:val="0"/>
              </w:numPr>
              <w:jc w:val="left"/>
              <w:rPr>
                <w:rFonts w:cs="Arial"/>
                <w:b/>
              </w:rPr>
            </w:pPr>
            <w:r w:rsidRPr="00D33B70">
              <w:rPr>
                <w:rFonts w:cs="Arial"/>
                <w:b/>
              </w:rPr>
              <w:t>AEP</w:t>
            </w:r>
          </w:p>
        </w:tc>
        <w:tc>
          <w:tcPr>
            <w:tcW w:w="1417" w:type="dxa"/>
            <w:tcBorders>
              <w:top w:val="single" w:sz="6" w:space="0" w:color="auto"/>
              <w:left w:val="single" w:sz="6" w:space="0" w:color="auto"/>
              <w:bottom w:val="single" w:sz="6" w:space="0" w:color="auto"/>
              <w:right w:val="single" w:sz="6" w:space="0" w:color="auto"/>
            </w:tcBorders>
            <w:shd w:val="pct10" w:color="auto" w:fill="auto"/>
            <w:vAlign w:val="center"/>
          </w:tcPr>
          <w:p w:rsidR="00EE26AC" w:rsidRPr="00D33B70" w:rsidRDefault="00EE26AC" w:rsidP="003F5B42">
            <w:pPr>
              <w:numPr>
                <w:ilvl w:val="12"/>
                <w:numId w:val="0"/>
              </w:numPr>
              <w:jc w:val="center"/>
              <w:rPr>
                <w:rFonts w:cs="Arial"/>
                <w:b/>
              </w:rPr>
            </w:pPr>
            <w:r w:rsidRPr="00D33B70">
              <w:rPr>
                <w:rFonts w:cs="Arial"/>
                <w:b/>
              </w:rPr>
              <w:t>Residential Damages</w:t>
            </w:r>
          </w:p>
        </w:tc>
        <w:tc>
          <w:tcPr>
            <w:tcW w:w="1641" w:type="dxa"/>
            <w:tcBorders>
              <w:top w:val="single" w:sz="6" w:space="0" w:color="auto"/>
              <w:left w:val="single" w:sz="6" w:space="0" w:color="auto"/>
              <w:bottom w:val="single" w:sz="6" w:space="0" w:color="auto"/>
              <w:right w:val="single" w:sz="6" w:space="0" w:color="auto"/>
            </w:tcBorders>
            <w:shd w:val="pct10" w:color="auto" w:fill="auto"/>
          </w:tcPr>
          <w:p w:rsidR="00EE26AC" w:rsidRPr="00D33B70" w:rsidRDefault="00EE26AC" w:rsidP="003F5B42">
            <w:pPr>
              <w:numPr>
                <w:ilvl w:val="12"/>
                <w:numId w:val="0"/>
              </w:numPr>
              <w:jc w:val="center"/>
              <w:rPr>
                <w:rFonts w:cs="Arial"/>
                <w:b/>
              </w:rPr>
            </w:pPr>
            <w:r w:rsidRPr="00D33B70">
              <w:rPr>
                <w:rFonts w:cs="Arial"/>
                <w:b/>
              </w:rPr>
              <w:t>Commercial / Industrial Damages</w:t>
            </w:r>
          </w:p>
        </w:tc>
        <w:tc>
          <w:tcPr>
            <w:tcW w:w="1701" w:type="dxa"/>
            <w:tcBorders>
              <w:top w:val="single" w:sz="6" w:space="0" w:color="auto"/>
              <w:left w:val="single" w:sz="6" w:space="0" w:color="auto"/>
              <w:bottom w:val="single" w:sz="6" w:space="0" w:color="auto"/>
              <w:right w:val="single" w:sz="6" w:space="0" w:color="auto"/>
            </w:tcBorders>
            <w:shd w:val="pct10" w:color="auto" w:fill="auto"/>
            <w:vAlign w:val="center"/>
          </w:tcPr>
          <w:p w:rsidR="00EE26AC" w:rsidRPr="00D33B70" w:rsidRDefault="00EE26AC" w:rsidP="003F5B42">
            <w:pPr>
              <w:numPr>
                <w:ilvl w:val="12"/>
                <w:numId w:val="0"/>
              </w:numPr>
              <w:jc w:val="center"/>
              <w:rPr>
                <w:rFonts w:cs="Arial"/>
                <w:b/>
              </w:rPr>
            </w:pPr>
            <w:r w:rsidRPr="00D33B70">
              <w:rPr>
                <w:rFonts w:cs="Arial"/>
                <w:b/>
              </w:rPr>
              <w:t>Total Indirect Damages</w:t>
            </w:r>
          </w:p>
        </w:tc>
        <w:tc>
          <w:tcPr>
            <w:tcW w:w="1701" w:type="dxa"/>
            <w:tcBorders>
              <w:top w:val="single" w:sz="6" w:space="0" w:color="auto"/>
              <w:left w:val="single" w:sz="6" w:space="0" w:color="auto"/>
              <w:bottom w:val="single" w:sz="6" w:space="0" w:color="auto"/>
              <w:right w:val="single" w:sz="6" w:space="0" w:color="auto"/>
            </w:tcBorders>
            <w:shd w:val="pct10" w:color="auto" w:fill="auto"/>
            <w:vAlign w:val="center"/>
          </w:tcPr>
          <w:p w:rsidR="00EE26AC" w:rsidRPr="00D33B70" w:rsidRDefault="00EE26AC" w:rsidP="003F5B42">
            <w:pPr>
              <w:numPr>
                <w:ilvl w:val="12"/>
                <w:numId w:val="0"/>
              </w:numPr>
              <w:jc w:val="center"/>
              <w:rPr>
                <w:rFonts w:cs="Arial"/>
                <w:b/>
              </w:rPr>
            </w:pPr>
            <w:r w:rsidRPr="00D33B70">
              <w:rPr>
                <w:rFonts w:cs="Arial"/>
                <w:b/>
              </w:rPr>
              <w:t>Total Damages</w:t>
            </w:r>
          </w:p>
        </w:tc>
        <w:tc>
          <w:tcPr>
            <w:tcW w:w="1646" w:type="dxa"/>
            <w:tcBorders>
              <w:top w:val="single" w:sz="6" w:space="0" w:color="auto"/>
              <w:left w:val="single" w:sz="6" w:space="0" w:color="auto"/>
              <w:bottom w:val="single" w:sz="6" w:space="0" w:color="auto"/>
              <w:right w:val="single" w:sz="4" w:space="0" w:color="auto"/>
            </w:tcBorders>
            <w:shd w:val="pct10" w:color="auto" w:fill="auto"/>
            <w:vAlign w:val="center"/>
          </w:tcPr>
          <w:p w:rsidR="00EE26AC" w:rsidRPr="00D33B70" w:rsidRDefault="00EE26AC" w:rsidP="003F5B42">
            <w:pPr>
              <w:numPr>
                <w:ilvl w:val="12"/>
                <w:numId w:val="0"/>
              </w:numPr>
              <w:jc w:val="center"/>
              <w:rPr>
                <w:rFonts w:cs="Arial"/>
                <w:b/>
              </w:rPr>
            </w:pPr>
            <w:r w:rsidRPr="00D33B70">
              <w:rPr>
                <w:rFonts w:cs="Arial"/>
                <w:b/>
              </w:rPr>
              <w:t>Incremental Average Annual Damages</w:t>
            </w:r>
          </w:p>
        </w:tc>
      </w:tr>
      <w:tr w:rsidR="00EE26AC" w:rsidRPr="00D33B70" w:rsidTr="003F5B42">
        <w:trPr>
          <w:trHeight w:val="440"/>
        </w:trPr>
        <w:tc>
          <w:tcPr>
            <w:tcW w:w="818" w:type="dxa"/>
            <w:tcBorders>
              <w:top w:val="single" w:sz="6" w:space="0" w:color="auto"/>
              <w:left w:val="single" w:sz="4" w:space="0" w:color="auto"/>
              <w:bottom w:val="single" w:sz="6" w:space="0" w:color="auto"/>
              <w:right w:val="single" w:sz="6" w:space="0" w:color="auto"/>
            </w:tcBorders>
            <w:vAlign w:val="center"/>
          </w:tcPr>
          <w:p w:rsidR="00EE26AC" w:rsidRPr="00D33B70" w:rsidRDefault="00EE26AC" w:rsidP="009B39B1">
            <w:pPr>
              <w:numPr>
                <w:ilvl w:val="12"/>
                <w:numId w:val="0"/>
              </w:numPr>
              <w:jc w:val="left"/>
              <w:rPr>
                <w:rFonts w:cs="Arial"/>
              </w:rPr>
            </w:pPr>
            <w:r w:rsidRPr="00D33B70">
              <w:rPr>
                <w:rFonts w:cs="Arial"/>
              </w:rPr>
              <w:t>PMF*</w:t>
            </w:r>
          </w:p>
        </w:tc>
        <w:tc>
          <w:tcPr>
            <w:tcW w:w="770" w:type="dxa"/>
            <w:tcBorders>
              <w:top w:val="single" w:sz="6" w:space="0" w:color="auto"/>
              <w:left w:val="single" w:sz="6" w:space="0" w:color="auto"/>
              <w:bottom w:val="single" w:sz="6" w:space="0" w:color="auto"/>
              <w:right w:val="single" w:sz="6" w:space="0" w:color="auto"/>
            </w:tcBorders>
            <w:vAlign w:val="center"/>
          </w:tcPr>
          <w:p w:rsidR="00EE26AC" w:rsidRPr="00D33B70" w:rsidRDefault="00EE26AC" w:rsidP="009B39B1">
            <w:pPr>
              <w:numPr>
                <w:ilvl w:val="12"/>
                <w:numId w:val="0"/>
              </w:numPr>
              <w:jc w:val="left"/>
              <w:rPr>
                <w:rFonts w:cs="Arial"/>
              </w:rPr>
            </w:pPr>
            <w:r w:rsidRPr="00D33B70">
              <w:rPr>
                <w:rFonts w:cs="Arial"/>
              </w:rPr>
              <w:t>0.0%</w:t>
            </w:r>
          </w:p>
        </w:tc>
        <w:tc>
          <w:tcPr>
            <w:tcW w:w="1417" w:type="dxa"/>
            <w:tcBorders>
              <w:top w:val="single" w:sz="6" w:space="0" w:color="auto"/>
              <w:left w:val="single" w:sz="6" w:space="0" w:color="auto"/>
              <w:bottom w:val="single" w:sz="6" w:space="0" w:color="auto"/>
              <w:right w:val="single" w:sz="6" w:space="0" w:color="auto"/>
            </w:tcBorders>
            <w:vAlign w:val="center"/>
          </w:tcPr>
          <w:p w:rsidR="00EE26AC" w:rsidRPr="00D33B70" w:rsidRDefault="00EE26AC" w:rsidP="003F5B42">
            <w:pPr>
              <w:numPr>
                <w:ilvl w:val="12"/>
                <w:numId w:val="0"/>
              </w:numPr>
              <w:jc w:val="center"/>
              <w:rPr>
                <w:rFonts w:cs="Arial"/>
              </w:rPr>
            </w:pPr>
          </w:p>
        </w:tc>
        <w:tc>
          <w:tcPr>
            <w:tcW w:w="1641" w:type="dxa"/>
            <w:tcBorders>
              <w:top w:val="single" w:sz="6" w:space="0" w:color="auto"/>
              <w:left w:val="single" w:sz="6" w:space="0" w:color="auto"/>
              <w:bottom w:val="single" w:sz="6" w:space="0" w:color="auto"/>
              <w:right w:val="single" w:sz="6" w:space="0" w:color="auto"/>
            </w:tcBorders>
          </w:tcPr>
          <w:p w:rsidR="00EE26AC" w:rsidRPr="00D33B70" w:rsidRDefault="00EE26AC" w:rsidP="003F5B42">
            <w:pPr>
              <w:numPr>
                <w:ilvl w:val="12"/>
                <w:numId w:val="0"/>
              </w:numPr>
              <w:jc w:val="center"/>
              <w:rPr>
                <w:rFonts w:cs="Arial"/>
              </w:rPr>
            </w:pPr>
          </w:p>
        </w:tc>
        <w:tc>
          <w:tcPr>
            <w:tcW w:w="1701" w:type="dxa"/>
            <w:tcBorders>
              <w:top w:val="single" w:sz="6" w:space="0" w:color="auto"/>
              <w:left w:val="single" w:sz="6" w:space="0" w:color="auto"/>
              <w:bottom w:val="single" w:sz="6" w:space="0" w:color="auto"/>
              <w:right w:val="single" w:sz="6" w:space="0" w:color="auto"/>
            </w:tcBorders>
            <w:vAlign w:val="center"/>
          </w:tcPr>
          <w:p w:rsidR="00EE26AC" w:rsidRPr="00D33B70" w:rsidRDefault="00EE26AC" w:rsidP="003F5B42">
            <w:pPr>
              <w:numPr>
                <w:ilvl w:val="12"/>
                <w:numId w:val="0"/>
              </w:numPr>
              <w:jc w:val="center"/>
              <w:rPr>
                <w:rFonts w:cs="Arial"/>
              </w:rPr>
            </w:pPr>
          </w:p>
        </w:tc>
        <w:tc>
          <w:tcPr>
            <w:tcW w:w="1701" w:type="dxa"/>
            <w:tcBorders>
              <w:top w:val="single" w:sz="6" w:space="0" w:color="auto"/>
              <w:left w:val="single" w:sz="6" w:space="0" w:color="auto"/>
              <w:bottom w:val="single" w:sz="6" w:space="0" w:color="auto"/>
              <w:right w:val="single" w:sz="6" w:space="0" w:color="auto"/>
            </w:tcBorders>
            <w:vAlign w:val="center"/>
          </w:tcPr>
          <w:p w:rsidR="00EE26AC" w:rsidRPr="00D33B70" w:rsidRDefault="00EE26AC" w:rsidP="00EE26AC">
            <w:pPr>
              <w:numPr>
                <w:ilvl w:val="12"/>
                <w:numId w:val="0"/>
              </w:numPr>
              <w:jc w:val="center"/>
              <w:rPr>
                <w:rFonts w:cs="Arial"/>
              </w:rPr>
            </w:pPr>
            <w:r w:rsidRPr="00D33B70">
              <w:rPr>
                <w:rFonts w:cs="Arial"/>
              </w:rPr>
              <w:t>$3,189,000</w:t>
            </w:r>
            <w:r w:rsidR="00985FB2" w:rsidRPr="00D33B70">
              <w:rPr>
                <w:rFonts w:cs="Arial"/>
              </w:rPr>
              <w:t>*</w:t>
            </w:r>
          </w:p>
        </w:tc>
        <w:tc>
          <w:tcPr>
            <w:tcW w:w="1646" w:type="dxa"/>
            <w:tcBorders>
              <w:top w:val="single" w:sz="6" w:space="0" w:color="auto"/>
              <w:left w:val="single" w:sz="6" w:space="0" w:color="auto"/>
              <w:bottom w:val="single" w:sz="6" w:space="0" w:color="auto"/>
              <w:right w:val="single" w:sz="4" w:space="0" w:color="auto"/>
            </w:tcBorders>
            <w:vAlign w:val="center"/>
          </w:tcPr>
          <w:p w:rsidR="00EE26AC" w:rsidRPr="00D33B70" w:rsidRDefault="00EE26AC" w:rsidP="003F5B42">
            <w:pPr>
              <w:numPr>
                <w:ilvl w:val="12"/>
                <w:numId w:val="0"/>
              </w:numPr>
              <w:jc w:val="center"/>
              <w:rPr>
                <w:rFonts w:cs="Arial"/>
              </w:rPr>
            </w:pPr>
          </w:p>
        </w:tc>
      </w:tr>
      <w:tr w:rsidR="00EE26AC" w:rsidRPr="00D33B70" w:rsidTr="003F5B42">
        <w:trPr>
          <w:trHeight w:val="404"/>
        </w:trPr>
        <w:tc>
          <w:tcPr>
            <w:tcW w:w="818" w:type="dxa"/>
            <w:tcBorders>
              <w:top w:val="single" w:sz="6" w:space="0" w:color="auto"/>
              <w:left w:val="single" w:sz="4" w:space="0" w:color="auto"/>
              <w:bottom w:val="single" w:sz="6" w:space="0" w:color="auto"/>
              <w:right w:val="single" w:sz="6" w:space="0" w:color="auto"/>
            </w:tcBorders>
            <w:vAlign w:val="center"/>
          </w:tcPr>
          <w:p w:rsidR="00EE26AC" w:rsidRPr="00D33B70" w:rsidRDefault="00EE26AC" w:rsidP="009B39B1">
            <w:pPr>
              <w:numPr>
                <w:ilvl w:val="12"/>
                <w:numId w:val="0"/>
              </w:numPr>
              <w:jc w:val="left"/>
              <w:rPr>
                <w:rFonts w:cs="Arial"/>
              </w:rPr>
            </w:pPr>
            <w:r w:rsidRPr="00D33B70">
              <w:rPr>
                <w:rFonts w:cs="Arial"/>
              </w:rPr>
              <w:t>100</w:t>
            </w:r>
          </w:p>
        </w:tc>
        <w:tc>
          <w:tcPr>
            <w:tcW w:w="770" w:type="dxa"/>
            <w:tcBorders>
              <w:top w:val="single" w:sz="6" w:space="0" w:color="auto"/>
              <w:left w:val="single" w:sz="6" w:space="0" w:color="auto"/>
              <w:bottom w:val="single" w:sz="6" w:space="0" w:color="auto"/>
              <w:right w:val="single" w:sz="6" w:space="0" w:color="auto"/>
            </w:tcBorders>
            <w:vAlign w:val="center"/>
          </w:tcPr>
          <w:p w:rsidR="00EE26AC" w:rsidRPr="00D33B70" w:rsidRDefault="00EE26AC" w:rsidP="009B39B1">
            <w:pPr>
              <w:numPr>
                <w:ilvl w:val="12"/>
                <w:numId w:val="0"/>
              </w:numPr>
              <w:jc w:val="left"/>
              <w:rPr>
                <w:rFonts w:cs="Arial"/>
              </w:rPr>
            </w:pPr>
            <w:r w:rsidRPr="00D33B70">
              <w:rPr>
                <w:rFonts w:cs="Arial"/>
              </w:rPr>
              <w:t>1%</w:t>
            </w:r>
          </w:p>
        </w:tc>
        <w:tc>
          <w:tcPr>
            <w:tcW w:w="1417" w:type="dxa"/>
            <w:tcBorders>
              <w:top w:val="single" w:sz="6" w:space="0" w:color="auto"/>
              <w:left w:val="single" w:sz="6" w:space="0" w:color="auto"/>
              <w:bottom w:val="single" w:sz="6" w:space="0" w:color="auto"/>
              <w:right w:val="single" w:sz="6" w:space="0" w:color="auto"/>
            </w:tcBorders>
            <w:vAlign w:val="center"/>
          </w:tcPr>
          <w:p w:rsidR="00EE26AC" w:rsidRPr="00D33B70" w:rsidRDefault="00EE26AC" w:rsidP="00EE26AC">
            <w:pPr>
              <w:numPr>
                <w:ilvl w:val="12"/>
                <w:numId w:val="0"/>
              </w:numPr>
              <w:jc w:val="center"/>
              <w:rPr>
                <w:rFonts w:cs="Arial"/>
              </w:rPr>
            </w:pPr>
            <w:r w:rsidRPr="00D33B70">
              <w:rPr>
                <w:rFonts w:cs="Arial"/>
              </w:rPr>
              <w:t>$2,137,000</w:t>
            </w:r>
          </w:p>
        </w:tc>
        <w:tc>
          <w:tcPr>
            <w:tcW w:w="1641" w:type="dxa"/>
            <w:tcBorders>
              <w:top w:val="single" w:sz="6" w:space="0" w:color="auto"/>
              <w:left w:val="single" w:sz="6" w:space="0" w:color="auto"/>
              <w:bottom w:val="single" w:sz="6" w:space="0" w:color="auto"/>
              <w:right w:val="single" w:sz="6" w:space="0" w:color="auto"/>
            </w:tcBorders>
            <w:vAlign w:val="center"/>
          </w:tcPr>
          <w:p w:rsidR="00EE26AC" w:rsidRPr="00D33B70" w:rsidRDefault="00EE26AC" w:rsidP="003F5B42">
            <w:pPr>
              <w:numPr>
                <w:ilvl w:val="12"/>
                <w:numId w:val="0"/>
              </w:numPr>
              <w:jc w:val="center"/>
              <w:rPr>
                <w:rFonts w:cs="Arial"/>
              </w:rPr>
            </w:pPr>
            <w:r w:rsidRPr="00D33B70">
              <w:rPr>
                <w:rFonts w:cs="Arial"/>
              </w:rPr>
              <w:t>$72,000</w:t>
            </w:r>
          </w:p>
        </w:tc>
        <w:tc>
          <w:tcPr>
            <w:tcW w:w="1701" w:type="dxa"/>
            <w:tcBorders>
              <w:top w:val="single" w:sz="6" w:space="0" w:color="auto"/>
              <w:left w:val="single" w:sz="6" w:space="0" w:color="auto"/>
              <w:bottom w:val="single" w:sz="6" w:space="0" w:color="auto"/>
              <w:right w:val="single" w:sz="6" w:space="0" w:color="auto"/>
            </w:tcBorders>
            <w:vAlign w:val="center"/>
          </w:tcPr>
          <w:p w:rsidR="00EE26AC" w:rsidRPr="00D33B70" w:rsidRDefault="00EE26AC" w:rsidP="003F5B42">
            <w:pPr>
              <w:numPr>
                <w:ilvl w:val="12"/>
                <w:numId w:val="0"/>
              </w:numPr>
              <w:jc w:val="center"/>
              <w:rPr>
                <w:rFonts w:cs="Arial"/>
              </w:rPr>
            </w:pPr>
            <w:r w:rsidRPr="00D33B70">
              <w:rPr>
                <w:rFonts w:cs="Arial"/>
              </w:rPr>
              <w:t>$663,000</w:t>
            </w:r>
          </w:p>
        </w:tc>
        <w:tc>
          <w:tcPr>
            <w:tcW w:w="1701" w:type="dxa"/>
            <w:tcBorders>
              <w:top w:val="single" w:sz="6" w:space="0" w:color="auto"/>
              <w:left w:val="single" w:sz="6" w:space="0" w:color="auto"/>
              <w:bottom w:val="single" w:sz="6" w:space="0" w:color="auto"/>
              <w:right w:val="single" w:sz="6" w:space="0" w:color="auto"/>
            </w:tcBorders>
            <w:vAlign w:val="center"/>
          </w:tcPr>
          <w:p w:rsidR="00EE26AC" w:rsidRPr="00D33B70" w:rsidRDefault="00EE26AC" w:rsidP="003F5B42">
            <w:pPr>
              <w:numPr>
                <w:ilvl w:val="12"/>
                <w:numId w:val="0"/>
              </w:numPr>
              <w:jc w:val="center"/>
              <w:rPr>
                <w:rFonts w:cs="Arial"/>
              </w:rPr>
            </w:pPr>
            <w:r w:rsidRPr="00D33B70">
              <w:rPr>
                <w:rFonts w:cs="Arial"/>
              </w:rPr>
              <w:t>$2,872,000</w:t>
            </w:r>
          </w:p>
        </w:tc>
        <w:tc>
          <w:tcPr>
            <w:tcW w:w="1646" w:type="dxa"/>
            <w:tcBorders>
              <w:top w:val="single" w:sz="6" w:space="0" w:color="auto"/>
              <w:left w:val="single" w:sz="6" w:space="0" w:color="auto"/>
              <w:bottom w:val="single" w:sz="6" w:space="0" w:color="auto"/>
              <w:right w:val="single" w:sz="4" w:space="0" w:color="auto"/>
            </w:tcBorders>
            <w:vAlign w:val="center"/>
          </w:tcPr>
          <w:p w:rsidR="00EE26AC" w:rsidRPr="00D33B70" w:rsidRDefault="00EE26AC" w:rsidP="003F5B42">
            <w:pPr>
              <w:numPr>
                <w:ilvl w:val="12"/>
                <w:numId w:val="0"/>
              </w:numPr>
              <w:jc w:val="center"/>
              <w:rPr>
                <w:rFonts w:cs="Arial"/>
              </w:rPr>
            </w:pPr>
            <w:r w:rsidRPr="00D33B70">
              <w:rPr>
                <w:rFonts w:cs="Arial"/>
              </w:rPr>
              <w:t>$30,000</w:t>
            </w:r>
          </w:p>
        </w:tc>
      </w:tr>
      <w:tr w:rsidR="00EE26AC" w:rsidRPr="00D33B70" w:rsidTr="003F5B42">
        <w:trPr>
          <w:trHeight w:val="410"/>
        </w:trPr>
        <w:tc>
          <w:tcPr>
            <w:tcW w:w="818" w:type="dxa"/>
            <w:tcBorders>
              <w:top w:val="single" w:sz="6" w:space="0" w:color="auto"/>
              <w:left w:val="single" w:sz="4" w:space="0" w:color="auto"/>
              <w:bottom w:val="single" w:sz="6" w:space="0" w:color="auto"/>
              <w:right w:val="single" w:sz="6" w:space="0" w:color="auto"/>
            </w:tcBorders>
            <w:vAlign w:val="center"/>
          </w:tcPr>
          <w:p w:rsidR="00EE26AC" w:rsidRPr="00D33B70" w:rsidRDefault="00EE26AC" w:rsidP="009B39B1">
            <w:pPr>
              <w:numPr>
                <w:ilvl w:val="12"/>
                <w:numId w:val="0"/>
              </w:numPr>
              <w:jc w:val="left"/>
              <w:rPr>
                <w:rFonts w:cs="Arial"/>
              </w:rPr>
            </w:pPr>
            <w:r w:rsidRPr="00D33B70">
              <w:rPr>
                <w:rFonts w:cs="Arial"/>
              </w:rPr>
              <w:t>20</w:t>
            </w:r>
          </w:p>
        </w:tc>
        <w:tc>
          <w:tcPr>
            <w:tcW w:w="770" w:type="dxa"/>
            <w:tcBorders>
              <w:top w:val="single" w:sz="6" w:space="0" w:color="auto"/>
              <w:left w:val="single" w:sz="6" w:space="0" w:color="auto"/>
              <w:bottom w:val="single" w:sz="6" w:space="0" w:color="auto"/>
              <w:right w:val="single" w:sz="6" w:space="0" w:color="auto"/>
            </w:tcBorders>
            <w:vAlign w:val="center"/>
          </w:tcPr>
          <w:p w:rsidR="00EE26AC" w:rsidRPr="00D33B70" w:rsidRDefault="00EE26AC" w:rsidP="009B39B1">
            <w:pPr>
              <w:numPr>
                <w:ilvl w:val="12"/>
                <w:numId w:val="0"/>
              </w:numPr>
              <w:jc w:val="left"/>
              <w:rPr>
                <w:rFonts w:cs="Arial"/>
              </w:rPr>
            </w:pPr>
            <w:r w:rsidRPr="00D33B70">
              <w:rPr>
                <w:rFonts w:cs="Arial"/>
              </w:rPr>
              <w:t>5%</w:t>
            </w:r>
          </w:p>
        </w:tc>
        <w:tc>
          <w:tcPr>
            <w:tcW w:w="1417" w:type="dxa"/>
            <w:tcBorders>
              <w:top w:val="single" w:sz="6" w:space="0" w:color="auto"/>
              <w:left w:val="single" w:sz="6" w:space="0" w:color="auto"/>
              <w:bottom w:val="single" w:sz="6" w:space="0" w:color="auto"/>
              <w:right w:val="single" w:sz="6" w:space="0" w:color="auto"/>
            </w:tcBorders>
            <w:vAlign w:val="center"/>
          </w:tcPr>
          <w:p w:rsidR="00EE26AC" w:rsidRPr="00D33B70" w:rsidRDefault="00EE26AC" w:rsidP="00EE26AC">
            <w:pPr>
              <w:numPr>
                <w:ilvl w:val="12"/>
                <w:numId w:val="0"/>
              </w:numPr>
              <w:jc w:val="center"/>
              <w:rPr>
                <w:rFonts w:cs="Arial"/>
              </w:rPr>
            </w:pPr>
            <w:r w:rsidRPr="00D33B70">
              <w:rPr>
                <w:rFonts w:cs="Arial"/>
              </w:rPr>
              <w:t>$1,189,000</w:t>
            </w:r>
          </w:p>
        </w:tc>
        <w:tc>
          <w:tcPr>
            <w:tcW w:w="1641" w:type="dxa"/>
            <w:tcBorders>
              <w:top w:val="single" w:sz="6" w:space="0" w:color="auto"/>
              <w:left w:val="single" w:sz="6" w:space="0" w:color="auto"/>
              <w:bottom w:val="single" w:sz="6" w:space="0" w:color="auto"/>
              <w:right w:val="single" w:sz="6" w:space="0" w:color="auto"/>
            </w:tcBorders>
            <w:vAlign w:val="center"/>
          </w:tcPr>
          <w:p w:rsidR="00EE26AC" w:rsidRPr="00D33B70" w:rsidRDefault="00EE26AC" w:rsidP="003F5B42">
            <w:pPr>
              <w:numPr>
                <w:ilvl w:val="12"/>
                <w:numId w:val="0"/>
              </w:numPr>
              <w:jc w:val="center"/>
              <w:rPr>
                <w:rFonts w:cs="Arial"/>
              </w:rPr>
            </w:pPr>
            <w:r w:rsidRPr="00D33B70">
              <w:rPr>
                <w:rFonts w:cs="Arial"/>
              </w:rPr>
              <w:t>$45,000</w:t>
            </w:r>
          </w:p>
        </w:tc>
        <w:tc>
          <w:tcPr>
            <w:tcW w:w="1701" w:type="dxa"/>
            <w:tcBorders>
              <w:top w:val="single" w:sz="6" w:space="0" w:color="auto"/>
              <w:left w:val="single" w:sz="6" w:space="0" w:color="auto"/>
              <w:bottom w:val="single" w:sz="6" w:space="0" w:color="auto"/>
              <w:right w:val="single" w:sz="6" w:space="0" w:color="auto"/>
            </w:tcBorders>
            <w:vAlign w:val="center"/>
          </w:tcPr>
          <w:p w:rsidR="00EE26AC" w:rsidRPr="00D33B70" w:rsidRDefault="00EE26AC" w:rsidP="003F5B42">
            <w:pPr>
              <w:numPr>
                <w:ilvl w:val="12"/>
                <w:numId w:val="0"/>
              </w:numPr>
              <w:jc w:val="center"/>
              <w:rPr>
                <w:rFonts w:cs="Arial"/>
              </w:rPr>
            </w:pPr>
            <w:r w:rsidRPr="00D33B70">
              <w:rPr>
                <w:rFonts w:cs="Arial"/>
              </w:rPr>
              <w:t>$370,000</w:t>
            </w:r>
          </w:p>
        </w:tc>
        <w:tc>
          <w:tcPr>
            <w:tcW w:w="1701" w:type="dxa"/>
            <w:tcBorders>
              <w:top w:val="single" w:sz="6" w:space="0" w:color="auto"/>
              <w:left w:val="single" w:sz="6" w:space="0" w:color="auto"/>
              <w:bottom w:val="single" w:sz="6" w:space="0" w:color="auto"/>
              <w:right w:val="single" w:sz="6" w:space="0" w:color="auto"/>
            </w:tcBorders>
            <w:vAlign w:val="center"/>
          </w:tcPr>
          <w:p w:rsidR="00EE26AC" w:rsidRPr="00D33B70" w:rsidRDefault="00EE26AC" w:rsidP="003F5B42">
            <w:pPr>
              <w:numPr>
                <w:ilvl w:val="12"/>
                <w:numId w:val="0"/>
              </w:numPr>
              <w:jc w:val="center"/>
              <w:rPr>
                <w:rFonts w:cs="Arial"/>
              </w:rPr>
            </w:pPr>
            <w:r w:rsidRPr="00D33B70">
              <w:rPr>
                <w:rFonts w:cs="Arial"/>
              </w:rPr>
              <w:t>$1,604,000</w:t>
            </w:r>
          </w:p>
        </w:tc>
        <w:tc>
          <w:tcPr>
            <w:tcW w:w="1646" w:type="dxa"/>
            <w:tcBorders>
              <w:top w:val="single" w:sz="6" w:space="0" w:color="auto"/>
              <w:left w:val="single" w:sz="6" w:space="0" w:color="auto"/>
              <w:bottom w:val="single" w:sz="6" w:space="0" w:color="auto"/>
              <w:right w:val="single" w:sz="4" w:space="0" w:color="auto"/>
            </w:tcBorders>
            <w:vAlign w:val="center"/>
          </w:tcPr>
          <w:p w:rsidR="00EE26AC" w:rsidRPr="00D33B70" w:rsidRDefault="00EE26AC" w:rsidP="003F5B42">
            <w:pPr>
              <w:numPr>
                <w:ilvl w:val="12"/>
                <w:numId w:val="0"/>
              </w:numPr>
              <w:jc w:val="center"/>
              <w:rPr>
                <w:rFonts w:cs="Arial"/>
              </w:rPr>
            </w:pPr>
            <w:r w:rsidRPr="00D33B70">
              <w:rPr>
                <w:rFonts w:cs="Arial"/>
              </w:rPr>
              <w:t>$90,000</w:t>
            </w:r>
          </w:p>
        </w:tc>
      </w:tr>
      <w:tr w:rsidR="00EE26AC" w:rsidRPr="00D33B70" w:rsidTr="003F5B42">
        <w:trPr>
          <w:trHeight w:val="415"/>
        </w:trPr>
        <w:tc>
          <w:tcPr>
            <w:tcW w:w="818" w:type="dxa"/>
            <w:tcBorders>
              <w:top w:val="single" w:sz="6" w:space="0" w:color="auto"/>
              <w:left w:val="single" w:sz="4" w:space="0" w:color="auto"/>
              <w:bottom w:val="single" w:sz="6" w:space="0" w:color="auto"/>
              <w:right w:val="single" w:sz="6" w:space="0" w:color="auto"/>
            </w:tcBorders>
            <w:vAlign w:val="center"/>
          </w:tcPr>
          <w:p w:rsidR="00EE26AC" w:rsidRPr="00D33B70" w:rsidRDefault="00EE26AC" w:rsidP="009B39B1">
            <w:pPr>
              <w:numPr>
                <w:ilvl w:val="12"/>
                <w:numId w:val="0"/>
              </w:numPr>
              <w:jc w:val="left"/>
              <w:rPr>
                <w:rFonts w:cs="Arial"/>
              </w:rPr>
            </w:pPr>
            <w:r w:rsidRPr="00D33B70">
              <w:rPr>
                <w:rFonts w:cs="Arial"/>
              </w:rPr>
              <w:t>10</w:t>
            </w:r>
          </w:p>
        </w:tc>
        <w:tc>
          <w:tcPr>
            <w:tcW w:w="770" w:type="dxa"/>
            <w:tcBorders>
              <w:top w:val="single" w:sz="6" w:space="0" w:color="auto"/>
              <w:left w:val="single" w:sz="6" w:space="0" w:color="auto"/>
              <w:bottom w:val="single" w:sz="6" w:space="0" w:color="auto"/>
              <w:right w:val="single" w:sz="6" w:space="0" w:color="auto"/>
            </w:tcBorders>
            <w:vAlign w:val="center"/>
          </w:tcPr>
          <w:p w:rsidR="00EE26AC" w:rsidRPr="00D33B70" w:rsidRDefault="00EE26AC" w:rsidP="009B39B1">
            <w:pPr>
              <w:numPr>
                <w:ilvl w:val="12"/>
                <w:numId w:val="0"/>
              </w:numPr>
              <w:jc w:val="left"/>
              <w:rPr>
                <w:rFonts w:cs="Arial"/>
              </w:rPr>
            </w:pPr>
            <w:r w:rsidRPr="00D33B70">
              <w:rPr>
                <w:rFonts w:cs="Arial"/>
              </w:rPr>
              <w:t>10%</w:t>
            </w:r>
          </w:p>
        </w:tc>
        <w:tc>
          <w:tcPr>
            <w:tcW w:w="1417" w:type="dxa"/>
            <w:tcBorders>
              <w:top w:val="single" w:sz="6" w:space="0" w:color="auto"/>
              <w:left w:val="single" w:sz="6" w:space="0" w:color="auto"/>
              <w:bottom w:val="single" w:sz="6" w:space="0" w:color="auto"/>
              <w:right w:val="single" w:sz="6" w:space="0" w:color="auto"/>
            </w:tcBorders>
            <w:vAlign w:val="center"/>
          </w:tcPr>
          <w:p w:rsidR="00EE26AC" w:rsidRPr="00D33B70" w:rsidRDefault="00EE26AC" w:rsidP="00EE26AC">
            <w:pPr>
              <w:numPr>
                <w:ilvl w:val="12"/>
                <w:numId w:val="0"/>
              </w:numPr>
              <w:jc w:val="center"/>
              <w:rPr>
                <w:rFonts w:cs="Arial"/>
              </w:rPr>
            </w:pPr>
            <w:r w:rsidRPr="00D33B70">
              <w:rPr>
                <w:rFonts w:cs="Arial"/>
              </w:rPr>
              <w:t>$807,000</w:t>
            </w:r>
          </w:p>
        </w:tc>
        <w:tc>
          <w:tcPr>
            <w:tcW w:w="1641" w:type="dxa"/>
            <w:tcBorders>
              <w:top w:val="single" w:sz="6" w:space="0" w:color="auto"/>
              <w:left w:val="single" w:sz="6" w:space="0" w:color="auto"/>
              <w:bottom w:val="single" w:sz="6" w:space="0" w:color="auto"/>
              <w:right w:val="single" w:sz="6" w:space="0" w:color="auto"/>
            </w:tcBorders>
            <w:vAlign w:val="center"/>
          </w:tcPr>
          <w:p w:rsidR="00EE26AC" w:rsidRPr="00D33B70" w:rsidRDefault="00EE26AC" w:rsidP="003F5B42">
            <w:pPr>
              <w:numPr>
                <w:ilvl w:val="12"/>
                <w:numId w:val="0"/>
              </w:numPr>
              <w:jc w:val="center"/>
              <w:rPr>
                <w:rFonts w:cs="Arial"/>
              </w:rPr>
            </w:pPr>
            <w:r w:rsidRPr="00D33B70">
              <w:rPr>
                <w:rFonts w:cs="Arial"/>
              </w:rPr>
              <w:t>$28,000</w:t>
            </w:r>
          </w:p>
        </w:tc>
        <w:tc>
          <w:tcPr>
            <w:tcW w:w="1701" w:type="dxa"/>
            <w:tcBorders>
              <w:top w:val="single" w:sz="6" w:space="0" w:color="auto"/>
              <w:left w:val="single" w:sz="6" w:space="0" w:color="auto"/>
              <w:bottom w:val="single" w:sz="6" w:space="0" w:color="auto"/>
              <w:right w:val="single" w:sz="6" w:space="0" w:color="auto"/>
            </w:tcBorders>
            <w:vAlign w:val="center"/>
          </w:tcPr>
          <w:p w:rsidR="00EE26AC" w:rsidRPr="00D33B70" w:rsidRDefault="00EE26AC" w:rsidP="003F5B42">
            <w:pPr>
              <w:numPr>
                <w:ilvl w:val="12"/>
                <w:numId w:val="0"/>
              </w:numPr>
              <w:jc w:val="center"/>
              <w:rPr>
                <w:rFonts w:cs="Arial"/>
              </w:rPr>
            </w:pPr>
            <w:r w:rsidRPr="00D33B70">
              <w:rPr>
                <w:rFonts w:cs="Arial"/>
              </w:rPr>
              <w:t>$251,000</w:t>
            </w:r>
          </w:p>
        </w:tc>
        <w:tc>
          <w:tcPr>
            <w:tcW w:w="1701" w:type="dxa"/>
            <w:tcBorders>
              <w:top w:val="single" w:sz="6" w:space="0" w:color="auto"/>
              <w:left w:val="single" w:sz="6" w:space="0" w:color="auto"/>
              <w:bottom w:val="single" w:sz="6" w:space="0" w:color="auto"/>
              <w:right w:val="single" w:sz="6" w:space="0" w:color="auto"/>
            </w:tcBorders>
            <w:vAlign w:val="center"/>
          </w:tcPr>
          <w:p w:rsidR="00EE26AC" w:rsidRPr="00D33B70" w:rsidRDefault="00EE26AC" w:rsidP="003F5B42">
            <w:pPr>
              <w:numPr>
                <w:ilvl w:val="12"/>
                <w:numId w:val="0"/>
              </w:numPr>
              <w:jc w:val="center"/>
              <w:rPr>
                <w:rFonts w:cs="Arial"/>
              </w:rPr>
            </w:pPr>
            <w:r w:rsidRPr="00D33B70">
              <w:rPr>
                <w:rFonts w:cs="Arial"/>
              </w:rPr>
              <w:t>$1,086,000</w:t>
            </w:r>
          </w:p>
        </w:tc>
        <w:tc>
          <w:tcPr>
            <w:tcW w:w="1646" w:type="dxa"/>
            <w:tcBorders>
              <w:top w:val="single" w:sz="6" w:space="0" w:color="auto"/>
              <w:left w:val="single" w:sz="6" w:space="0" w:color="auto"/>
              <w:bottom w:val="single" w:sz="6" w:space="0" w:color="auto"/>
              <w:right w:val="single" w:sz="4" w:space="0" w:color="auto"/>
            </w:tcBorders>
            <w:vAlign w:val="center"/>
          </w:tcPr>
          <w:p w:rsidR="00EE26AC" w:rsidRPr="00D33B70" w:rsidRDefault="00EE26AC" w:rsidP="003F5B42">
            <w:pPr>
              <w:numPr>
                <w:ilvl w:val="12"/>
                <w:numId w:val="0"/>
              </w:numPr>
              <w:jc w:val="center"/>
              <w:rPr>
                <w:rFonts w:cs="Arial"/>
              </w:rPr>
            </w:pPr>
            <w:r w:rsidRPr="00D33B70">
              <w:rPr>
                <w:rFonts w:cs="Arial"/>
              </w:rPr>
              <w:t>$67,000</w:t>
            </w:r>
          </w:p>
        </w:tc>
      </w:tr>
      <w:tr w:rsidR="00EE26AC" w:rsidRPr="00D33B70" w:rsidTr="003F5B42">
        <w:trPr>
          <w:trHeight w:val="408"/>
        </w:trPr>
        <w:tc>
          <w:tcPr>
            <w:tcW w:w="818" w:type="dxa"/>
            <w:tcBorders>
              <w:top w:val="single" w:sz="6" w:space="0" w:color="auto"/>
              <w:left w:val="single" w:sz="4" w:space="0" w:color="auto"/>
              <w:bottom w:val="single" w:sz="6" w:space="0" w:color="auto"/>
              <w:right w:val="single" w:sz="6" w:space="0" w:color="auto"/>
            </w:tcBorders>
            <w:vAlign w:val="center"/>
          </w:tcPr>
          <w:p w:rsidR="00EE26AC" w:rsidRPr="00D33B70" w:rsidRDefault="00EE26AC" w:rsidP="009B39B1">
            <w:pPr>
              <w:numPr>
                <w:ilvl w:val="12"/>
                <w:numId w:val="0"/>
              </w:numPr>
              <w:jc w:val="left"/>
              <w:rPr>
                <w:rFonts w:cs="Arial"/>
              </w:rPr>
            </w:pPr>
            <w:r w:rsidRPr="00D33B70">
              <w:rPr>
                <w:rFonts w:cs="Arial"/>
              </w:rPr>
              <w:t>5</w:t>
            </w:r>
          </w:p>
        </w:tc>
        <w:tc>
          <w:tcPr>
            <w:tcW w:w="770" w:type="dxa"/>
            <w:tcBorders>
              <w:top w:val="single" w:sz="6" w:space="0" w:color="auto"/>
              <w:left w:val="single" w:sz="6" w:space="0" w:color="auto"/>
              <w:bottom w:val="single" w:sz="6" w:space="0" w:color="auto"/>
              <w:right w:val="single" w:sz="6" w:space="0" w:color="auto"/>
            </w:tcBorders>
            <w:vAlign w:val="center"/>
          </w:tcPr>
          <w:p w:rsidR="00EE26AC" w:rsidRPr="00D33B70" w:rsidRDefault="00EE26AC" w:rsidP="009B39B1">
            <w:pPr>
              <w:numPr>
                <w:ilvl w:val="12"/>
                <w:numId w:val="0"/>
              </w:numPr>
              <w:jc w:val="left"/>
              <w:rPr>
                <w:rFonts w:cs="Arial"/>
              </w:rPr>
            </w:pPr>
            <w:r w:rsidRPr="00D33B70">
              <w:rPr>
                <w:rFonts w:cs="Arial"/>
              </w:rPr>
              <w:t>20%</w:t>
            </w:r>
          </w:p>
        </w:tc>
        <w:tc>
          <w:tcPr>
            <w:tcW w:w="1417" w:type="dxa"/>
            <w:tcBorders>
              <w:top w:val="single" w:sz="6" w:space="0" w:color="auto"/>
              <w:left w:val="single" w:sz="6" w:space="0" w:color="auto"/>
              <w:bottom w:val="single" w:sz="6" w:space="0" w:color="auto"/>
              <w:right w:val="single" w:sz="6" w:space="0" w:color="auto"/>
            </w:tcBorders>
            <w:vAlign w:val="center"/>
          </w:tcPr>
          <w:p w:rsidR="00EE26AC" w:rsidRPr="00D33B70" w:rsidRDefault="00EE26AC" w:rsidP="003F5B42">
            <w:pPr>
              <w:numPr>
                <w:ilvl w:val="12"/>
                <w:numId w:val="0"/>
              </w:numPr>
              <w:jc w:val="center"/>
              <w:rPr>
                <w:rFonts w:cs="Arial"/>
              </w:rPr>
            </w:pPr>
            <w:r w:rsidRPr="00D33B70">
              <w:rPr>
                <w:rFonts w:cs="Arial"/>
              </w:rPr>
              <w:t>$525,000</w:t>
            </w:r>
          </w:p>
        </w:tc>
        <w:tc>
          <w:tcPr>
            <w:tcW w:w="1641" w:type="dxa"/>
            <w:tcBorders>
              <w:top w:val="single" w:sz="6" w:space="0" w:color="auto"/>
              <w:left w:val="single" w:sz="6" w:space="0" w:color="auto"/>
              <w:bottom w:val="single" w:sz="6" w:space="0" w:color="auto"/>
              <w:right w:val="single" w:sz="6" w:space="0" w:color="auto"/>
            </w:tcBorders>
            <w:vAlign w:val="center"/>
          </w:tcPr>
          <w:p w:rsidR="00EE26AC" w:rsidRPr="00D33B70" w:rsidRDefault="00EE26AC" w:rsidP="003F5B42">
            <w:pPr>
              <w:numPr>
                <w:ilvl w:val="12"/>
                <w:numId w:val="0"/>
              </w:numPr>
              <w:jc w:val="center"/>
              <w:rPr>
                <w:rFonts w:cs="Arial"/>
              </w:rPr>
            </w:pPr>
            <w:r w:rsidRPr="00D33B70">
              <w:rPr>
                <w:rFonts w:cs="Arial"/>
              </w:rPr>
              <w:t>$16,000</w:t>
            </w:r>
          </w:p>
        </w:tc>
        <w:tc>
          <w:tcPr>
            <w:tcW w:w="1701" w:type="dxa"/>
            <w:tcBorders>
              <w:top w:val="single" w:sz="6" w:space="0" w:color="auto"/>
              <w:left w:val="single" w:sz="6" w:space="0" w:color="auto"/>
              <w:bottom w:val="single" w:sz="6" w:space="0" w:color="auto"/>
              <w:right w:val="single" w:sz="6" w:space="0" w:color="auto"/>
            </w:tcBorders>
            <w:vAlign w:val="center"/>
          </w:tcPr>
          <w:p w:rsidR="00EE26AC" w:rsidRPr="00D33B70" w:rsidRDefault="00EE26AC" w:rsidP="003F5B42">
            <w:pPr>
              <w:numPr>
                <w:ilvl w:val="12"/>
                <w:numId w:val="0"/>
              </w:numPr>
              <w:jc w:val="center"/>
              <w:rPr>
                <w:rFonts w:cs="Arial"/>
              </w:rPr>
            </w:pPr>
            <w:r w:rsidRPr="00D33B70">
              <w:rPr>
                <w:rFonts w:cs="Arial"/>
              </w:rPr>
              <w:t>$162,000</w:t>
            </w:r>
          </w:p>
        </w:tc>
        <w:tc>
          <w:tcPr>
            <w:tcW w:w="1701" w:type="dxa"/>
            <w:tcBorders>
              <w:top w:val="single" w:sz="6" w:space="0" w:color="auto"/>
              <w:left w:val="single" w:sz="6" w:space="0" w:color="auto"/>
              <w:bottom w:val="single" w:sz="6" w:space="0" w:color="auto"/>
              <w:right w:val="single" w:sz="6" w:space="0" w:color="auto"/>
            </w:tcBorders>
            <w:vAlign w:val="center"/>
          </w:tcPr>
          <w:p w:rsidR="00EE26AC" w:rsidRPr="00D33B70" w:rsidRDefault="00EE26AC" w:rsidP="003F5B42">
            <w:pPr>
              <w:numPr>
                <w:ilvl w:val="12"/>
                <w:numId w:val="0"/>
              </w:numPr>
              <w:jc w:val="center"/>
              <w:rPr>
                <w:rFonts w:cs="Arial"/>
              </w:rPr>
            </w:pPr>
            <w:r w:rsidRPr="00D33B70">
              <w:rPr>
                <w:rFonts w:cs="Arial"/>
              </w:rPr>
              <w:t>$703,000</w:t>
            </w:r>
          </w:p>
        </w:tc>
        <w:tc>
          <w:tcPr>
            <w:tcW w:w="1646" w:type="dxa"/>
            <w:tcBorders>
              <w:top w:val="single" w:sz="6" w:space="0" w:color="auto"/>
              <w:left w:val="single" w:sz="6" w:space="0" w:color="auto"/>
              <w:bottom w:val="single" w:sz="6" w:space="0" w:color="auto"/>
              <w:right w:val="single" w:sz="4" w:space="0" w:color="auto"/>
            </w:tcBorders>
            <w:vAlign w:val="center"/>
          </w:tcPr>
          <w:p w:rsidR="00EE26AC" w:rsidRPr="00D33B70" w:rsidRDefault="00EE26AC" w:rsidP="003F5B42">
            <w:pPr>
              <w:numPr>
                <w:ilvl w:val="12"/>
                <w:numId w:val="0"/>
              </w:numPr>
              <w:jc w:val="center"/>
              <w:rPr>
                <w:rFonts w:cs="Arial"/>
              </w:rPr>
            </w:pPr>
            <w:r w:rsidRPr="00D33B70">
              <w:rPr>
                <w:rFonts w:cs="Arial"/>
              </w:rPr>
              <w:t>$89,000</w:t>
            </w:r>
          </w:p>
        </w:tc>
      </w:tr>
      <w:tr w:rsidR="00EE26AC" w:rsidRPr="00D33B70" w:rsidTr="003F5B42">
        <w:trPr>
          <w:trHeight w:val="414"/>
        </w:trPr>
        <w:tc>
          <w:tcPr>
            <w:tcW w:w="818" w:type="dxa"/>
            <w:tcBorders>
              <w:top w:val="single" w:sz="6" w:space="0" w:color="auto"/>
              <w:left w:val="single" w:sz="4" w:space="0" w:color="auto"/>
              <w:bottom w:val="single" w:sz="6" w:space="0" w:color="auto"/>
              <w:right w:val="single" w:sz="6" w:space="0" w:color="auto"/>
            </w:tcBorders>
            <w:vAlign w:val="center"/>
          </w:tcPr>
          <w:p w:rsidR="00EE26AC" w:rsidRPr="00D33B70" w:rsidRDefault="00EE26AC" w:rsidP="009B39B1">
            <w:pPr>
              <w:numPr>
                <w:ilvl w:val="12"/>
                <w:numId w:val="0"/>
              </w:numPr>
              <w:jc w:val="left"/>
              <w:rPr>
                <w:rFonts w:cs="Arial"/>
              </w:rPr>
            </w:pPr>
            <w:r w:rsidRPr="00D33B70">
              <w:rPr>
                <w:rFonts w:cs="Arial"/>
              </w:rPr>
              <w:t>2</w:t>
            </w:r>
          </w:p>
        </w:tc>
        <w:tc>
          <w:tcPr>
            <w:tcW w:w="770" w:type="dxa"/>
            <w:tcBorders>
              <w:top w:val="single" w:sz="6" w:space="0" w:color="auto"/>
              <w:left w:val="single" w:sz="6" w:space="0" w:color="auto"/>
              <w:bottom w:val="single" w:sz="6" w:space="0" w:color="auto"/>
              <w:right w:val="single" w:sz="6" w:space="0" w:color="auto"/>
            </w:tcBorders>
            <w:vAlign w:val="center"/>
          </w:tcPr>
          <w:p w:rsidR="00EE26AC" w:rsidRPr="00D33B70" w:rsidRDefault="00EE26AC" w:rsidP="009B39B1">
            <w:pPr>
              <w:numPr>
                <w:ilvl w:val="12"/>
                <w:numId w:val="0"/>
              </w:numPr>
              <w:jc w:val="left"/>
              <w:rPr>
                <w:rFonts w:cs="Arial"/>
              </w:rPr>
            </w:pPr>
            <w:r w:rsidRPr="00D33B70">
              <w:rPr>
                <w:rFonts w:cs="Arial"/>
              </w:rPr>
              <w:t>50%</w:t>
            </w:r>
          </w:p>
        </w:tc>
        <w:tc>
          <w:tcPr>
            <w:tcW w:w="1417" w:type="dxa"/>
            <w:tcBorders>
              <w:top w:val="single" w:sz="6" w:space="0" w:color="auto"/>
              <w:left w:val="single" w:sz="6" w:space="0" w:color="auto"/>
              <w:bottom w:val="single" w:sz="6" w:space="0" w:color="auto"/>
              <w:right w:val="single" w:sz="6" w:space="0" w:color="auto"/>
            </w:tcBorders>
            <w:vAlign w:val="center"/>
          </w:tcPr>
          <w:p w:rsidR="00EE26AC" w:rsidRPr="00D33B70" w:rsidRDefault="00EE26AC" w:rsidP="003F5B42">
            <w:pPr>
              <w:numPr>
                <w:ilvl w:val="12"/>
                <w:numId w:val="0"/>
              </w:numPr>
              <w:jc w:val="center"/>
              <w:rPr>
                <w:rFonts w:cs="Arial"/>
              </w:rPr>
            </w:pPr>
          </w:p>
        </w:tc>
        <w:tc>
          <w:tcPr>
            <w:tcW w:w="1641" w:type="dxa"/>
            <w:tcBorders>
              <w:top w:val="single" w:sz="6" w:space="0" w:color="auto"/>
              <w:left w:val="single" w:sz="6" w:space="0" w:color="auto"/>
              <w:bottom w:val="single" w:sz="6" w:space="0" w:color="auto"/>
              <w:right w:val="single" w:sz="6" w:space="0" w:color="auto"/>
            </w:tcBorders>
            <w:vAlign w:val="center"/>
          </w:tcPr>
          <w:p w:rsidR="00EE26AC" w:rsidRPr="00D33B70" w:rsidRDefault="00EE26AC" w:rsidP="003F5B42">
            <w:pPr>
              <w:numPr>
                <w:ilvl w:val="12"/>
                <w:numId w:val="0"/>
              </w:numPr>
              <w:jc w:val="center"/>
              <w:rPr>
                <w:rFonts w:cs="Arial"/>
              </w:rPr>
            </w:pPr>
          </w:p>
        </w:tc>
        <w:tc>
          <w:tcPr>
            <w:tcW w:w="1701" w:type="dxa"/>
            <w:tcBorders>
              <w:top w:val="single" w:sz="6" w:space="0" w:color="auto"/>
              <w:left w:val="single" w:sz="6" w:space="0" w:color="auto"/>
              <w:bottom w:val="single" w:sz="6" w:space="0" w:color="auto"/>
              <w:right w:val="single" w:sz="6" w:space="0" w:color="auto"/>
            </w:tcBorders>
            <w:vAlign w:val="center"/>
          </w:tcPr>
          <w:p w:rsidR="00EE26AC" w:rsidRPr="00D33B70" w:rsidRDefault="00EE26AC" w:rsidP="003F5B42">
            <w:pPr>
              <w:numPr>
                <w:ilvl w:val="12"/>
                <w:numId w:val="0"/>
              </w:numPr>
              <w:jc w:val="center"/>
              <w:rPr>
                <w:rFonts w:cs="Arial"/>
              </w:rPr>
            </w:pPr>
          </w:p>
        </w:tc>
        <w:tc>
          <w:tcPr>
            <w:tcW w:w="1701" w:type="dxa"/>
            <w:tcBorders>
              <w:top w:val="single" w:sz="6" w:space="0" w:color="auto"/>
              <w:left w:val="single" w:sz="6" w:space="0" w:color="auto"/>
              <w:bottom w:val="single" w:sz="6" w:space="0" w:color="auto"/>
              <w:right w:val="single" w:sz="6" w:space="0" w:color="auto"/>
            </w:tcBorders>
            <w:vAlign w:val="center"/>
          </w:tcPr>
          <w:p w:rsidR="00EE26AC" w:rsidRPr="00D33B70" w:rsidRDefault="00EE26AC" w:rsidP="003F5B42">
            <w:pPr>
              <w:numPr>
                <w:ilvl w:val="12"/>
                <w:numId w:val="0"/>
              </w:numPr>
              <w:jc w:val="center"/>
              <w:rPr>
                <w:rFonts w:cs="Arial"/>
              </w:rPr>
            </w:pPr>
          </w:p>
        </w:tc>
        <w:tc>
          <w:tcPr>
            <w:tcW w:w="1646" w:type="dxa"/>
            <w:tcBorders>
              <w:top w:val="single" w:sz="6" w:space="0" w:color="auto"/>
              <w:left w:val="single" w:sz="6" w:space="0" w:color="auto"/>
              <w:bottom w:val="single" w:sz="6" w:space="0" w:color="auto"/>
              <w:right w:val="single" w:sz="4" w:space="0" w:color="auto"/>
            </w:tcBorders>
            <w:vAlign w:val="center"/>
          </w:tcPr>
          <w:p w:rsidR="00EE26AC" w:rsidRPr="00D33B70" w:rsidRDefault="00EE26AC" w:rsidP="003F5B42">
            <w:pPr>
              <w:numPr>
                <w:ilvl w:val="12"/>
                <w:numId w:val="0"/>
              </w:numPr>
              <w:jc w:val="center"/>
              <w:rPr>
                <w:rFonts w:cs="Arial"/>
              </w:rPr>
            </w:pPr>
            <w:r w:rsidRPr="00D33B70">
              <w:rPr>
                <w:rFonts w:cs="Arial"/>
              </w:rPr>
              <w:t>$105,000</w:t>
            </w:r>
          </w:p>
        </w:tc>
      </w:tr>
      <w:tr w:rsidR="009B39B1" w:rsidRPr="00D33B70" w:rsidTr="00CB43CE">
        <w:trPr>
          <w:trHeight w:val="391"/>
        </w:trPr>
        <w:tc>
          <w:tcPr>
            <w:tcW w:w="8048" w:type="dxa"/>
            <w:gridSpan w:val="6"/>
            <w:tcBorders>
              <w:top w:val="single" w:sz="6" w:space="0" w:color="auto"/>
              <w:left w:val="single" w:sz="4" w:space="0" w:color="auto"/>
              <w:bottom w:val="single" w:sz="4" w:space="0" w:color="auto"/>
              <w:right w:val="single" w:sz="6" w:space="0" w:color="auto"/>
            </w:tcBorders>
            <w:shd w:val="pct10" w:color="auto" w:fill="auto"/>
            <w:vAlign w:val="center"/>
          </w:tcPr>
          <w:p w:rsidR="009B39B1" w:rsidRPr="00D33B70" w:rsidRDefault="009B39B1" w:rsidP="009B39B1">
            <w:pPr>
              <w:numPr>
                <w:ilvl w:val="12"/>
                <w:numId w:val="0"/>
              </w:numPr>
              <w:jc w:val="left"/>
              <w:rPr>
                <w:rFonts w:cs="Arial"/>
                <w:b/>
              </w:rPr>
            </w:pPr>
            <w:r w:rsidRPr="00D33B70">
              <w:rPr>
                <w:rFonts w:cs="Arial"/>
                <w:b/>
              </w:rPr>
              <w:t>Average Annual Damage</w:t>
            </w:r>
          </w:p>
        </w:tc>
        <w:tc>
          <w:tcPr>
            <w:tcW w:w="1646" w:type="dxa"/>
            <w:tcBorders>
              <w:top w:val="single" w:sz="6" w:space="0" w:color="auto"/>
              <w:left w:val="single" w:sz="6" w:space="0" w:color="auto"/>
              <w:bottom w:val="single" w:sz="4" w:space="0" w:color="auto"/>
              <w:right w:val="single" w:sz="4" w:space="0" w:color="auto"/>
            </w:tcBorders>
            <w:shd w:val="pct10" w:color="auto" w:fill="auto"/>
            <w:vAlign w:val="center"/>
          </w:tcPr>
          <w:p w:rsidR="009B39B1" w:rsidRPr="00D33B70" w:rsidRDefault="009B39B1" w:rsidP="003F5B42">
            <w:pPr>
              <w:numPr>
                <w:ilvl w:val="12"/>
                <w:numId w:val="0"/>
              </w:numPr>
              <w:jc w:val="center"/>
              <w:rPr>
                <w:rFonts w:cs="Arial"/>
                <w:b/>
              </w:rPr>
            </w:pPr>
            <w:r w:rsidRPr="00D33B70">
              <w:rPr>
                <w:rFonts w:cs="Arial"/>
                <w:b/>
              </w:rPr>
              <w:t>$381,000</w:t>
            </w:r>
          </w:p>
        </w:tc>
      </w:tr>
    </w:tbl>
    <w:p w:rsidR="00D57D13" w:rsidRPr="00D33B70" w:rsidRDefault="00D57D13" w:rsidP="00D57D13">
      <w:pPr>
        <w:numPr>
          <w:ilvl w:val="12"/>
          <w:numId w:val="0"/>
        </w:numPr>
        <w:spacing w:before="120"/>
        <w:ind w:left="851"/>
        <w:jc w:val="left"/>
        <w:rPr>
          <w:sz w:val="16"/>
          <w:szCs w:val="16"/>
        </w:rPr>
      </w:pPr>
      <w:r w:rsidRPr="00D33B70">
        <w:rPr>
          <w:sz w:val="16"/>
          <w:szCs w:val="16"/>
          <w:vertAlign w:val="superscript"/>
        </w:rPr>
        <w:t xml:space="preserve">+  </w:t>
      </w:r>
      <w:r w:rsidRPr="00D33B70">
        <w:rPr>
          <w:sz w:val="16"/>
          <w:szCs w:val="16"/>
        </w:rPr>
        <w:t>Note –  PMF damages are an extrapolation of the 1% AEP data, i.e., they were not calculated using PMF flood levels</w:t>
      </w:r>
    </w:p>
    <w:p w:rsidR="00D57D13" w:rsidRPr="00D33B70" w:rsidRDefault="00D57D13" w:rsidP="00D57D13">
      <w:pPr>
        <w:pStyle w:val="Caption"/>
        <w:numPr>
          <w:ilvl w:val="12"/>
          <w:numId w:val="0"/>
        </w:numPr>
        <w:ind w:left="851"/>
      </w:pPr>
      <w:bookmarkStart w:id="352" w:name="_Ref233450874"/>
      <w:bookmarkStart w:id="353" w:name="_Ref233450869"/>
      <w:bookmarkStart w:id="354" w:name="_Toc236553391"/>
      <w:bookmarkStart w:id="355" w:name="_Toc280014015"/>
      <w:bookmarkStart w:id="356" w:name="_Toc295475239"/>
      <w:bookmarkStart w:id="357" w:name="_Toc295914238"/>
      <w:bookmarkStart w:id="358" w:name="_Ref207787914"/>
      <w:bookmarkStart w:id="359" w:name="_Toc231362349"/>
      <w:bookmarkStart w:id="360" w:name="_Toc387308993"/>
      <w:r w:rsidRPr="00D33B70">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8</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3</w:t>
      </w:r>
      <w:r w:rsidR="00FF3C04" w:rsidRPr="00D33B70">
        <w:fldChar w:fldCharType="end"/>
      </w:r>
      <w:bookmarkEnd w:id="352"/>
      <w:r w:rsidRPr="00D33B70">
        <w:tab/>
        <w:t>Scheme One Capital Cost</w:t>
      </w:r>
      <w:bookmarkEnd w:id="353"/>
      <w:bookmarkEnd w:id="354"/>
      <w:r w:rsidRPr="00D33B70">
        <w:t xml:space="preserve"> Estimates</w:t>
      </w:r>
      <w:bookmarkEnd w:id="355"/>
      <w:bookmarkEnd w:id="356"/>
      <w:bookmarkEnd w:id="357"/>
      <w:bookmarkEnd w:id="360"/>
    </w:p>
    <w:tbl>
      <w:tblPr>
        <w:tblW w:w="5200" w:type="dxa"/>
        <w:jc w:val="center"/>
        <w:tblInd w:w="95" w:type="dxa"/>
        <w:tblLook w:val="04A0" w:firstRow="1" w:lastRow="0" w:firstColumn="1" w:lastColumn="0" w:noHBand="0" w:noVBand="1"/>
      </w:tblPr>
      <w:tblGrid>
        <w:gridCol w:w="2600"/>
        <w:gridCol w:w="2600"/>
      </w:tblGrid>
      <w:tr w:rsidR="00D57D13" w:rsidRPr="00D33B70" w:rsidTr="00CC5D90">
        <w:trPr>
          <w:trHeight w:val="315"/>
          <w:jc w:val="center"/>
        </w:trPr>
        <w:tc>
          <w:tcPr>
            <w:tcW w:w="2600" w:type="dxa"/>
            <w:tcBorders>
              <w:top w:val="single" w:sz="4" w:space="0" w:color="auto"/>
              <w:left w:val="single" w:sz="4" w:space="0" w:color="auto"/>
              <w:bottom w:val="single" w:sz="4" w:space="0" w:color="auto"/>
              <w:right w:val="single" w:sz="4" w:space="0" w:color="auto"/>
            </w:tcBorders>
            <w:shd w:val="pct10" w:color="000000" w:fill="auto"/>
            <w:vAlign w:val="center"/>
            <w:hideMark/>
          </w:tcPr>
          <w:p w:rsidR="00D57D13" w:rsidRPr="00D33B70" w:rsidRDefault="00D57D13" w:rsidP="009B39B1">
            <w:pPr>
              <w:overflowPunct/>
              <w:autoSpaceDE/>
              <w:autoSpaceDN/>
              <w:adjustRightInd/>
              <w:jc w:val="left"/>
              <w:textAlignment w:val="auto"/>
              <w:rPr>
                <w:rFonts w:cs="Arial"/>
                <w:b/>
                <w:bCs/>
                <w:color w:val="000000"/>
                <w:lang w:eastAsia="en-AU"/>
              </w:rPr>
            </w:pPr>
            <w:r w:rsidRPr="00D33B70">
              <w:rPr>
                <w:rFonts w:cs="Arial"/>
                <w:b/>
                <w:bCs/>
                <w:color w:val="000000"/>
                <w:lang w:eastAsia="en-AU"/>
              </w:rPr>
              <w:t>Item</w:t>
            </w:r>
          </w:p>
        </w:tc>
        <w:tc>
          <w:tcPr>
            <w:tcW w:w="2600" w:type="dxa"/>
            <w:tcBorders>
              <w:top w:val="single" w:sz="4" w:space="0" w:color="auto"/>
              <w:left w:val="nil"/>
              <w:bottom w:val="single" w:sz="4" w:space="0" w:color="auto"/>
              <w:right w:val="single" w:sz="4" w:space="0" w:color="auto"/>
            </w:tcBorders>
            <w:shd w:val="pct10" w:color="000000" w:fill="auto"/>
            <w:vAlign w:val="center"/>
            <w:hideMark/>
          </w:tcPr>
          <w:p w:rsidR="00D57D13" w:rsidRPr="00D33B70" w:rsidRDefault="00D57D13" w:rsidP="00CC5D90">
            <w:pPr>
              <w:overflowPunct/>
              <w:autoSpaceDE/>
              <w:autoSpaceDN/>
              <w:adjustRightInd/>
              <w:jc w:val="center"/>
              <w:textAlignment w:val="auto"/>
              <w:rPr>
                <w:rFonts w:cs="Arial"/>
                <w:b/>
                <w:bCs/>
                <w:color w:val="000000"/>
                <w:lang w:eastAsia="en-AU"/>
              </w:rPr>
            </w:pPr>
            <w:r w:rsidRPr="00D33B70">
              <w:rPr>
                <w:rFonts w:cs="Arial"/>
                <w:b/>
                <w:bCs/>
                <w:color w:val="000000"/>
                <w:lang w:eastAsia="en-AU"/>
              </w:rPr>
              <w:t>Capital Cost</w:t>
            </w:r>
          </w:p>
        </w:tc>
      </w:tr>
      <w:tr w:rsidR="00D57D13" w:rsidRPr="00D33B70" w:rsidTr="00CC5D90">
        <w:trPr>
          <w:trHeight w:val="315"/>
          <w:jc w:val="center"/>
        </w:trPr>
        <w:tc>
          <w:tcPr>
            <w:tcW w:w="2600" w:type="dxa"/>
            <w:tcBorders>
              <w:top w:val="nil"/>
              <w:left w:val="single" w:sz="4" w:space="0" w:color="auto"/>
              <w:bottom w:val="single" w:sz="4" w:space="0" w:color="auto"/>
              <w:right w:val="single" w:sz="4" w:space="0" w:color="auto"/>
            </w:tcBorders>
            <w:shd w:val="clear" w:color="auto" w:fill="auto"/>
            <w:hideMark/>
          </w:tcPr>
          <w:p w:rsidR="00D57D13" w:rsidRPr="00D33B70" w:rsidRDefault="00D57D13" w:rsidP="00CC5D90">
            <w:pPr>
              <w:numPr>
                <w:ilvl w:val="12"/>
                <w:numId w:val="0"/>
              </w:numPr>
              <w:spacing w:before="60" w:after="60"/>
              <w:rPr>
                <w:color w:val="000000"/>
              </w:rPr>
            </w:pPr>
            <w:r w:rsidRPr="00D33B70">
              <w:rPr>
                <w:color w:val="000000"/>
              </w:rPr>
              <w:t>Works</w:t>
            </w:r>
          </w:p>
        </w:tc>
        <w:tc>
          <w:tcPr>
            <w:tcW w:w="2600" w:type="dxa"/>
            <w:tcBorders>
              <w:top w:val="nil"/>
              <w:left w:val="nil"/>
              <w:bottom w:val="single" w:sz="4" w:space="0" w:color="auto"/>
              <w:right w:val="single" w:sz="4" w:space="0" w:color="auto"/>
            </w:tcBorders>
            <w:shd w:val="clear" w:color="auto" w:fill="auto"/>
            <w:hideMark/>
          </w:tcPr>
          <w:p w:rsidR="00D57D13" w:rsidRPr="00D33B70" w:rsidRDefault="002C792F" w:rsidP="00CC5D90">
            <w:pPr>
              <w:numPr>
                <w:ilvl w:val="12"/>
                <w:numId w:val="0"/>
              </w:numPr>
              <w:spacing w:before="60" w:after="60"/>
              <w:jc w:val="center"/>
              <w:rPr>
                <w:color w:val="000000"/>
              </w:rPr>
            </w:pPr>
            <w:r w:rsidRPr="00D33B70">
              <w:rPr>
                <w:color w:val="000000"/>
              </w:rPr>
              <w:t>$4,649</w:t>
            </w:r>
            <w:r w:rsidR="00D57D13" w:rsidRPr="00D33B70">
              <w:rPr>
                <w:color w:val="000000"/>
              </w:rPr>
              <w:t>,000</w:t>
            </w:r>
          </w:p>
        </w:tc>
      </w:tr>
      <w:tr w:rsidR="00D57D13" w:rsidRPr="00D33B70" w:rsidTr="00CC5D90">
        <w:trPr>
          <w:trHeight w:val="315"/>
          <w:jc w:val="center"/>
        </w:trPr>
        <w:tc>
          <w:tcPr>
            <w:tcW w:w="2600" w:type="dxa"/>
            <w:tcBorders>
              <w:top w:val="nil"/>
              <w:left w:val="single" w:sz="4" w:space="0" w:color="auto"/>
              <w:bottom w:val="single" w:sz="4" w:space="0" w:color="auto"/>
              <w:right w:val="single" w:sz="4" w:space="0" w:color="auto"/>
            </w:tcBorders>
            <w:shd w:val="clear" w:color="auto" w:fill="auto"/>
            <w:hideMark/>
          </w:tcPr>
          <w:p w:rsidR="00D57D13" w:rsidRPr="00D33B70" w:rsidRDefault="00D57D13" w:rsidP="00CC5D90">
            <w:pPr>
              <w:numPr>
                <w:ilvl w:val="12"/>
                <w:numId w:val="0"/>
              </w:numPr>
              <w:spacing w:before="60" w:after="60"/>
              <w:rPr>
                <w:color w:val="000000"/>
              </w:rPr>
            </w:pPr>
            <w:r w:rsidRPr="00D33B70">
              <w:rPr>
                <w:color w:val="000000"/>
              </w:rPr>
              <w:t>Contingencies (20%)</w:t>
            </w:r>
          </w:p>
        </w:tc>
        <w:tc>
          <w:tcPr>
            <w:tcW w:w="2600" w:type="dxa"/>
            <w:tcBorders>
              <w:top w:val="nil"/>
              <w:left w:val="nil"/>
              <w:bottom w:val="single" w:sz="4" w:space="0" w:color="auto"/>
              <w:right w:val="single" w:sz="4" w:space="0" w:color="auto"/>
            </w:tcBorders>
            <w:shd w:val="clear" w:color="auto" w:fill="auto"/>
            <w:hideMark/>
          </w:tcPr>
          <w:p w:rsidR="00D57D13" w:rsidRPr="00D33B70" w:rsidRDefault="00777446" w:rsidP="00CC5D90">
            <w:pPr>
              <w:numPr>
                <w:ilvl w:val="12"/>
                <w:numId w:val="0"/>
              </w:numPr>
              <w:spacing w:before="60" w:after="60"/>
              <w:jc w:val="center"/>
              <w:rPr>
                <w:color w:val="000000"/>
              </w:rPr>
            </w:pPr>
            <w:r w:rsidRPr="00D33B70">
              <w:rPr>
                <w:color w:val="000000"/>
              </w:rPr>
              <w:t>$930</w:t>
            </w:r>
            <w:r w:rsidR="00D57D13" w:rsidRPr="00D33B70">
              <w:rPr>
                <w:color w:val="000000"/>
              </w:rPr>
              <w:t>,000</w:t>
            </w:r>
          </w:p>
        </w:tc>
      </w:tr>
      <w:tr w:rsidR="00D57D13" w:rsidRPr="00D33B70" w:rsidTr="00CC5D90">
        <w:trPr>
          <w:trHeight w:val="315"/>
          <w:jc w:val="center"/>
        </w:trPr>
        <w:tc>
          <w:tcPr>
            <w:tcW w:w="2600" w:type="dxa"/>
            <w:tcBorders>
              <w:top w:val="nil"/>
              <w:left w:val="single" w:sz="4" w:space="0" w:color="auto"/>
              <w:bottom w:val="single" w:sz="4" w:space="0" w:color="auto"/>
              <w:right w:val="single" w:sz="4" w:space="0" w:color="auto"/>
            </w:tcBorders>
            <w:shd w:val="clear" w:color="auto" w:fill="auto"/>
            <w:hideMark/>
          </w:tcPr>
          <w:p w:rsidR="00D57D13" w:rsidRPr="00D33B70" w:rsidRDefault="00D57D13" w:rsidP="00CC5D90">
            <w:pPr>
              <w:numPr>
                <w:ilvl w:val="12"/>
                <w:numId w:val="0"/>
              </w:numPr>
              <w:spacing w:before="60" w:after="60"/>
              <w:rPr>
                <w:color w:val="000000"/>
              </w:rPr>
            </w:pPr>
            <w:r w:rsidRPr="00D33B70">
              <w:rPr>
                <w:color w:val="000000"/>
              </w:rPr>
              <w:t>Engineering (15%)</w:t>
            </w:r>
          </w:p>
        </w:tc>
        <w:tc>
          <w:tcPr>
            <w:tcW w:w="2600" w:type="dxa"/>
            <w:tcBorders>
              <w:top w:val="nil"/>
              <w:left w:val="nil"/>
              <w:bottom w:val="single" w:sz="4" w:space="0" w:color="auto"/>
              <w:right w:val="single" w:sz="4" w:space="0" w:color="auto"/>
            </w:tcBorders>
            <w:shd w:val="clear" w:color="auto" w:fill="auto"/>
            <w:hideMark/>
          </w:tcPr>
          <w:p w:rsidR="00D57D13" w:rsidRPr="00D33B70" w:rsidRDefault="00777446" w:rsidP="00CC5D90">
            <w:pPr>
              <w:numPr>
                <w:ilvl w:val="12"/>
                <w:numId w:val="0"/>
              </w:numPr>
              <w:spacing w:before="60" w:after="60"/>
              <w:jc w:val="center"/>
              <w:rPr>
                <w:color w:val="000000"/>
              </w:rPr>
            </w:pPr>
            <w:r w:rsidRPr="00D33B70">
              <w:rPr>
                <w:color w:val="000000"/>
              </w:rPr>
              <w:t>$697</w:t>
            </w:r>
            <w:r w:rsidR="00D57D13" w:rsidRPr="00D33B70">
              <w:rPr>
                <w:color w:val="000000"/>
              </w:rPr>
              <w:t>,000</w:t>
            </w:r>
          </w:p>
        </w:tc>
      </w:tr>
      <w:tr w:rsidR="00D57D13" w:rsidRPr="00D33B70" w:rsidTr="00CC5D90">
        <w:trPr>
          <w:trHeight w:val="315"/>
          <w:jc w:val="center"/>
        </w:trPr>
        <w:tc>
          <w:tcPr>
            <w:tcW w:w="2600" w:type="dxa"/>
            <w:tcBorders>
              <w:top w:val="nil"/>
              <w:left w:val="single" w:sz="4" w:space="0" w:color="auto"/>
              <w:bottom w:val="single" w:sz="4" w:space="0" w:color="auto"/>
              <w:right w:val="single" w:sz="4" w:space="0" w:color="auto"/>
            </w:tcBorders>
            <w:shd w:val="clear" w:color="auto" w:fill="auto"/>
            <w:hideMark/>
          </w:tcPr>
          <w:p w:rsidR="00D57D13" w:rsidRPr="00D33B70" w:rsidRDefault="00D57D13" w:rsidP="00CC5D90">
            <w:pPr>
              <w:numPr>
                <w:ilvl w:val="12"/>
                <w:numId w:val="0"/>
              </w:numPr>
              <w:spacing w:before="60" w:after="60"/>
              <w:rPr>
                <w:color w:val="000000"/>
              </w:rPr>
            </w:pPr>
            <w:r w:rsidRPr="00D33B70">
              <w:rPr>
                <w:color w:val="000000"/>
              </w:rPr>
              <w:t>Administration (9%)</w:t>
            </w:r>
          </w:p>
        </w:tc>
        <w:tc>
          <w:tcPr>
            <w:tcW w:w="2600" w:type="dxa"/>
            <w:tcBorders>
              <w:top w:val="nil"/>
              <w:left w:val="nil"/>
              <w:bottom w:val="single" w:sz="4" w:space="0" w:color="auto"/>
              <w:right w:val="single" w:sz="4" w:space="0" w:color="auto"/>
            </w:tcBorders>
            <w:shd w:val="clear" w:color="auto" w:fill="auto"/>
            <w:hideMark/>
          </w:tcPr>
          <w:p w:rsidR="00D57D13" w:rsidRPr="00D33B70" w:rsidRDefault="00777446" w:rsidP="00CC5D90">
            <w:pPr>
              <w:numPr>
                <w:ilvl w:val="12"/>
                <w:numId w:val="0"/>
              </w:numPr>
              <w:spacing w:before="60" w:after="60"/>
              <w:jc w:val="center"/>
              <w:rPr>
                <w:color w:val="000000"/>
              </w:rPr>
            </w:pPr>
            <w:r w:rsidRPr="00D33B70">
              <w:rPr>
                <w:color w:val="000000"/>
              </w:rPr>
              <w:t>$418</w:t>
            </w:r>
            <w:r w:rsidR="00D57D13" w:rsidRPr="00D33B70">
              <w:rPr>
                <w:color w:val="000000"/>
              </w:rPr>
              <w:t>,000</w:t>
            </w:r>
          </w:p>
        </w:tc>
      </w:tr>
      <w:tr w:rsidR="00D57D13" w:rsidRPr="00D33B70" w:rsidTr="00CC5D90">
        <w:trPr>
          <w:trHeight w:val="315"/>
          <w:jc w:val="center"/>
        </w:trPr>
        <w:tc>
          <w:tcPr>
            <w:tcW w:w="2600" w:type="dxa"/>
            <w:tcBorders>
              <w:top w:val="single" w:sz="4" w:space="0" w:color="auto"/>
              <w:left w:val="single" w:sz="4" w:space="0" w:color="auto"/>
              <w:bottom w:val="single" w:sz="4" w:space="0" w:color="auto"/>
              <w:right w:val="single" w:sz="4" w:space="0" w:color="auto"/>
            </w:tcBorders>
            <w:shd w:val="pct10" w:color="000000" w:fill="auto"/>
            <w:vAlign w:val="center"/>
            <w:hideMark/>
          </w:tcPr>
          <w:p w:rsidR="00D57D13" w:rsidRPr="00D33B70" w:rsidRDefault="00D57D13" w:rsidP="009B39B1">
            <w:pPr>
              <w:overflowPunct/>
              <w:autoSpaceDE/>
              <w:autoSpaceDN/>
              <w:adjustRightInd/>
              <w:jc w:val="left"/>
              <w:textAlignment w:val="auto"/>
              <w:rPr>
                <w:rFonts w:cs="Arial"/>
                <w:b/>
                <w:bCs/>
                <w:color w:val="000000"/>
                <w:lang w:eastAsia="en-AU"/>
              </w:rPr>
            </w:pPr>
            <w:r w:rsidRPr="00D33B70">
              <w:rPr>
                <w:rFonts w:cs="Arial"/>
                <w:b/>
                <w:bCs/>
                <w:color w:val="000000"/>
                <w:lang w:eastAsia="en-AU"/>
              </w:rPr>
              <w:t>Total</w:t>
            </w:r>
          </w:p>
        </w:tc>
        <w:tc>
          <w:tcPr>
            <w:tcW w:w="2600" w:type="dxa"/>
            <w:tcBorders>
              <w:top w:val="single" w:sz="4" w:space="0" w:color="auto"/>
              <w:left w:val="nil"/>
              <w:bottom w:val="single" w:sz="4" w:space="0" w:color="auto"/>
              <w:right w:val="single" w:sz="4" w:space="0" w:color="auto"/>
            </w:tcBorders>
            <w:shd w:val="pct10" w:color="000000" w:fill="auto"/>
            <w:vAlign w:val="center"/>
            <w:hideMark/>
          </w:tcPr>
          <w:p w:rsidR="00D57D13" w:rsidRPr="00D33B70" w:rsidRDefault="00777446" w:rsidP="00CC5D90">
            <w:pPr>
              <w:overflowPunct/>
              <w:autoSpaceDE/>
              <w:autoSpaceDN/>
              <w:adjustRightInd/>
              <w:jc w:val="center"/>
              <w:textAlignment w:val="auto"/>
              <w:rPr>
                <w:rFonts w:cs="Arial"/>
                <w:b/>
                <w:bCs/>
                <w:color w:val="000000"/>
                <w:lang w:eastAsia="en-AU"/>
              </w:rPr>
            </w:pPr>
            <w:r w:rsidRPr="00D33B70">
              <w:rPr>
                <w:rFonts w:cs="Arial"/>
                <w:b/>
                <w:bCs/>
                <w:color w:val="000000"/>
                <w:lang w:eastAsia="en-AU"/>
              </w:rPr>
              <w:t>$6,694</w:t>
            </w:r>
            <w:r w:rsidR="00D57D13" w:rsidRPr="00D33B70">
              <w:rPr>
                <w:rFonts w:cs="Arial"/>
                <w:b/>
                <w:bCs/>
                <w:color w:val="000000"/>
                <w:lang w:eastAsia="en-AU"/>
              </w:rPr>
              <w:t>,000</w:t>
            </w:r>
          </w:p>
        </w:tc>
      </w:tr>
    </w:tbl>
    <w:p w:rsidR="00D57D13" w:rsidRPr="00D33B70" w:rsidRDefault="00D57D13" w:rsidP="00D57D13">
      <w:pPr>
        <w:pStyle w:val="Caption"/>
        <w:numPr>
          <w:ilvl w:val="12"/>
          <w:numId w:val="0"/>
        </w:numPr>
        <w:ind w:left="851"/>
      </w:pPr>
      <w:bookmarkStart w:id="361" w:name="_Ref233450901"/>
      <w:bookmarkStart w:id="362" w:name="_Toc236553392"/>
      <w:bookmarkStart w:id="363" w:name="_Toc280014016"/>
      <w:bookmarkStart w:id="364" w:name="_Toc295475240"/>
      <w:bookmarkStart w:id="365" w:name="_Toc295914239"/>
      <w:bookmarkStart w:id="366" w:name="_Toc387308994"/>
      <w:r w:rsidRPr="00D33B70">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8</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4</w:t>
      </w:r>
      <w:r w:rsidR="00FF3C04" w:rsidRPr="00D33B70">
        <w:fldChar w:fldCharType="end"/>
      </w:r>
      <w:bookmarkEnd w:id="361"/>
      <w:r w:rsidRPr="00D33B70">
        <w:tab/>
        <w:t>Scheme One BCR Summary</w:t>
      </w:r>
      <w:bookmarkEnd w:id="362"/>
      <w:bookmarkEnd w:id="363"/>
      <w:bookmarkEnd w:id="364"/>
      <w:bookmarkEnd w:id="365"/>
      <w:bookmarkEnd w:id="366"/>
    </w:p>
    <w:tbl>
      <w:tblPr>
        <w:tblW w:w="0" w:type="auto"/>
        <w:tblInd w:w="964" w:type="dxa"/>
        <w:tblLayout w:type="fixed"/>
        <w:tblCellMar>
          <w:left w:w="30" w:type="dxa"/>
          <w:right w:w="30" w:type="dxa"/>
        </w:tblCellMar>
        <w:tblLook w:val="0000" w:firstRow="0" w:lastRow="0" w:firstColumn="0" w:lastColumn="0" w:noHBand="0" w:noVBand="0"/>
      </w:tblPr>
      <w:tblGrid>
        <w:gridCol w:w="2468"/>
        <w:gridCol w:w="1843"/>
        <w:gridCol w:w="4477"/>
      </w:tblGrid>
      <w:tr w:rsidR="00D57D13" w:rsidRPr="00D33B70" w:rsidTr="00CC5D90">
        <w:trPr>
          <w:trHeight w:val="247"/>
        </w:trPr>
        <w:tc>
          <w:tcPr>
            <w:tcW w:w="2468" w:type="dxa"/>
            <w:tcBorders>
              <w:top w:val="single" w:sz="6" w:space="0" w:color="auto"/>
              <w:left w:val="single" w:sz="6" w:space="0" w:color="auto"/>
              <w:bottom w:val="single" w:sz="6" w:space="0" w:color="auto"/>
              <w:right w:val="single" w:sz="6" w:space="0" w:color="auto"/>
            </w:tcBorders>
            <w:shd w:val="pct10" w:color="auto" w:fill="auto"/>
            <w:tcMar>
              <w:left w:w="113" w:type="dxa"/>
              <w:right w:w="113" w:type="dxa"/>
            </w:tcMar>
          </w:tcPr>
          <w:p w:rsidR="00D57D13" w:rsidRPr="00D33B70" w:rsidRDefault="00D57D13" w:rsidP="00CC5D90">
            <w:pPr>
              <w:numPr>
                <w:ilvl w:val="12"/>
                <w:numId w:val="0"/>
              </w:numPr>
              <w:spacing w:before="60" w:after="60"/>
              <w:jc w:val="left"/>
              <w:rPr>
                <w:b/>
                <w:color w:val="000000"/>
                <w:spacing w:val="0"/>
              </w:rPr>
            </w:pPr>
            <w:r w:rsidRPr="00D33B70">
              <w:rPr>
                <w:b/>
                <w:color w:val="000000"/>
                <w:spacing w:val="0"/>
              </w:rPr>
              <w:t>Item</w:t>
            </w:r>
          </w:p>
        </w:tc>
        <w:tc>
          <w:tcPr>
            <w:tcW w:w="1843" w:type="dxa"/>
            <w:tcBorders>
              <w:top w:val="single" w:sz="6" w:space="0" w:color="auto"/>
              <w:left w:val="single" w:sz="6" w:space="0" w:color="auto"/>
              <w:bottom w:val="single" w:sz="6" w:space="0" w:color="auto"/>
              <w:right w:val="single" w:sz="6" w:space="0" w:color="000000"/>
            </w:tcBorders>
            <w:shd w:val="pct10" w:color="auto" w:fill="auto"/>
          </w:tcPr>
          <w:p w:rsidR="00D57D13" w:rsidRPr="00D33B70" w:rsidRDefault="00D57D13" w:rsidP="00CC5D90">
            <w:pPr>
              <w:numPr>
                <w:ilvl w:val="12"/>
                <w:numId w:val="0"/>
              </w:numPr>
              <w:spacing w:before="60" w:after="60"/>
              <w:jc w:val="center"/>
              <w:rPr>
                <w:b/>
                <w:color w:val="000000"/>
                <w:spacing w:val="0"/>
              </w:rPr>
            </w:pPr>
            <w:r w:rsidRPr="00D33B70">
              <w:rPr>
                <w:b/>
                <w:color w:val="000000"/>
                <w:spacing w:val="0"/>
              </w:rPr>
              <w:t>Existing</w:t>
            </w:r>
          </w:p>
        </w:tc>
        <w:tc>
          <w:tcPr>
            <w:tcW w:w="4477" w:type="dxa"/>
            <w:tcBorders>
              <w:top w:val="single" w:sz="6" w:space="0" w:color="auto"/>
              <w:left w:val="single" w:sz="6" w:space="0" w:color="000000"/>
              <w:bottom w:val="single" w:sz="6" w:space="0" w:color="auto"/>
              <w:right w:val="single" w:sz="6" w:space="0" w:color="auto"/>
            </w:tcBorders>
            <w:shd w:val="pct10" w:color="auto" w:fill="auto"/>
          </w:tcPr>
          <w:p w:rsidR="00D57D13" w:rsidRPr="00D33B70" w:rsidRDefault="00D57D13" w:rsidP="00CC5D90">
            <w:pPr>
              <w:numPr>
                <w:ilvl w:val="12"/>
                <w:numId w:val="0"/>
              </w:numPr>
              <w:spacing w:before="60" w:after="60"/>
              <w:jc w:val="center"/>
              <w:rPr>
                <w:b/>
                <w:color w:val="000000"/>
                <w:spacing w:val="0"/>
              </w:rPr>
            </w:pPr>
            <w:r w:rsidRPr="00D33B70">
              <w:rPr>
                <w:b/>
                <w:color w:val="000000"/>
                <w:spacing w:val="0"/>
              </w:rPr>
              <w:t>Scheme One</w:t>
            </w:r>
          </w:p>
        </w:tc>
      </w:tr>
      <w:tr w:rsidR="00D57D13" w:rsidRPr="00D33B70" w:rsidTr="00CC5D90">
        <w:trPr>
          <w:trHeight w:val="247"/>
        </w:trPr>
        <w:tc>
          <w:tcPr>
            <w:tcW w:w="2468" w:type="dxa"/>
            <w:tcBorders>
              <w:top w:val="single" w:sz="6" w:space="0" w:color="auto"/>
              <w:left w:val="single" w:sz="6" w:space="0" w:color="auto"/>
              <w:bottom w:val="single" w:sz="6" w:space="0" w:color="auto"/>
              <w:right w:val="single" w:sz="6" w:space="0" w:color="auto"/>
            </w:tcBorders>
            <w:tcMar>
              <w:left w:w="113" w:type="dxa"/>
              <w:right w:w="113" w:type="dxa"/>
            </w:tcMar>
          </w:tcPr>
          <w:p w:rsidR="00D57D13" w:rsidRPr="00D33B70" w:rsidRDefault="00D57D13" w:rsidP="00CC5D90">
            <w:pPr>
              <w:numPr>
                <w:ilvl w:val="12"/>
                <w:numId w:val="0"/>
              </w:numPr>
              <w:spacing w:before="60" w:after="60"/>
              <w:jc w:val="left"/>
              <w:rPr>
                <w:color w:val="000000"/>
                <w:spacing w:val="0"/>
              </w:rPr>
            </w:pPr>
            <w:r w:rsidRPr="00D33B70">
              <w:rPr>
                <w:color w:val="000000"/>
                <w:spacing w:val="0"/>
              </w:rPr>
              <w:t>Damages (PA)</w:t>
            </w:r>
          </w:p>
        </w:tc>
        <w:tc>
          <w:tcPr>
            <w:tcW w:w="1843" w:type="dxa"/>
            <w:tcBorders>
              <w:top w:val="single" w:sz="6" w:space="0" w:color="auto"/>
              <w:left w:val="single" w:sz="6" w:space="0" w:color="auto"/>
              <w:bottom w:val="single" w:sz="6" w:space="0" w:color="auto"/>
              <w:right w:val="single" w:sz="6" w:space="0" w:color="auto"/>
            </w:tcBorders>
          </w:tcPr>
          <w:p w:rsidR="00D57D13" w:rsidRPr="00D33B70" w:rsidRDefault="00D57D13" w:rsidP="00777446">
            <w:pPr>
              <w:numPr>
                <w:ilvl w:val="12"/>
                <w:numId w:val="0"/>
              </w:numPr>
              <w:spacing w:before="60" w:after="60"/>
              <w:jc w:val="center"/>
              <w:rPr>
                <w:color w:val="000000"/>
                <w:spacing w:val="0"/>
              </w:rPr>
            </w:pPr>
            <w:r w:rsidRPr="00D33B70">
              <w:rPr>
                <w:color w:val="000000"/>
                <w:spacing w:val="0"/>
              </w:rPr>
              <w:t>$</w:t>
            </w:r>
            <w:r w:rsidR="00777446" w:rsidRPr="00D33B70">
              <w:rPr>
                <w:color w:val="000000"/>
                <w:spacing w:val="0"/>
              </w:rPr>
              <w:t>389</w:t>
            </w:r>
            <w:r w:rsidRPr="00D33B70">
              <w:rPr>
                <w:color w:val="000000"/>
                <w:spacing w:val="0"/>
              </w:rPr>
              <w:t>,000</w:t>
            </w:r>
          </w:p>
        </w:tc>
        <w:tc>
          <w:tcPr>
            <w:tcW w:w="4477" w:type="dxa"/>
            <w:tcBorders>
              <w:top w:val="single" w:sz="6" w:space="0" w:color="auto"/>
              <w:left w:val="single" w:sz="6" w:space="0" w:color="auto"/>
              <w:bottom w:val="single" w:sz="6" w:space="0" w:color="auto"/>
              <w:right w:val="single" w:sz="6" w:space="0" w:color="auto"/>
            </w:tcBorders>
            <w:vAlign w:val="bottom"/>
          </w:tcPr>
          <w:p w:rsidR="00D57D13" w:rsidRPr="00D33B70" w:rsidRDefault="00777446" w:rsidP="00777446">
            <w:pPr>
              <w:numPr>
                <w:ilvl w:val="12"/>
                <w:numId w:val="0"/>
              </w:numPr>
              <w:spacing w:before="60" w:after="60"/>
              <w:jc w:val="center"/>
              <w:rPr>
                <w:color w:val="000000"/>
                <w:spacing w:val="0"/>
              </w:rPr>
            </w:pPr>
            <w:r w:rsidRPr="00D33B70">
              <w:rPr>
                <w:color w:val="000000"/>
                <w:spacing w:val="0"/>
              </w:rPr>
              <w:t>$381,000</w:t>
            </w:r>
          </w:p>
        </w:tc>
      </w:tr>
      <w:tr w:rsidR="00D57D13" w:rsidRPr="00D33B70" w:rsidTr="00CC5D90">
        <w:trPr>
          <w:trHeight w:val="247"/>
        </w:trPr>
        <w:tc>
          <w:tcPr>
            <w:tcW w:w="2468" w:type="dxa"/>
            <w:tcBorders>
              <w:top w:val="single" w:sz="6" w:space="0" w:color="auto"/>
              <w:left w:val="single" w:sz="6" w:space="0" w:color="auto"/>
              <w:bottom w:val="single" w:sz="6" w:space="0" w:color="auto"/>
              <w:right w:val="single" w:sz="6" w:space="0" w:color="auto"/>
            </w:tcBorders>
            <w:tcMar>
              <w:left w:w="113" w:type="dxa"/>
              <w:right w:w="113" w:type="dxa"/>
            </w:tcMar>
          </w:tcPr>
          <w:p w:rsidR="00D57D13" w:rsidRPr="00D33B70" w:rsidRDefault="00D57D13" w:rsidP="00CC5D90">
            <w:pPr>
              <w:numPr>
                <w:ilvl w:val="12"/>
                <w:numId w:val="0"/>
              </w:numPr>
              <w:spacing w:before="60" w:after="60"/>
              <w:jc w:val="left"/>
              <w:rPr>
                <w:color w:val="000000"/>
                <w:spacing w:val="0"/>
              </w:rPr>
            </w:pPr>
            <w:r w:rsidRPr="00D33B70">
              <w:rPr>
                <w:color w:val="000000"/>
                <w:spacing w:val="0"/>
              </w:rPr>
              <w:t>Benefit (PA)</w:t>
            </w:r>
          </w:p>
        </w:tc>
        <w:tc>
          <w:tcPr>
            <w:tcW w:w="1843" w:type="dxa"/>
            <w:tcBorders>
              <w:top w:val="single" w:sz="6" w:space="0" w:color="auto"/>
              <w:left w:val="single" w:sz="6" w:space="0" w:color="auto"/>
              <w:bottom w:val="single" w:sz="6" w:space="0" w:color="auto"/>
              <w:right w:val="single" w:sz="6" w:space="0" w:color="auto"/>
            </w:tcBorders>
          </w:tcPr>
          <w:p w:rsidR="00D57D13" w:rsidRPr="00D33B70" w:rsidRDefault="00D57D13" w:rsidP="00CC5D90">
            <w:pPr>
              <w:numPr>
                <w:ilvl w:val="12"/>
                <w:numId w:val="0"/>
              </w:numPr>
              <w:spacing w:before="60" w:after="60"/>
              <w:jc w:val="center"/>
              <w:rPr>
                <w:color w:val="000000"/>
                <w:spacing w:val="0"/>
              </w:rPr>
            </w:pPr>
          </w:p>
        </w:tc>
        <w:tc>
          <w:tcPr>
            <w:tcW w:w="4477" w:type="dxa"/>
            <w:tcBorders>
              <w:top w:val="single" w:sz="6" w:space="0" w:color="auto"/>
              <w:left w:val="single" w:sz="6" w:space="0" w:color="auto"/>
              <w:bottom w:val="single" w:sz="6" w:space="0" w:color="auto"/>
              <w:right w:val="single" w:sz="6" w:space="0" w:color="auto"/>
            </w:tcBorders>
            <w:vAlign w:val="bottom"/>
          </w:tcPr>
          <w:p w:rsidR="00D57D13" w:rsidRPr="00D33B70" w:rsidRDefault="00777446" w:rsidP="00777446">
            <w:pPr>
              <w:numPr>
                <w:ilvl w:val="12"/>
                <w:numId w:val="0"/>
              </w:numPr>
              <w:spacing w:before="60" w:after="60"/>
              <w:jc w:val="center"/>
              <w:rPr>
                <w:color w:val="000000"/>
                <w:spacing w:val="0"/>
              </w:rPr>
            </w:pPr>
            <w:r w:rsidRPr="00D33B70">
              <w:rPr>
                <w:color w:val="000000"/>
                <w:spacing w:val="0"/>
              </w:rPr>
              <w:t>$8,000</w:t>
            </w:r>
          </w:p>
        </w:tc>
      </w:tr>
      <w:tr w:rsidR="00D57D13" w:rsidRPr="00D33B70" w:rsidTr="00CC5D90">
        <w:trPr>
          <w:trHeight w:val="247"/>
        </w:trPr>
        <w:tc>
          <w:tcPr>
            <w:tcW w:w="2468" w:type="dxa"/>
            <w:tcBorders>
              <w:top w:val="single" w:sz="6" w:space="0" w:color="auto"/>
              <w:left w:val="single" w:sz="6" w:space="0" w:color="auto"/>
              <w:bottom w:val="single" w:sz="6" w:space="0" w:color="auto"/>
              <w:right w:val="single" w:sz="6" w:space="0" w:color="auto"/>
            </w:tcBorders>
            <w:tcMar>
              <w:left w:w="113" w:type="dxa"/>
              <w:right w:w="113" w:type="dxa"/>
            </w:tcMar>
          </w:tcPr>
          <w:p w:rsidR="00D57D13" w:rsidRPr="00D33B70" w:rsidRDefault="00D57D13" w:rsidP="00CC5D90">
            <w:pPr>
              <w:numPr>
                <w:ilvl w:val="12"/>
                <w:numId w:val="0"/>
              </w:numPr>
              <w:spacing w:before="60" w:after="60"/>
              <w:jc w:val="left"/>
              <w:rPr>
                <w:color w:val="000000"/>
                <w:spacing w:val="0"/>
              </w:rPr>
            </w:pPr>
            <w:r w:rsidRPr="00D33B70">
              <w:rPr>
                <w:color w:val="000000"/>
                <w:spacing w:val="0"/>
              </w:rPr>
              <w:t>Benefit (NPV)</w:t>
            </w:r>
          </w:p>
        </w:tc>
        <w:tc>
          <w:tcPr>
            <w:tcW w:w="1843" w:type="dxa"/>
            <w:tcBorders>
              <w:top w:val="single" w:sz="6" w:space="0" w:color="auto"/>
              <w:left w:val="single" w:sz="6" w:space="0" w:color="auto"/>
              <w:bottom w:val="single" w:sz="6" w:space="0" w:color="auto"/>
              <w:right w:val="single" w:sz="6" w:space="0" w:color="auto"/>
            </w:tcBorders>
          </w:tcPr>
          <w:p w:rsidR="00D57D13" w:rsidRPr="00D33B70" w:rsidRDefault="00D57D13" w:rsidP="00CC5D90">
            <w:pPr>
              <w:numPr>
                <w:ilvl w:val="12"/>
                <w:numId w:val="0"/>
              </w:numPr>
              <w:spacing w:before="60" w:after="60"/>
              <w:jc w:val="center"/>
              <w:rPr>
                <w:color w:val="000000"/>
                <w:spacing w:val="0"/>
              </w:rPr>
            </w:pPr>
          </w:p>
        </w:tc>
        <w:tc>
          <w:tcPr>
            <w:tcW w:w="4477" w:type="dxa"/>
            <w:tcBorders>
              <w:top w:val="single" w:sz="6" w:space="0" w:color="auto"/>
              <w:left w:val="single" w:sz="6" w:space="0" w:color="auto"/>
              <w:bottom w:val="single" w:sz="6" w:space="0" w:color="auto"/>
              <w:right w:val="single" w:sz="6" w:space="0" w:color="auto"/>
            </w:tcBorders>
            <w:vAlign w:val="bottom"/>
          </w:tcPr>
          <w:p w:rsidR="00D57D13" w:rsidRPr="00D33B70" w:rsidRDefault="00777446" w:rsidP="00777446">
            <w:pPr>
              <w:numPr>
                <w:ilvl w:val="12"/>
                <w:numId w:val="0"/>
              </w:numPr>
              <w:spacing w:before="60" w:after="60"/>
              <w:jc w:val="center"/>
              <w:rPr>
                <w:color w:val="000000"/>
                <w:spacing w:val="0"/>
              </w:rPr>
            </w:pPr>
            <w:r w:rsidRPr="00D33B70">
              <w:rPr>
                <w:color w:val="000000"/>
                <w:spacing w:val="0"/>
              </w:rPr>
              <w:t>$99,000</w:t>
            </w:r>
          </w:p>
        </w:tc>
      </w:tr>
      <w:tr w:rsidR="00D57D13" w:rsidRPr="00D33B70" w:rsidTr="00CC5D90">
        <w:trPr>
          <w:trHeight w:val="247"/>
        </w:trPr>
        <w:tc>
          <w:tcPr>
            <w:tcW w:w="2468" w:type="dxa"/>
            <w:tcBorders>
              <w:top w:val="single" w:sz="6" w:space="0" w:color="auto"/>
              <w:left w:val="single" w:sz="6" w:space="0" w:color="auto"/>
              <w:bottom w:val="single" w:sz="6" w:space="0" w:color="auto"/>
              <w:right w:val="single" w:sz="6" w:space="0" w:color="auto"/>
            </w:tcBorders>
            <w:tcMar>
              <w:left w:w="113" w:type="dxa"/>
              <w:right w:w="113" w:type="dxa"/>
            </w:tcMar>
          </w:tcPr>
          <w:p w:rsidR="00D57D13" w:rsidRPr="00D33B70" w:rsidRDefault="00D57D13" w:rsidP="00CC5D90">
            <w:pPr>
              <w:numPr>
                <w:ilvl w:val="12"/>
                <w:numId w:val="0"/>
              </w:numPr>
              <w:spacing w:before="60" w:after="60"/>
              <w:jc w:val="left"/>
              <w:rPr>
                <w:color w:val="000000"/>
                <w:spacing w:val="0"/>
              </w:rPr>
            </w:pPr>
            <w:r w:rsidRPr="00D33B70">
              <w:rPr>
                <w:color w:val="000000"/>
                <w:spacing w:val="0"/>
              </w:rPr>
              <w:t>Capital Cost</w:t>
            </w:r>
          </w:p>
        </w:tc>
        <w:tc>
          <w:tcPr>
            <w:tcW w:w="1843" w:type="dxa"/>
            <w:tcBorders>
              <w:top w:val="single" w:sz="6" w:space="0" w:color="auto"/>
              <w:left w:val="single" w:sz="6" w:space="0" w:color="auto"/>
              <w:bottom w:val="single" w:sz="6" w:space="0" w:color="auto"/>
              <w:right w:val="single" w:sz="6" w:space="0" w:color="auto"/>
            </w:tcBorders>
          </w:tcPr>
          <w:p w:rsidR="00D57D13" w:rsidRPr="00D33B70" w:rsidRDefault="00D57D13" w:rsidP="00CC5D90">
            <w:pPr>
              <w:numPr>
                <w:ilvl w:val="12"/>
                <w:numId w:val="0"/>
              </w:numPr>
              <w:spacing w:before="60" w:after="60"/>
              <w:jc w:val="center"/>
              <w:rPr>
                <w:color w:val="000000"/>
                <w:spacing w:val="0"/>
              </w:rPr>
            </w:pPr>
          </w:p>
        </w:tc>
        <w:tc>
          <w:tcPr>
            <w:tcW w:w="4477" w:type="dxa"/>
            <w:tcBorders>
              <w:top w:val="single" w:sz="6" w:space="0" w:color="auto"/>
              <w:left w:val="single" w:sz="6" w:space="0" w:color="auto"/>
              <w:bottom w:val="single" w:sz="6" w:space="0" w:color="auto"/>
              <w:right w:val="single" w:sz="6" w:space="0" w:color="auto"/>
            </w:tcBorders>
            <w:vAlign w:val="bottom"/>
          </w:tcPr>
          <w:p w:rsidR="00D57D13" w:rsidRPr="00D33B70" w:rsidRDefault="00777446" w:rsidP="00777446">
            <w:pPr>
              <w:numPr>
                <w:ilvl w:val="12"/>
                <w:numId w:val="0"/>
              </w:numPr>
              <w:spacing w:before="60" w:after="60"/>
              <w:jc w:val="center"/>
              <w:rPr>
                <w:color w:val="000000"/>
                <w:spacing w:val="0"/>
              </w:rPr>
            </w:pPr>
            <w:r w:rsidRPr="00D33B70">
              <w:rPr>
                <w:color w:val="000000"/>
                <w:spacing w:val="0"/>
              </w:rPr>
              <w:t>$6,694,000</w:t>
            </w:r>
          </w:p>
        </w:tc>
      </w:tr>
      <w:tr w:rsidR="00D57D13" w:rsidRPr="00D33B70" w:rsidTr="00CC5D90">
        <w:trPr>
          <w:trHeight w:val="247"/>
        </w:trPr>
        <w:tc>
          <w:tcPr>
            <w:tcW w:w="2468" w:type="dxa"/>
            <w:tcBorders>
              <w:top w:val="single" w:sz="6" w:space="0" w:color="auto"/>
              <w:left w:val="single" w:sz="6" w:space="0" w:color="auto"/>
              <w:bottom w:val="single" w:sz="6" w:space="0" w:color="auto"/>
              <w:right w:val="single" w:sz="6" w:space="0" w:color="auto"/>
            </w:tcBorders>
            <w:tcMar>
              <w:left w:w="113" w:type="dxa"/>
              <w:right w:w="113" w:type="dxa"/>
            </w:tcMar>
          </w:tcPr>
          <w:p w:rsidR="00D57D13" w:rsidRPr="00D33B70" w:rsidRDefault="00D57D13" w:rsidP="00CC5D90">
            <w:pPr>
              <w:numPr>
                <w:ilvl w:val="12"/>
                <w:numId w:val="0"/>
              </w:numPr>
              <w:spacing w:before="60" w:after="60"/>
              <w:jc w:val="left"/>
              <w:rPr>
                <w:color w:val="000000"/>
                <w:spacing w:val="0"/>
                <w:vertAlign w:val="superscript"/>
              </w:rPr>
            </w:pPr>
            <w:r w:rsidRPr="00D33B70">
              <w:rPr>
                <w:color w:val="000000"/>
                <w:spacing w:val="0"/>
              </w:rPr>
              <w:t>Maintenance (PA)</w:t>
            </w:r>
          </w:p>
        </w:tc>
        <w:tc>
          <w:tcPr>
            <w:tcW w:w="1843" w:type="dxa"/>
            <w:tcBorders>
              <w:top w:val="single" w:sz="6" w:space="0" w:color="auto"/>
              <w:left w:val="single" w:sz="6" w:space="0" w:color="auto"/>
              <w:bottom w:val="single" w:sz="6" w:space="0" w:color="auto"/>
              <w:right w:val="single" w:sz="6" w:space="0" w:color="auto"/>
            </w:tcBorders>
          </w:tcPr>
          <w:p w:rsidR="00D57D13" w:rsidRPr="00D33B70" w:rsidRDefault="00D57D13" w:rsidP="00CC5D90">
            <w:pPr>
              <w:numPr>
                <w:ilvl w:val="12"/>
                <w:numId w:val="0"/>
              </w:numPr>
              <w:spacing w:before="60" w:after="60"/>
              <w:jc w:val="center"/>
              <w:rPr>
                <w:color w:val="000000"/>
                <w:spacing w:val="0"/>
              </w:rPr>
            </w:pPr>
          </w:p>
        </w:tc>
        <w:tc>
          <w:tcPr>
            <w:tcW w:w="4477" w:type="dxa"/>
            <w:tcBorders>
              <w:top w:val="single" w:sz="6" w:space="0" w:color="auto"/>
              <w:left w:val="single" w:sz="6" w:space="0" w:color="auto"/>
              <w:bottom w:val="single" w:sz="6" w:space="0" w:color="auto"/>
              <w:right w:val="single" w:sz="6" w:space="0" w:color="auto"/>
            </w:tcBorders>
            <w:vAlign w:val="bottom"/>
          </w:tcPr>
          <w:p w:rsidR="00D57D13" w:rsidRPr="00D33B70" w:rsidRDefault="00777446" w:rsidP="00777446">
            <w:pPr>
              <w:numPr>
                <w:ilvl w:val="12"/>
                <w:numId w:val="0"/>
              </w:numPr>
              <w:spacing w:before="60" w:after="60"/>
              <w:jc w:val="center"/>
              <w:rPr>
                <w:color w:val="000000"/>
                <w:spacing w:val="0"/>
              </w:rPr>
            </w:pPr>
            <w:r w:rsidRPr="00D33B70">
              <w:rPr>
                <w:color w:val="000000"/>
                <w:spacing w:val="0"/>
              </w:rPr>
              <w:t>$161,000</w:t>
            </w:r>
          </w:p>
        </w:tc>
      </w:tr>
      <w:tr w:rsidR="00D57D13" w:rsidRPr="00D33B70" w:rsidTr="00CC5D90">
        <w:trPr>
          <w:trHeight w:val="247"/>
        </w:trPr>
        <w:tc>
          <w:tcPr>
            <w:tcW w:w="2468" w:type="dxa"/>
            <w:tcBorders>
              <w:top w:val="single" w:sz="6" w:space="0" w:color="auto"/>
              <w:left w:val="single" w:sz="6" w:space="0" w:color="auto"/>
              <w:bottom w:val="single" w:sz="6" w:space="0" w:color="auto"/>
              <w:right w:val="single" w:sz="6" w:space="0" w:color="auto"/>
            </w:tcBorders>
            <w:tcMar>
              <w:left w:w="113" w:type="dxa"/>
              <w:right w:w="113" w:type="dxa"/>
            </w:tcMar>
          </w:tcPr>
          <w:p w:rsidR="00D57D13" w:rsidRPr="00D33B70" w:rsidRDefault="00D57D13" w:rsidP="00CC5D90">
            <w:pPr>
              <w:numPr>
                <w:ilvl w:val="12"/>
                <w:numId w:val="0"/>
              </w:numPr>
              <w:spacing w:before="60" w:after="60"/>
              <w:jc w:val="left"/>
              <w:rPr>
                <w:color w:val="000000"/>
                <w:spacing w:val="0"/>
                <w:vertAlign w:val="superscript"/>
              </w:rPr>
            </w:pPr>
            <w:r w:rsidRPr="00D33B70">
              <w:rPr>
                <w:color w:val="000000"/>
                <w:spacing w:val="0"/>
              </w:rPr>
              <w:t>Maintenance (NPV)</w:t>
            </w:r>
          </w:p>
        </w:tc>
        <w:tc>
          <w:tcPr>
            <w:tcW w:w="1843" w:type="dxa"/>
            <w:tcBorders>
              <w:top w:val="single" w:sz="6" w:space="0" w:color="auto"/>
              <w:left w:val="single" w:sz="6" w:space="0" w:color="auto"/>
              <w:bottom w:val="single" w:sz="6" w:space="0" w:color="auto"/>
              <w:right w:val="single" w:sz="6" w:space="0" w:color="auto"/>
            </w:tcBorders>
          </w:tcPr>
          <w:p w:rsidR="00D57D13" w:rsidRPr="00D33B70" w:rsidRDefault="00D57D13" w:rsidP="00CC5D90">
            <w:pPr>
              <w:numPr>
                <w:ilvl w:val="12"/>
                <w:numId w:val="0"/>
              </w:numPr>
              <w:spacing w:before="60" w:after="60"/>
              <w:jc w:val="center"/>
              <w:rPr>
                <w:color w:val="000000"/>
                <w:spacing w:val="0"/>
              </w:rPr>
            </w:pPr>
          </w:p>
        </w:tc>
        <w:tc>
          <w:tcPr>
            <w:tcW w:w="4477" w:type="dxa"/>
            <w:tcBorders>
              <w:top w:val="single" w:sz="6" w:space="0" w:color="auto"/>
              <w:left w:val="single" w:sz="6" w:space="0" w:color="auto"/>
              <w:bottom w:val="single" w:sz="6" w:space="0" w:color="auto"/>
              <w:right w:val="single" w:sz="6" w:space="0" w:color="auto"/>
            </w:tcBorders>
            <w:vAlign w:val="bottom"/>
          </w:tcPr>
          <w:p w:rsidR="00D57D13" w:rsidRPr="00D33B70" w:rsidRDefault="00777446" w:rsidP="00777446">
            <w:pPr>
              <w:numPr>
                <w:ilvl w:val="12"/>
                <w:numId w:val="0"/>
              </w:numPr>
              <w:spacing w:before="60" w:after="60"/>
              <w:jc w:val="center"/>
              <w:rPr>
                <w:color w:val="000000"/>
                <w:spacing w:val="0"/>
              </w:rPr>
            </w:pPr>
            <w:r w:rsidRPr="00D33B70">
              <w:rPr>
                <w:color w:val="000000"/>
                <w:spacing w:val="0"/>
              </w:rPr>
              <w:t>$1,998,000</w:t>
            </w:r>
          </w:p>
        </w:tc>
      </w:tr>
      <w:tr w:rsidR="00D57D13" w:rsidRPr="00D33B70" w:rsidTr="00CC5D90">
        <w:trPr>
          <w:trHeight w:val="262"/>
        </w:trPr>
        <w:tc>
          <w:tcPr>
            <w:tcW w:w="2468" w:type="dxa"/>
            <w:tcBorders>
              <w:top w:val="single" w:sz="6" w:space="0" w:color="auto"/>
              <w:left w:val="single" w:sz="6" w:space="0" w:color="auto"/>
              <w:bottom w:val="single" w:sz="6" w:space="0" w:color="auto"/>
              <w:right w:val="single" w:sz="6" w:space="0" w:color="auto"/>
            </w:tcBorders>
            <w:tcMar>
              <w:left w:w="113" w:type="dxa"/>
              <w:right w:w="113" w:type="dxa"/>
            </w:tcMar>
          </w:tcPr>
          <w:p w:rsidR="00D57D13" w:rsidRPr="00D33B70" w:rsidRDefault="00D57D13" w:rsidP="00CC5D90">
            <w:pPr>
              <w:numPr>
                <w:ilvl w:val="12"/>
                <w:numId w:val="0"/>
              </w:numPr>
              <w:spacing w:before="60" w:after="60"/>
              <w:jc w:val="left"/>
              <w:rPr>
                <w:color w:val="000000"/>
                <w:spacing w:val="0"/>
              </w:rPr>
            </w:pPr>
            <w:r w:rsidRPr="00D33B70">
              <w:rPr>
                <w:color w:val="000000"/>
                <w:spacing w:val="0"/>
              </w:rPr>
              <w:t>Total Option Cost</w:t>
            </w:r>
          </w:p>
        </w:tc>
        <w:tc>
          <w:tcPr>
            <w:tcW w:w="1843" w:type="dxa"/>
            <w:tcBorders>
              <w:top w:val="single" w:sz="6" w:space="0" w:color="auto"/>
              <w:left w:val="single" w:sz="6" w:space="0" w:color="auto"/>
              <w:bottom w:val="single" w:sz="6" w:space="0" w:color="auto"/>
              <w:right w:val="single" w:sz="6" w:space="0" w:color="auto"/>
            </w:tcBorders>
          </w:tcPr>
          <w:p w:rsidR="00D57D13" w:rsidRPr="00D33B70" w:rsidRDefault="00D57D13" w:rsidP="00CC5D90">
            <w:pPr>
              <w:numPr>
                <w:ilvl w:val="12"/>
                <w:numId w:val="0"/>
              </w:numPr>
              <w:spacing w:before="60" w:after="60"/>
              <w:jc w:val="center"/>
              <w:rPr>
                <w:color w:val="000000"/>
                <w:spacing w:val="0"/>
              </w:rPr>
            </w:pPr>
          </w:p>
        </w:tc>
        <w:tc>
          <w:tcPr>
            <w:tcW w:w="4477" w:type="dxa"/>
            <w:tcBorders>
              <w:top w:val="single" w:sz="6" w:space="0" w:color="auto"/>
              <w:left w:val="single" w:sz="6" w:space="0" w:color="auto"/>
              <w:bottom w:val="single" w:sz="6" w:space="0" w:color="auto"/>
              <w:right w:val="single" w:sz="6" w:space="0" w:color="auto"/>
            </w:tcBorders>
            <w:vAlign w:val="bottom"/>
          </w:tcPr>
          <w:p w:rsidR="00D57D13" w:rsidRPr="00D33B70" w:rsidRDefault="00777446" w:rsidP="00777446">
            <w:pPr>
              <w:numPr>
                <w:ilvl w:val="12"/>
                <w:numId w:val="0"/>
              </w:numPr>
              <w:spacing w:before="60" w:after="60"/>
              <w:jc w:val="center"/>
              <w:rPr>
                <w:color w:val="000000"/>
                <w:spacing w:val="0"/>
              </w:rPr>
            </w:pPr>
            <w:r w:rsidRPr="00D33B70">
              <w:rPr>
                <w:color w:val="000000"/>
                <w:spacing w:val="0"/>
              </w:rPr>
              <w:t>$8,692,000</w:t>
            </w:r>
          </w:p>
        </w:tc>
      </w:tr>
      <w:tr w:rsidR="009B39B1" w:rsidRPr="00D33B70" w:rsidTr="00CB43CE">
        <w:trPr>
          <w:trHeight w:val="262"/>
        </w:trPr>
        <w:tc>
          <w:tcPr>
            <w:tcW w:w="4311" w:type="dxa"/>
            <w:gridSpan w:val="2"/>
            <w:tcBorders>
              <w:top w:val="single" w:sz="6" w:space="0" w:color="auto"/>
              <w:left w:val="single" w:sz="6" w:space="0" w:color="auto"/>
              <w:bottom w:val="single" w:sz="6" w:space="0" w:color="auto"/>
              <w:right w:val="single" w:sz="6" w:space="0" w:color="auto"/>
            </w:tcBorders>
            <w:shd w:val="pct10" w:color="auto" w:fill="auto"/>
          </w:tcPr>
          <w:p w:rsidR="009B39B1" w:rsidRPr="00D33B70" w:rsidRDefault="009B39B1" w:rsidP="009B39B1">
            <w:pPr>
              <w:numPr>
                <w:ilvl w:val="12"/>
                <w:numId w:val="0"/>
              </w:numPr>
              <w:spacing w:before="60" w:after="60"/>
              <w:jc w:val="left"/>
              <w:rPr>
                <w:color w:val="000000"/>
                <w:spacing w:val="0"/>
              </w:rPr>
            </w:pPr>
            <w:r w:rsidRPr="00D33B70">
              <w:rPr>
                <w:b/>
                <w:color w:val="000000"/>
                <w:spacing w:val="0"/>
              </w:rPr>
              <w:t>BCR</w:t>
            </w:r>
          </w:p>
        </w:tc>
        <w:tc>
          <w:tcPr>
            <w:tcW w:w="4477" w:type="dxa"/>
            <w:tcBorders>
              <w:top w:val="single" w:sz="6" w:space="0" w:color="auto"/>
              <w:left w:val="single" w:sz="6" w:space="0" w:color="auto"/>
              <w:bottom w:val="single" w:sz="6" w:space="0" w:color="auto"/>
              <w:right w:val="single" w:sz="6" w:space="0" w:color="auto"/>
            </w:tcBorders>
            <w:shd w:val="pct10" w:color="auto" w:fill="auto"/>
            <w:vAlign w:val="center"/>
          </w:tcPr>
          <w:p w:rsidR="009B39B1" w:rsidRPr="00D33B70" w:rsidRDefault="009B39B1" w:rsidP="00CC5D90">
            <w:pPr>
              <w:numPr>
                <w:ilvl w:val="12"/>
                <w:numId w:val="0"/>
              </w:numPr>
              <w:jc w:val="center"/>
              <w:rPr>
                <w:b/>
              </w:rPr>
            </w:pPr>
            <w:r w:rsidRPr="00D33B70">
              <w:rPr>
                <w:b/>
              </w:rPr>
              <w:t>0.01</w:t>
            </w:r>
          </w:p>
        </w:tc>
      </w:tr>
      <w:bookmarkEnd w:id="351"/>
      <w:bookmarkEnd w:id="358"/>
      <w:bookmarkEnd w:id="359"/>
    </w:tbl>
    <w:p w:rsidR="00D57D13" w:rsidRPr="00D33B70" w:rsidRDefault="00D57D13" w:rsidP="00D57D13">
      <w:pPr>
        <w:pStyle w:val="Text"/>
        <w:numPr>
          <w:ilvl w:val="12"/>
          <w:numId w:val="0"/>
        </w:numPr>
        <w:ind w:left="851"/>
        <w:rPr>
          <w:highlight w:val="yellow"/>
        </w:rPr>
      </w:pPr>
    </w:p>
    <w:p w:rsidR="00D57D13" w:rsidRPr="00D33B70" w:rsidRDefault="00D57D13" w:rsidP="00D57D13">
      <w:pPr>
        <w:pStyle w:val="Text"/>
        <w:numPr>
          <w:ilvl w:val="12"/>
          <w:numId w:val="0"/>
        </w:numPr>
        <w:spacing w:line="240" w:lineRule="auto"/>
        <w:ind w:left="794"/>
        <w:jc w:val="left"/>
        <w:rPr>
          <w:noProof/>
          <w:lang w:eastAsia="en-AU"/>
        </w:rPr>
      </w:pPr>
      <w:r w:rsidRPr="00D33B70">
        <w:rPr>
          <w:highlight w:val="yellow"/>
        </w:rPr>
        <w:br w:type="page"/>
      </w:r>
      <w:bookmarkStart w:id="367" w:name="_Toc231362307"/>
      <w:r w:rsidR="00E964D6" w:rsidRPr="00D33B70">
        <w:rPr>
          <w:noProof/>
          <w:lang w:eastAsia="en-AU"/>
        </w:rPr>
        <w:lastRenderedPageBreak/>
        <w:drawing>
          <wp:inline distT="0" distB="0" distL="0" distR="0" wp14:anchorId="360EB292" wp14:editId="6CE55AE9">
            <wp:extent cx="5605154" cy="366111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607126" cy="3662405"/>
                    </a:xfrm>
                    <a:prstGeom prst="rect">
                      <a:avLst/>
                    </a:prstGeom>
                    <a:noFill/>
                  </pic:spPr>
                </pic:pic>
              </a:graphicData>
            </a:graphic>
          </wp:inline>
        </w:drawing>
      </w:r>
    </w:p>
    <w:p w:rsidR="00D57D13" w:rsidRPr="00D33B70" w:rsidRDefault="00D57D13" w:rsidP="00D57D13">
      <w:pPr>
        <w:pStyle w:val="Caption"/>
        <w:ind w:left="0"/>
        <w:rPr>
          <w:bCs/>
        </w:rPr>
      </w:pPr>
      <w:bookmarkStart w:id="368" w:name="_Ref102883023"/>
      <w:bookmarkStart w:id="369" w:name="_Ref180314442"/>
      <w:bookmarkStart w:id="370" w:name="_Toc236814108"/>
      <w:bookmarkStart w:id="371" w:name="_Toc280013991"/>
      <w:bookmarkStart w:id="372" w:name="_Toc305489202"/>
      <w:bookmarkStart w:id="373" w:name="_Toc387308969"/>
      <w:r w:rsidRPr="00D33B70">
        <w:rPr>
          <w:bCs/>
        </w:rPr>
        <w:t xml:space="preserve">Figure </w:t>
      </w:r>
      <w:r w:rsidR="00FF3C04" w:rsidRPr="00D33B70">
        <w:rPr>
          <w:bCs/>
        </w:rPr>
        <w:fldChar w:fldCharType="begin"/>
      </w:r>
      <w:r w:rsidR="00FF3C04" w:rsidRPr="00D33B70">
        <w:rPr>
          <w:bCs/>
        </w:rPr>
        <w:instrText xml:space="preserve"> STYLEREF 1 \s </w:instrText>
      </w:r>
      <w:r w:rsidR="00FF3C04" w:rsidRPr="00D33B70">
        <w:rPr>
          <w:bCs/>
        </w:rPr>
        <w:fldChar w:fldCharType="separate"/>
      </w:r>
      <w:r w:rsidR="00AC6986">
        <w:rPr>
          <w:bCs/>
          <w:noProof/>
        </w:rPr>
        <w:t>8</w:t>
      </w:r>
      <w:r w:rsidR="00FF3C04" w:rsidRPr="00D33B70">
        <w:rPr>
          <w:bCs/>
        </w:rPr>
        <w:fldChar w:fldCharType="end"/>
      </w:r>
      <w:r w:rsidR="00FF3C04" w:rsidRPr="00D33B70">
        <w:rPr>
          <w:bCs/>
        </w:rPr>
        <w:noBreakHyphen/>
      </w:r>
      <w:r w:rsidR="00FF3C04" w:rsidRPr="00D33B70">
        <w:rPr>
          <w:bCs/>
        </w:rPr>
        <w:fldChar w:fldCharType="begin"/>
      </w:r>
      <w:r w:rsidR="00FF3C04" w:rsidRPr="00D33B70">
        <w:rPr>
          <w:bCs/>
        </w:rPr>
        <w:instrText xml:space="preserve"> SEQ Figure \* ARABIC \s 1 </w:instrText>
      </w:r>
      <w:r w:rsidR="00FF3C04" w:rsidRPr="00D33B70">
        <w:rPr>
          <w:bCs/>
        </w:rPr>
        <w:fldChar w:fldCharType="separate"/>
      </w:r>
      <w:r w:rsidR="00AC6986">
        <w:rPr>
          <w:bCs/>
          <w:noProof/>
        </w:rPr>
        <w:t>1</w:t>
      </w:r>
      <w:r w:rsidR="00FF3C04" w:rsidRPr="00D33B70">
        <w:rPr>
          <w:bCs/>
        </w:rPr>
        <w:fldChar w:fldCharType="end"/>
      </w:r>
      <w:bookmarkEnd w:id="368"/>
      <w:r w:rsidRPr="00D33B70">
        <w:rPr>
          <w:bCs/>
        </w:rPr>
        <w:tab/>
        <w:t>Scheme One Probability Damages Curve</w:t>
      </w:r>
      <w:bookmarkEnd w:id="367"/>
      <w:bookmarkEnd w:id="369"/>
      <w:bookmarkEnd w:id="370"/>
      <w:bookmarkEnd w:id="371"/>
      <w:bookmarkEnd w:id="372"/>
      <w:bookmarkEnd w:id="373"/>
    </w:p>
    <w:p w:rsidR="00D57D13" w:rsidRPr="00D33B70" w:rsidRDefault="00D57D13" w:rsidP="00B26EF8">
      <w:pPr>
        <w:pStyle w:val="Heading3"/>
      </w:pPr>
      <w:bookmarkStart w:id="374" w:name="_Toc236814072"/>
      <w:bookmarkStart w:id="375" w:name="_Toc280013949"/>
      <w:bookmarkStart w:id="376" w:name="_Toc295740274"/>
      <w:bookmarkStart w:id="377" w:name="_Toc387308919"/>
      <w:r w:rsidRPr="00D33B70">
        <w:t>Scheme Two</w:t>
      </w:r>
      <w:bookmarkEnd w:id="374"/>
      <w:bookmarkEnd w:id="375"/>
      <w:bookmarkEnd w:id="376"/>
      <w:bookmarkEnd w:id="377"/>
    </w:p>
    <w:p w:rsidR="00D57D13" w:rsidRPr="00D33B70" w:rsidRDefault="00D57D13" w:rsidP="00D57D13">
      <w:pPr>
        <w:pStyle w:val="Text"/>
        <w:numPr>
          <w:ilvl w:val="12"/>
          <w:numId w:val="0"/>
        </w:numPr>
        <w:ind w:left="851"/>
      </w:pPr>
      <w:r w:rsidRPr="00D33B70">
        <w:t xml:space="preserve">The damages under Scheme Two for each design flood event are summarised in </w:t>
      </w:r>
      <w:fldSimple w:instr=" REF _Ref102883735  \* MERGEFORMAT ">
        <w:r w:rsidR="00AC6986" w:rsidRPr="00D33B70">
          <w:t xml:space="preserve">Table </w:t>
        </w:r>
        <w:r w:rsidR="00AC6986">
          <w:t>8</w:t>
        </w:r>
        <w:r w:rsidR="00AC6986" w:rsidRPr="00D33B70">
          <w:noBreakHyphen/>
        </w:r>
        <w:r w:rsidR="00AC6986">
          <w:t>5</w:t>
        </w:r>
      </w:fldSimple>
      <w:r w:rsidRPr="00D33B70">
        <w:t xml:space="preserve"> and illustrated in </w:t>
      </w:r>
      <w:fldSimple w:instr=" REF _Ref102883762  \* MERGEFORMAT ">
        <w:r w:rsidR="00AC6986" w:rsidRPr="00D33B70">
          <w:t xml:space="preserve">Figure </w:t>
        </w:r>
        <w:r w:rsidR="00AC6986">
          <w:t>8</w:t>
        </w:r>
        <w:r w:rsidR="00AC6986" w:rsidRPr="00D33B70">
          <w:noBreakHyphen/>
        </w:r>
        <w:r w:rsidR="00AC6986">
          <w:t>2</w:t>
        </w:r>
      </w:fldSimple>
      <w:r w:rsidRPr="00D33B70">
        <w:t xml:space="preserve">.  The Scheme Two AAD, also presented in </w:t>
      </w:r>
      <w:fldSimple w:instr=" REF _Ref102883735  \* MERGEFORMAT ">
        <w:r w:rsidR="00AC6986" w:rsidRPr="00D33B70">
          <w:t xml:space="preserve">Table </w:t>
        </w:r>
        <w:r w:rsidR="00AC6986">
          <w:t>8</w:t>
        </w:r>
        <w:r w:rsidR="00AC6986" w:rsidRPr="00D33B70">
          <w:noBreakHyphen/>
        </w:r>
        <w:r w:rsidR="00AC6986">
          <w:t>5</w:t>
        </w:r>
      </w:fldSimple>
      <w:r w:rsidRPr="00D33B70">
        <w:t>, is $</w:t>
      </w:r>
      <w:r w:rsidR="009B39B1" w:rsidRPr="00D33B70">
        <w:t>362</w:t>
      </w:r>
      <w:r w:rsidRPr="00D33B70">
        <w:t>,000, which is a reduction of $</w:t>
      </w:r>
      <w:r w:rsidR="009B39B1" w:rsidRPr="00D33B70">
        <w:t>27</w:t>
      </w:r>
      <w:r w:rsidRPr="00D33B70">
        <w:t>,000 from the existing conditions AAD of $</w:t>
      </w:r>
      <w:r w:rsidR="009B39B1" w:rsidRPr="00D33B70">
        <w:t>389</w:t>
      </w:r>
      <w:r w:rsidRPr="00D33B70">
        <w:t>,000.</w:t>
      </w:r>
    </w:p>
    <w:p w:rsidR="00D57D13" w:rsidRPr="00D33B70" w:rsidRDefault="00D57D13" w:rsidP="00D57D13">
      <w:pPr>
        <w:pStyle w:val="Text"/>
        <w:numPr>
          <w:ilvl w:val="12"/>
          <w:numId w:val="0"/>
        </w:numPr>
        <w:ind w:left="851"/>
      </w:pPr>
      <w:r w:rsidRPr="00D33B70">
        <w:t xml:space="preserve">A summary of the capital costs for Scheme Two is presented in </w:t>
      </w:r>
      <w:r w:rsidRPr="00D33B70">
        <w:fldChar w:fldCharType="begin"/>
      </w:r>
      <w:r w:rsidRPr="00D33B70">
        <w:instrText xml:space="preserve"> REF _Ref233450999 \h  \* MERGEFORMAT </w:instrText>
      </w:r>
      <w:r w:rsidRPr="00D33B70">
        <w:fldChar w:fldCharType="separate"/>
      </w:r>
      <w:r w:rsidR="00AC6986" w:rsidRPr="00D33B70">
        <w:t xml:space="preserve">Table </w:t>
      </w:r>
      <w:r w:rsidR="00AC6986">
        <w:rPr>
          <w:noProof/>
        </w:rPr>
        <w:t>8</w:t>
      </w:r>
      <w:r w:rsidR="00AC6986" w:rsidRPr="00D33B70">
        <w:rPr>
          <w:noProof/>
        </w:rPr>
        <w:noBreakHyphen/>
      </w:r>
      <w:r w:rsidR="00AC6986">
        <w:rPr>
          <w:noProof/>
        </w:rPr>
        <w:t>6</w:t>
      </w:r>
      <w:r w:rsidRPr="00D33B70">
        <w:fldChar w:fldCharType="end"/>
      </w:r>
      <w:r w:rsidRPr="00D33B70">
        <w:t xml:space="preserve"> and the benefit cost analysis is summarised in </w:t>
      </w:r>
      <w:r w:rsidRPr="00D33B70">
        <w:fldChar w:fldCharType="begin"/>
      </w:r>
      <w:r w:rsidRPr="00D33B70">
        <w:instrText xml:space="preserve"> REF _Ref296069169 \h  \* MERGEFORMAT </w:instrText>
      </w:r>
      <w:r w:rsidRPr="00D33B70">
        <w:fldChar w:fldCharType="separate"/>
      </w:r>
      <w:r w:rsidR="00AC6986" w:rsidRPr="00D33B70">
        <w:t xml:space="preserve">Table </w:t>
      </w:r>
      <w:r w:rsidR="00AC6986">
        <w:rPr>
          <w:noProof/>
        </w:rPr>
        <w:t>8</w:t>
      </w:r>
      <w:r w:rsidR="00AC6986" w:rsidRPr="00D33B70">
        <w:rPr>
          <w:noProof/>
        </w:rPr>
        <w:noBreakHyphen/>
      </w:r>
      <w:r w:rsidR="00AC6986">
        <w:rPr>
          <w:noProof/>
        </w:rPr>
        <w:t>7</w:t>
      </w:r>
      <w:r w:rsidRPr="00D33B70">
        <w:fldChar w:fldCharType="end"/>
      </w:r>
      <w:r w:rsidRPr="00D33B70">
        <w:t xml:space="preserve">. The BCR for Scheme Two is 0.01.  From the figures presented in </w:t>
      </w:r>
      <w:r w:rsidRPr="00D33B70">
        <w:fldChar w:fldCharType="begin"/>
      </w:r>
      <w:r w:rsidRPr="00D33B70">
        <w:instrText xml:space="preserve"> REF _Ref233005131 \h  \* MERGEFORMAT </w:instrText>
      </w:r>
      <w:r w:rsidRPr="00D33B70">
        <w:fldChar w:fldCharType="separate"/>
      </w:r>
      <w:r w:rsidR="00AC6986" w:rsidRPr="00D33B70">
        <w:t xml:space="preserve">Table </w:t>
      </w:r>
      <w:r w:rsidR="00AC6986">
        <w:t>7</w:t>
      </w:r>
      <w:r w:rsidR="00AC6986" w:rsidRPr="00D33B70">
        <w:noBreakHyphen/>
      </w:r>
      <w:r w:rsidR="00AC6986">
        <w:t>4</w:t>
      </w:r>
      <w:r w:rsidRPr="00D33B70">
        <w:fldChar w:fldCharType="end"/>
      </w:r>
      <w:r w:rsidRPr="00D33B70">
        <w:t xml:space="preserve"> and </w:t>
      </w:r>
      <w:r w:rsidRPr="00D33B70">
        <w:fldChar w:fldCharType="begin"/>
      </w:r>
      <w:r w:rsidRPr="00D33B70">
        <w:instrText xml:space="preserve"> REF _Ref233450999 \h  \* MERGEFORMAT </w:instrText>
      </w:r>
      <w:r w:rsidRPr="00D33B70">
        <w:fldChar w:fldCharType="separate"/>
      </w:r>
      <w:r w:rsidR="00AC6986" w:rsidRPr="00D33B70">
        <w:t xml:space="preserve">Table </w:t>
      </w:r>
      <w:r w:rsidR="00AC6986">
        <w:rPr>
          <w:noProof/>
        </w:rPr>
        <w:t>8</w:t>
      </w:r>
      <w:r w:rsidR="00AC6986" w:rsidRPr="00D33B70">
        <w:rPr>
          <w:noProof/>
        </w:rPr>
        <w:noBreakHyphen/>
      </w:r>
      <w:r w:rsidR="00AC6986">
        <w:rPr>
          <w:noProof/>
        </w:rPr>
        <w:t>6</w:t>
      </w:r>
      <w:r w:rsidRPr="00D33B70">
        <w:fldChar w:fldCharType="end"/>
      </w:r>
      <w:r w:rsidRPr="00D33B70">
        <w:t>, the capital cost of Scheme Two per property floor saved from flooding during a 1% AEP flood event is $</w:t>
      </w:r>
      <w:r w:rsidR="009B39B1" w:rsidRPr="00D33B70">
        <w:t>4,220</w:t>
      </w:r>
      <w:r w:rsidRPr="00D33B70">
        <w:t>,000.</w:t>
      </w:r>
    </w:p>
    <w:p w:rsidR="00D57D13" w:rsidRPr="00D33B70" w:rsidRDefault="00D57D13" w:rsidP="00D57D13">
      <w:pPr>
        <w:pStyle w:val="Text"/>
        <w:numPr>
          <w:ilvl w:val="12"/>
          <w:numId w:val="0"/>
        </w:numPr>
        <w:ind w:left="851"/>
        <w:rPr>
          <w:highlight w:val="yellow"/>
        </w:rPr>
      </w:pPr>
    </w:p>
    <w:p w:rsidR="00D57D13" w:rsidRPr="00D33B70" w:rsidRDefault="00D57D13" w:rsidP="00D57D13">
      <w:pPr>
        <w:pStyle w:val="Caption"/>
        <w:numPr>
          <w:ilvl w:val="12"/>
          <w:numId w:val="0"/>
        </w:numPr>
        <w:ind w:left="851"/>
      </w:pPr>
      <w:r w:rsidRPr="00D33B70">
        <w:rPr>
          <w:highlight w:val="yellow"/>
        </w:rPr>
        <w:br w:type="page"/>
      </w:r>
      <w:bookmarkStart w:id="378" w:name="_Ref102883735"/>
      <w:bookmarkStart w:id="379" w:name="_Toc231362351"/>
      <w:bookmarkStart w:id="380" w:name="_Toc236553393"/>
      <w:bookmarkStart w:id="381" w:name="_Toc280014017"/>
      <w:bookmarkStart w:id="382" w:name="_Toc295475241"/>
      <w:bookmarkStart w:id="383" w:name="_Toc295914240"/>
      <w:bookmarkStart w:id="384" w:name="_Toc387308995"/>
      <w:r w:rsidRPr="00D33B70">
        <w:lastRenderedPageBreak/>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8</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5</w:t>
      </w:r>
      <w:r w:rsidR="00FF3C04" w:rsidRPr="00D33B70">
        <w:fldChar w:fldCharType="end"/>
      </w:r>
      <w:bookmarkEnd w:id="378"/>
      <w:r w:rsidRPr="00D33B70">
        <w:tab/>
        <w:t>Scheme Two Damages Summary</w:t>
      </w:r>
      <w:bookmarkEnd w:id="379"/>
      <w:bookmarkEnd w:id="380"/>
      <w:bookmarkEnd w:id="381"/>
      <w:bookmarkEnd w:id="382"/>
      <w:bookmarkEnd w:id="383"/>
      <w:bookmarkEnd w:id="384"/>
    </w:p>
    <w:tbl>
      <w:tblPr>
        <w:tblW w:w="9694" w:type="dxa"/>
        <w:tblLayout w:type="fixed"/>
        <w:tblCellMar>
          <w:left w:w="30" w:type="dxa"/>
          <w:right w:w="30" w:type="dxa"/>
        </w:tblCellMar>
        <w:tblLook w:val="0000" w:firstRow="0" w:lastRow="0" w:firstColumn="0" w:lastColumn="0" w:noHBand="0" w:noVBand="0"/>
      </w:tblPr>
      <w:tblGrid>
        <w:gridCol w:w="818"/>
        <w:gridCol w:w="770"/>
        <w:gridCol w:w="1417"/>
        <w:gridCol w:w="1641"/>
        <w:gridCol w:w="1701"/>
        <w:gridCol w:w="1701"/>
        <w:gridCol w:w="1646"/>
      </w:tblGrid>
      <w:tr w:rsidR="00CC5EF1" w:rsidRPr="00D33B70" w:rsidTr="003F5B42">
        <w:trPr>
          <w:trHeight w:val="742"/>
        </w:trPr>
        <w:tc>
          <w:tcPr>
            <w:tcW w:w="1588" w:type="dxa"/>
            <w:gridSpan w:val="2"/>
            <w:tcBorders>
              <w:top w:val="single" w:sz="4" w:space="0" w:color="auto"/>
              <w:left w:val="single" w:sz="4" w:space="0" w:color="auto"/>
              <w:bottom w:val="single" w:sz="6" w:space="0" w:color="auto"/>
              <w:right w:val="nil"/>
            </w:tcBorders>
            <w:shd w:val="pct10" w:color="auto" w:fill="auto"/>
            <w:vAlign w:val="center"/>
          </w:tcPr>
          <w:p w:rsidR="00CC5EF1" w:rsidRPr="00D33B70" w:rsidRDefault="00CC5EF1" w:rsidP="009B39B1">
            <w:pPr>
              <w:numPr>
                <w:ilvl w:val="12"/>
                <w:numId w:val="0"/>
              </w:numPr>
              <w:jc w:val="left"/>
              <w:rPr>
                <w:rFonts w:cs="Arial"/>
                <w:b/>
              </w:rPr>
            </w:pPr>
            <w:bookmarkStart w:id="385" w:name="OLE_LINK5"/>
            <w:bookmarkStart w:id="386" w:name="_Ref88290605"/>
            <w:r w:rsidRPr="00D33B70">
              <w:rPr>
                <w:rFonts w:cs="Arial"/>
                <w:b/>
              </w:rPr>
              <w:t>Event</w:t>
            </w:r>
          </w:p>
        </w:tc>
        <w:tc>
          <w:tcPr>
            <w:tcW w:w="8106" w:type="dxa"/>
            <w:gridSpan w:val="5"/>
            <w:tcBorders>
              <w:top w:val="single" w:sz="4" w:space="0" w:color="auto"/>
              <w:left w:val="single" w:sz="6" w:space="0" w:color="auto"/>
              <w:bottom w:val="single" w:sz="6" w:space="0" w:color="auto"/>
              <w:right w:val="single" w:sz="4" w:space="0" w:color="auto"/>
            </w:tcBorders>
            <w:shd w:val="pct10" w:color="auto" w:fill="auto"/>
            <w:vAlign w:val="center"/>
          </w:tcPr>
          <w:p w:rsidR="00CC5EF1" w:rsidRPr="00D33B70" w:rsidRDefault="00CC5EF1" w:rsidP="003F5B42">
            <w:pPr>
              <w:numPr>
                <w:ilvl w:val="12"/>
                <w:numId w:val="0"/>
              </w:numPr>
              <w:jc w:val="center"/>
              <w:rPr>
                <w:rFonts w:cs="Arial"/>
                <w:b/>
              </w:rPr>
            </w:pPr>
            <w:r w:rsidRPr="00D33B70">
              <w:rPr>
                <w:rFonts w:cs="Arial"/>
                <w:b/>
              </w:rPr>
              <w:t>Scheme Two</w:t>
            </w:r>
          </w:p>
        </w:tc>
      </w:tr>
      <w:tr w:rsidR="00CC5EF1" w:rsidRPr="00D33B70" w:rsidTr="003F5B42">
        <w:trPr>
          <w:trHeight w:val="756"/>
        </w:trPr>
        <w:tc>
          <w:tcPr>
            <w:tcW w:w="818" w:type="dxa"/>
            <w:tcBorders>
              <w:top w:val="single" w:sz="6" w:space="0" w:color="auto"/>
              <w:left w:val="single" w:sz="4" w:space="0" w:color="auto"/>
              <w:bottom w:val="single" w:sz="6" w:space="0" w:color="auto"/>
              <w:right w:val="single" w:sz="6" w:space="0" w:color="auto"/>
            </w:tcBorders>
            <w:shd w:val="pct10" w:color="auto" w:fill="auto"/>
            <w:vAlign w:val="center"/>
          </w:tcPr>
          <w:p w:rsidR="00CC5EF1" w:rsidRPr="00D33B70" w:rsidRDefault="00CC5EF1" w:rsidP="009B39B1">
            <w:pPr>
              <w:numPr>
                <w:ilvl w:val="12"/>
                <w:numId w:val="0"/>
              </w:numPr>
              <w:jc w:val="left"/>
              <w:rPr>
                <w:rFonts w:cs="Arial"/>
                <w:b/>
              </w:rPr>
            </w:pPr>
            <w:r w:rsidRPr="00D33B70">
              <w:rPr>
                <w:rFonts w:cs="Arial"/>
                <w:b/>
              </w:rPr>
              <w:t>(Years ARI)</w:t>
            </w:r>
          </w:p>
        </w:tc>
        <w:tc>
          <w:tcPr>
            <w:tcW w:w="770" w:type="dxa"/>
            <w:tcBorders>
              <w:top w:val="single" w:sz="6" w:space="0" w:color="auto"/>
              <w:left w:val="single" w:sz="6" w:space="0" w:color="auto"/>
              <w:bottom w:val="single" w:sz="6" w:space="0" w:color="auto"/>
              <w:right w:val="single" w:sz="6" w:space="0" w:color="auto"/>
            </w:tcBorders>
            <w:shd w:val="pct10" w:color="auto" w:fill="auto"/>
            <w:vAlign w:val="center"/>
          </w:tcPr>
          <w:p w:rsidR="00CC5EF1" w:rsidRPr="00D33B70" w:rsidRDefault="00CC5EF1" w:rsidP="009B39B1">
            <w:pPr>
              <w:numPr>
                <w:ilvl w:val="12"/>
                <w:numId w:val="0"/>
              </w:numPr>
              <w:jc w:val="left"/>
              <w:rPr>
                <w:rFonts w:cs="Arial"/>
                <w:b/>
              </w:rPr>
            </w:pPr>
            <w:r w:rsidRPr="00D33B70">
              <w:rPr>
                <w:rFonts w:cs="Arial"/>
                <w:b/>
              </w:rPr>
              <w:t>AEP</w:t>
            </w:r>
          </w:p>
        </w:tc>
        <w:tc>
          <w:tcPr>
            <w:tcW w:w="1417" w:type="dxa"/>
            <w:tcBorders>
              <w:top w:val="single" w:sz="6" w:space="0" w:color="auto"/>
              <w:left w:val="single" w:sz="6" w:space="0" w:color="auto"/>
              <w:bottom w:val="single" w:sz="6" w:space="0" w:color="auto"/>
              <w:right w:val="single" w:sz="6" w:space="0" w:color="auto"/>
            </w:tcBorders>
            <w:shd w:val="pct10" w:color="auto" w:fill="auto"/>
            <w:vAlign w:val="center"/>
          </w:tcPr>
          <w:p w:rsidR="00CC5EF1" w:rsidRPr="00D33B70" w:rsidRDefault="00CC5EF1" w:rsidP="003F5B42">
            <w:pPr>
              <w:numPr>
                <w:ilvl w:val="12"/>
                <w:numId w:val="0"/>
              </w:numPr>
              <w:jc w:val="center"/>
              <w:rPr>
                <w:rFonts w:cs="Arial"/>
                <w:b/>
              </w:rPr>
            </w:pPr>
            <w:r w:rsidRPr="00D33B70">
              <w:rPr>
                <w:rFonts w:cs="Arial"/>
                <w:b/>
              </w:rPr>
              <w:t>Residential Damages</w:t>
            </w:r>
          </w:p>
        </w:tc>
        <w:tc>
          <w:tcPr>
            <w:tcW w:w="1641" w:type="dxa"/>
            <w:tcBorders>
              <w:top w:val="single" w:sz="6" w:space="0" w:color="auto"/>
              <w:left w:val="single" w:sz="6" w:space="0" w:color="auto"/>
              <w:bottom w:val="single" w:sz="6" w:space="0" w:color="auto"/>
              <w:right w:val="single" w:sz="6" w:space="0" w:color="auto"/>
            </w:tcBorders>
            <w:shd w:val="pct10" w:color="auto" w:fill="auto"/>
          </w:tcPr>
          <w:p w:rsidR="00CC5EF1" w:rsidRPr="00D33B70" w:rsidRDefault="00CC5EF1" w:rsidP="003F5B42">
            <w:pPr>
              <w:numPr>
                <w:ilvl w:val="12"/>
                <w:numId w:val="0"/>
              </w:numPr>
              <w:jc w:val="center"/>
              <w:rPr>
                <w:rFonts w:cs="Arial"/>
                <w:b/>
              </w:rPr>
            </w:pPr>
            <w:r w:rsidRPr="00D33B70">
              <w:rPr>
                <w:rFonts w:cs="Arial"/>
                <w:b/>
              </w:rPr>
              <w:t>Commercial / Industrial Damages</w:t>
            </w:r>
          </w:p>
        </w:tc>
        <w:tc>
          <w:tcPr>
            <w:tcW w:w="1701" w:type="dxa"/>
            <w:tcBorders>
              <w:top w:val="single" w:sz="6" w:space="0" w:color="auto"/>
              <w:left w:val="single" w:sz="6" w:space="0" w:color="auto"/>
              <w:bottom w:val="single" w:sz="6" w:space="0" w:color="auto"/>
              <w:right w:val="single" w:sz="6" w:space="0" w:color="auto"/>
            </w:tcBorders>
            <w:shd w:val="pct10" w:color="auto" w:fill="auto"/>
            <w:vAlign w:val="center"/>
          </w:tcPr>
          <w:p w:rsidR="00CC5EF1" w:rsidRPr="00D33B70" w:rsidRDefault="00CC5EF1" w:rsidP="003F5B42">
            <w:pPr>
              <w:numPr>
                <w:ilvl w:val="12"/>
                <w:numId w:val="0"/>
              </w:numPr>
              <w:jc w:val="center"/>
              <w:rPr>
                <w:rFonts w:cs="Arial"/>
                <w:b/>
              </w:rPr>
            </w:pPr>
            <w:r w:rsidRPr="00D33B70">
              <w:rPr>
                <w:rFonts w:cs="Arial"/>
                <w:b/>
              </w:rPr>
              <w:t>Total Indirect Damages</w:t>
            </w:r>
          </w:p>
        </w:tc>
        <w:tc>
          <w:tcPr>
            <w:tcW w:w="1701" w:type="dxa"/>
            <w:tcBorders>
              <w:top w:val="single" w:sz="6" w:space="0" w:color="auto"/>
              <w:left w:val="single" w:sz="6" w:space="0" w:color="auto"/>
              <w:bottom w:val="single" w:sz="6" w:space="0" w:color="auto"/>
              <w:right w:val="single" w:sz="6" w:space="0" w:color="auto"/>
            </w:tcBorders>
            <w:shd w:val="pct10" w:color="auto" w:fill="auto"/>
            <w:vAlign w:val="center"/>
          </w:tcPr>
          <w:p w:rsidR="00CC5EF1" w:rsidRPr="00D33B70" w:rsidRDefault="00CC5EF1" w:rsidP="003F5B42">
            <w:pPr>
              <w:numPr>
                <w:ilvl w:val="12"/>
                <w:numId w:val="0"/>
              </w:numPr>
              <w:jc w:val="center"/>
              <w:rPr>
                <w:rFonts w:cs="Arial"/>
                <w:b/>
              </w:rPr>
            </w:pPr>
            <w:r w:rsidRPr="00D33B70">
              <w:rPr>
                <w:rFonts w:cs="Arial"/>
                <w:b/>
              </w:rPr>
              <w:t>Total Damages</w:t>
            </w:r>
          </w:p>
        </w:tc>
        <w:tc>
          <w:tcPr>
            <w:tcW w:w="1646" w:type="dxa"/>
            <w:tcBorders>
              <w:top w:val="single" w:sz="6" w:space="0" w:color="auto"/>
              <w:left w:val="single" w:sz="6" w:space="0" w:color="auto"/>
              <w:bottom w:val="single" w:sz="6" w:space="0" w:color="auto"/>
              <w:right w:val="single" w:sz="4" w:space="0" w:color="auto"/>
            </w:tcBorders>
            <w:shd w:val="pct10" w:color="auto" w:fill="auto"/>
            <w:vAlign w:val="center"/>
          </w:tcPr>
          <w:p w:rsidR="00CC5EF1" w:rsidRPr="00D33B70" w:rsidRDefault="00CC5EF1" w:rsidP="003F5B42">
            <w:pPr>
              <w:numPr>
                <w:ilvl w:val="12"/>
                <w:numId w:val="0"/>
              </w:numPr>
              <w:jc w:val="center"/>
              <w:rPr>
                <w:rFonts w:cs="Arial"/>
                <w:b/>
              </w:rPr>
            </w:pPr>
            <w:r w:rsidRPr="00D33B70">
              <w:rPr>
                <w:rFonts w:cs="Arial"/>
                <w:b/>
              </w:rPr>
              <w:t>Incremental Average Annual Damages</w:t>
            </w:r>
          </w:p>
        </w:tc>
      </w:tr>
      <w:tr w:rsidR="00CC5EF1" w:rsidRPr="00D33B70" w:rsidTr="003F5B42">
        <w:trPr>
          <w:trHeight w:val="440"/>
        </w:trPr>
        <w:tc>
          <w:tcPr>
            <w:tcW w:w="818" w:type="dxa"/>
            <w:tcBorders>
              <w:top w:val="single" w:sz="6" w:space="0" w:color="auto"/>
              <w:left w:val="single" w:sz="4" w:space="0" w:color="auto"/>
              <w:bottom w:val="single" w:sz="6" w:space="0" w:color="auto"/>
              <w:right w:val="single" w:sz="6" w:space="0" w:color="auto"/>
            </w:tcBorders>
            <w:vAlign w:val="center"/>
          </w:tcPr>
          <w:p w:rsidR="00CC5EF1" w:rsidRPr="00D33B70" w:rsidRDefault="00CC5EF1" w:rsidP="009B39B1">
            <w:pPr>
              <w:numPr>
                <w:ilvl w:val="12"/>
                <w:numId w:val="0"/>
              </w:numPr>
              <w:jc w:val="left"/>
              <w:rPr>
                <w:rFonts w:cs="Arial"/>
              </w:rPr>
            </w:pPr>
            <w:r w:rsidRPr="00D33B70">
              <w:rPr>
                <w:rFonts w:cs="Arial"/>
              </w:rPr>
              <w:t>PMF*</w:t>
            </w:r>
          </w:p>
        </w:tc>
        <w:tc>
          <w:tcPr>
            <w:tcW w:w="770"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9B39B1">
            <w:pPr>
              <w:numPr>
                <w:ilvl w:val="12"/>
                <w:numId w:val="0"/>
              </w:numPr>
              <w:jc w:val="left"/>
              <w:rPr>
                <w:rFonts w:cs="Arial"/>
              </w:rPr>
            </w:pPr>
            <w:r w:rsidRPr="00D33B70">
              <w:rPr>
                <w:rFonts w:cs="Arial"/>
              </w:rPr>
              <w:t>0.0%</w:t>
            </w:r>
          </w:p>
        </w:tc>
        <w:tc>
          <w:tcPr>
            <w:tcW w:w="1417"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3F5B42">
            <w:pPr>
              <w:numPr>
                <w:ilvl w:val="12"/>
                <w:numId w:val="0"/>
              </w:numPr>
              <w:jc w:val="center"/>
              <w:rPr>
                <w:rFonts w:cs="Arial"/>
              </w:rPr>
            </w:pPr>
          </w:p>
        </w:tc>
        <w:tc>
          <w:tcPr>
            <w:tcW w:w="1641" w:type="dxa"/>
            <w:tcBorders>
              <w:top w:val="single" w:sz="6" w:space="0" w:color="auto"/>
              <w:left w:val="single" w:sz="6" w:space="0" w:color="auto"/>
              <w:bottom w:val="single" w:sz="6" w:space="0" w:color="auto"/>
              <w:right w:val="single" w:sz="6" w:space="0" w:color="auto"/>
            </w:tcBorders>
          </w:tcPr>
          <w:p w:rsidR="00CC5EF1" w:rsidRPr="00D33B70" w:rsidRDefault="00CC5EF1" w:rsidP="003F5B42">
            <w:pPr>
              <w:numPr>
                <w:ilvl w:val="12"/>
                <w:numId w:val="0"/>
              </w:numPr>
              <w:jc w:val="center"/>
              <w:rPr>
                <w:rFonts w:cs="Arial"/>
              </w:rPr>
            </w:pPr>
          </w:p>
        </w:tc>
        <w:tc>
          <w:tcPr>
            <w:tcW w:w="1701"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3F5B42">
            <w:pPr>
              <w:numPr>
                <w:ilvl w:val="12"/>
                <w:numId w:val="0"/>
              </w:numPr>
              <w:jc w:val="center"/>
              <w:rPr>
                <w:rFonts w:cs="Arial"/>
              </w:rPr>
            </w:pPr>
          </w:p>
        </w:tc>
        <w:tc>
          <w:tcPr>
            <w:tcW w:w="1701" w:type="dxa"/>
            <w:tcBorders>
              <w:top w:val="single" w:sz="6" w:space="0" w:color="auto"/>
              <w:left w:val="single" w:sz="6" w:space="0" w:color="auto"/>
              <w:bottom w:val="single" w:sz="6" w:space="0" w:color="auto"/>
              <w:right w:val="single" w:sz="6" w:space="0" w:color="auto"/>
            </w:tcBorders>
            <w:vAlign w:val="center"/>
          </w:tcPr>
          <w:p w:rsidR="00CC5EF1" w:rsidRPr="00D33B70" w:rsidRDefault="00985FB2" w:rsidP="003F5B42">
            <w:pPr>
              <w:numPr>
                <w:ilvl w:val="12"/>
                <w:numId w:val="0"/>
              </w:numPr>
              <w:jc w:val="center"/>
              <w:rPr>
                <w:rFonts w:cs="Arial"/>
              </w:rPr>
            </w:pPr>
            <w:r w:rsidRPr="00D33B70">
              <w:rPr>
                <w:rFonts w:cs="Arial"/>
              </w:rPr>
              <w:t>$2</w:t>
            </w:r>
            <w:r w:rsidR="00CC5EF1" w:rsidRPr="00D33B70">
              <w:rPr>
                <w:rFonts w:cs="Arial"/>
              </w:rPr>
              <w:t>,</w:t>
            </w:r>
            <w:r w:rsidRPr="00D33B70">
              <w:rPr>
                <w:rFonts w:cs="Arial"/>
              </w:rPr>
              <w:t>987</w:t>
            </w:r>
            <w:r w:rsidR="00CC5EF1" w:rsidRPr="00D33B70">
              <w:rPr>
                <w:rFonts w:cs="Arial"/>
              </w:rPr>
              <w:t>,000</w:t>
            </w:r>
            <w:r w:rsidRPr="00D33B70">
              <w:rPr>
                <w:rFonts w:cs="Arial"/>
              </w:rPr>
              <w:t>*</w:t>
            </w:r>
          </w:p>
        </w:tc>
        <w:tc>
          <w:tcPr>
            <w:tcW w:w="1646" w:type="dxa"/>
            <w:tcBorders>
              <w:top w:val="single" w:sz="6" w:space="0" w:color="auto"/>
              <w:left w:val="single" w:sz="6" w:space="0" w:color="auto"/>
              <w:bottom w:val="single" w:sz="6" w:space="0" w:color="auto"/>
              <w:right w:val="single" w:sz="4" w:space="0" w:color="auto"/>
            </w:tcBorders>
            <w:vAlign w:val="center"/>
          </w:tcPr>
          <w:p w:rsidR="00CC5EF1" w:rsidRPr="00D33B70" w:rsidRDefault="00CC5EF1" w:rsidP="003F5B42">
            <w:pPr>
              <w:numPr>
                <w:ilvl w:val="12"/>
                <w:numId w:val="0"/>
              </w:numPr>
              <w:jc w:val="center"/>
              <w:rPr>
                <w:rFonts w:cs="Arial"/>
              </w:rPr>
            </w:pPr>
          </w:p>
        </w:tc>
      </w:tr>
      <w:tr w:rsidR="00CC5EF1" w:rsidRPr="00D33B70" w:rsidTr="003F5B42">
        <w:trPr>
          <w:trHeight w:val="404"/>
        </w:trPr>
        <w:tc>
          <w:tcPr>
            <w:tcW w:w="818" w:type="dxa"/>
            <w:tcBorders>
              <w:top w:val="single" w:sz="6" w:space="0" w:color="auto"/>
              <w:left w:val="single" w:sz="4" w:space="0" w:color="auto"/>
              <w:bottom w:val="single" w:sz="6" w:space="0" w:color="auto"/>
              <w:right w:val="single" w:sz="6" w:space="0" w:color="auto"/>
            </w:tcBorders>
            <w:vAlign w:val="center"/>
          </w:tcPr>
          <w:p w:rsidR="00CC5EF1" w:rsidRPr="00D33B70" w:rsidRDefault="00CC5EF1" w:rsidP="009B39B1">
            <w:pPr>
              <w:numPr>
                <w:ilvl w:val="12"/>
                <w:numId w:val="0"/>
              </w:numPr>
              <w:jc w:val="left"/>
              <w:rPr>
                <w:rFonts w:cs="Arial"/>
              </w:rPr>
            </w:pPr>
            <w:r w:rsidRPr="00D33B70">
              <w:rPr>
                <w:rFonts w:cs="Arial"/>
              </w:rPr>
              <w:t>100</w:t>
            </w:r>
          </w:p>
        </w:tc>
        <w:tc>
          <w:tcPr>
            <w:tcW w:w="770"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9B39B1">
            <w:pPr>
              <w:numPr>
                <w:ilvl w:val="12"/>
                <w:numId w:val="0"/>
              </w:numPr>
              <w:jc w:val="left"/>
              <w:rPr>
                <w:rFonts w:cs="Arial"/>
              </w:rPr>
            </w:pPr>
            <w:r w:rsidRPr="00D33B70">
              <w:rPr>
                <w:rFonts w:cs="Arial"/>
              </w:rPr>
              <w:t>1%</w:t>
            </w:r>
          </w:p>
        </w:tc>
        <w:tc>
          <w:tcPr>
            <w:tcW w:w="1417"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3F5B42">
            <w:pPr>
              <w:numPr>
                <w:ilvl w:val="12"/>
                <w:numId w:val="0"/>
              </w:numPr>
              <w:jc w:val="center"/>
              <w:rPr>
                <w:rFonts w:cs="Arial"/>
              </w:rPr>
            </w:pPr>
            <w:r w:rsidRPr="00D33B70">
              <w:rPr>
                <w:rFonts w:cs="Arial"/>
              </w:rPr>
              <w:t>$2,067,000</w:t>
            </w:r>
          </w:p>
        </w:tc>
        <w:tc>
          <w:tcPr>
            <w:tcW w:w="1641"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3F5B42">
            <w:pPr>
              <w:numPr>
                <w:ilvl w:val="12"/>
                <w:numId w:val="0"/>
              </w:numPr>
              <w:jc w:val="center"/>
              <w:rPr>
                <w:rFonts w:cs="Arial"/>
              </w:rPr>
            </w:pPr>
            <w:r w:rsidRPr="00D33B70">
              <w:rPr>
                <w:rFonts w:cs="Arial"/>
              </w:rPr>
              <w:t>$7,000</w:t>
            </w:r>
          </w:p>
        </w:tc>
        <w:tc>
          <w:tcPr>
            <w:tcW w:w="1701"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3F5B42">
            <w:pPr>
              <w:numPr>
                <w:ilvl w:val="12"/>
                <w:numId w:val="0"/>
              </w:numPr>
              <w:jc w:val="center"/>
              <w:rPr>
                <w:rFonts w:cs="Arial"/>
              </w:rPr>
            </w:pPr>
            <w:r w:rsidRPr="00D33B70">
              <w:rPr>
                <w:rFonts w:cs="Arial"/>
              </w:rPr>
              <w:t>$</w:t>
            </w:r>
            <w:r w:rsidR="00985FB2" w:rsidRPr="00D33B70">
              <w:rPr>
                <w:rFonts w:cs="Arial"/>
              </w:rPr>
              <w:t>622</w:t>
            </w:r>
            <w:r w:rsidRPr="00D33B70">
              <w:rPr>
                <w:rFonts w:cs="Arial"/>
              </w:rPr>
              <w:t>,000</w:t>
            </w:r>
          </w:p>
        </w:tc>
        <w:tc>
          <w:tcPr>
            <w:tcW w:w="1701"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3F5B42">
            <w:pPr>
              <w:numPr>
                <w:ilvl w:val="12"/>
                <w:numId w:val="0"/>
              </w:numPr>
              <w:jc w:val="center"/>
              <w:rPr>
                <w:rFonts w:cs="Arial"/>
              </w:rPr>
            </w:pPr>
            <w:r w:rsidRPr="00D33B70">
              <w:rPr>
                <w:rFonts w:cs="Arial"/>
              </w:rPr>
              <w:t>$</w:t>
            </w:r>
            <w:r w:rsidR="00985FB2" w:rsidRPr="00D33B70">
              <w:rPr>
                <w:rFonts w:cs="Arial"/>
              </w:rPr>
              <w:t>2,696</w:t>
            </w:r>
            <w:r w:rsidRPr="00D33B70">
              <w:rPr>
                <w:rFonts w:cs="Arial"/>
              </w:rPr>
              <w:t>,000</w:t>
            </w:r>
          </w:p>
        </w:tc>
        <w:tc>
          <w:tcPr>
            <w:tcW w:w="1646" w:type="dxa"/>
            <w:tcBorders>
              <w:top w:val="single" w:sz="6" w:space="0" w:color="auto"/>
              <w:left w:val="single" w:sz="6" w:space="0" w:color="auto"/>
              <w:bottom w:val="single" w:sz="6" w:space="0" w:color="auto"/>
              <w:right w:val="single" w:sz="4" w:space="0" w:color="auto"/>
            </w:tcBorders>
            <w:vAlign w:val="center"/>
          </w:tcPr>
          <w:p w:rsidR="00CC5EF1" w:rsidRPr="00D33B70" w:rsidRDefault="00985FB2" w:rsidP="003F5B42">
            <w:pPr>
              <w:numPr>
                <w:ilvl w:val="12"/>
                <w:numId w:val="0"/>
              </w:numPr>
              <w:jc w:val="center"/>
              <w:rPr>
                <w:rFonts w:cs="Arial"/>
              </w:rPr>
            </w:pPr>
            <w:r w:rsidRPr="00D33B70">
              <w:rPr>
                <w:rFonts w:cs="Arial"/>
              </w:rPr>
              <w:t>$28</w:t>
            </w:r>
            <w:r w:rsidR="00CC5EF1" w:rsidRPr="00D33B70">
              <w:rPr>
                <w:rFonts w:cs="Arial"/>
              </w:rPr>
              <w:t>,000</w:t>
            </w:r>
          </w:p>
        </w:tc>
      </w:tr>
      <w:tr w:rsidR="00CC5EF1" w:rsidRPr="00D33B70" w:rsidTr="003F5B42">
        <w:trPr>
          <w:trHeight w:val="410"/>
        </w:trPr>
        <w:tc>
          <w:tcPr>
            <w:tcW w:w="818" w:type="dxa"/>
            <w:tcBorders>
              <w:top w:val="single" w:sz="6" w:space="0" w:color="auto"/>
              <w:left w:val="single" w:sz="4" w:space="0" w:color="auto"/>
              <w:bottom w:val="single" w:sz="6" w:space="0" w:color="auto"/>
              <w:right w:val="single" w:sz="6" w:space="0" w:color="auto"/>
            </w:tcBorders>
            <w:vAlign w:val="center"/>
          </w:tcPr>
          <w:p w:rsidR="00CC5EF1" w:rsidRPr="00D33B70" w:rsidRDefault="00CC5EF1" w:rsidP="009B39B1">
            <w:pPr>
              <w:numPr>
                <w:ilvl w:val="12"/>
                <w:numId w:val="0"/>
              </w:numPr>
              <w:jc w:val="left"/>
              <w:rPr>
                <w:rFonts w:cs="Arial"/>
              </w:rPr>
            </w:pPr>
            <w:r w:rsidRPr="00D33B70">
              <w:rPr>
                <w:rFonts w:cs="Arial"/>
              </w:rPr>
              <w:t>20</w:t>
            </w:r>
          </w:p>
        </w:tc>
        <w:tc>
          <w:tcPr>
            <w:tcW w:w="770"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9B39B1">
            <w:pPr>
              <w:numPr>
                <w:ilvl w:val="12"/>
                <w:numId w:val="0"/>
              </w:numPr>
              <w:jc w:val="left"/>
              <w:rPr>
                <w:rFonts w:cs="Arial"/>
              </w:rPr>
            </w:pPr>
            <w:r w:rsidRPr="00D33B70">
              <w:rPr>
                <w:rFonts w:cs="Arial"/>
              </w:rPr>
              <w:t>5%</w:t>
            </w:r>
          </w:p>
        </w:tc>
        <w:tc>
          <w:tcPr>
            <w:tcW w:w="1417"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3F5B42">
            <w:pPr>
              <w:numPr>
                <w:ilvl w:val="12"/>
                <w:numId w:val="0"/>
              </w:numPr>
              <w:jc w:val="center"/>
              <w:rPr>
                <w:rFonts w:cs="Arial"/>
              </w:rPr>
            </w:pPr>
            <w:r w:rsidRPr="00D33B70">
              <w:rPr>
                <w:rFonts w:cs="Arial"/>
              </w:rPr>
              <w:t>$1,178,000</w:t>
            </w:r>
          </w:p>
        </w:tc>
        <w:tc>
          <w:tcPr>
            <w:tcW w:w="1641" w:type="dxa"/>
            <w:tcBorders>
              <w:top w:val="single" w:sz="6" w:space="0" w:color="auto"/>
              <w:left w:val="single" w:sz="6" w:space="0" w:color="auto"/>
              <w:bottom w:val="single" w:sz="6" w:space="0" w:color="auto"/>
              <w:right w:val="single" w:sz="6" w:space="0" w:color="auto"/>
            </w:tcBorders>
            <w:vAlign w:val="center"/>
          </w:tcPr>
          <w:p w:rsidR="00CC5EF1" w:rsidRPr="00D33B70" w:rsidRDefault="00985FB2" w:rsidP="003F5B42">
            <w:pPr>
              <w:numPr>
                <w:ilvl w:val="12"/>
                <w:numId w:val="0"/>
              </w:numPr>
              <w:jc w:val="center"/>
              <w:rPr>
                <w:rFonts w:cs="Arial"/>
              </w:rPr>
            </w:pPr>
            <w:r w:rsidRPr="00D33B70">
              <w:rPr>
                <w:rFonts w:cs="Arial"/>
              </w:rPr>
              <w:t>$2</w:t>
            </w:r>
            <w:r w:rsidR="00CC5EF1" w:rsidRPr="00D33B70">
              <w:rPr>
                <w:rFonts w:cs="Arial"/>
              </w:rPr>
              <w:t>,000</w:t>
            </w:r>
          </w:p>
        </w:tc>
        <w:tc>
          <w:tcPr>
            <w:tcW w:w="1701" w:type="dxa"/>
            <w:tcBorders>
              <w:top w:val="single" w:sz="6" w:space="0" w:color="auto"/>
              <w:left w:val="single" w:sz="6" w:space="0" w:color="auto"/>
              <w:bottom w:val="single" w:sz="6" w:space="0" w:color="auto"/>
              <w:right w:val="single" w:sz="6" w:space="0" w:color="auto"/>
            </w:tcBorders>
            <w:vAlign w:val="center"/>
          </w:tcPr>
          <w:p w:rsidR="00CC5EF1" w:rsidRPr="00D33B70" w:rsidRDefault="00985FB2" w:rsidP="003F5B42">
            <w:pPr>
              <w:numPr>
                <w:ilvl w:val="12"/>
                <w:numId w:val="0"/>
              </w:numPr>
              <w:jc w:val="center"/>
              <w:rPr>
                <w:rFonts w:cs="Arial"/>
              </w:rPr>
            </w:pPr>
            <w:r w:rsidRPr="00D33B70">
              <w:rPr>
                <w:rFonts w:cs="Arial"/>
              </w:rPr>
              <w:t>$354</w:t>
            </w:r>
            <w:r w:rsidR="00CC5EF1" w:rsidRPr="00D33B70">
              <w:rPr>
                <w:rFonts w:cs="Arial"/>
              </w:rPr>
              <w:t>,000</w:t>
            </w:r>
          </w:p>
        </w:tc>
        <w:tc>
          <w:tcPr>
            <w:tcW w:w="1701" w:type="dxa"/>
            <w:tcBorders>
              <w:top w:val="single" w:sz="6" w:space="0" w:color="auto"/>
              <w:left w:val="single" w:sz="6" w:space="0" w:color="auto"/>
              <w:bottom w:val="single" w:sz="6" w:space="0" w:color="auto"/>
              <w:right w:val="single" w:sz="6" w:space="0" w:color="auto"/>
            </w:tcBorders>
            <w:vAlign w:val="center"/>
          </w:tcPr>
          <w:p w:rsidR="00CC5EF1" w:rsidRPr="00D33B70" w:rsidRDefault="00985FB2" w:rsidP="003F5B42">
            <w:pPr>
              <w:numPr>
                <w:ilvl w:val="12"/>
                <w:numId w:val="0"/>
              </w:numPr>
              <w:jc w:val="center"/>
              <w:rPr>
                <w:rFonts w:cs="Arial"/>
              </w:rPr>
            </w:pPr>
            <w:r w:rsidRPr="00D33B70">
              <w:rPr>
                <w:rFonts w:cs="Arial"/>
              </w:rPr>
              <w:t>$1,534</w:t>
            </w:r>
            <w:r w:rsidR="00CC5EF1" w:rsidRPr="00D33B70">
              <w:rPr>
                <w:rFonts w:cs="Arial"/>
              </w:rPr>
              <w:t>,000</w:t>
            </w:r>
          </w:p>
        </w:tc>
        <w:tc>
          <w:tcPr>
            <w:tcW w:w="1646" w:type="dxa"/>
            <w:tcBorders>
              <w:top w:val="single" w:sz="6" w:space="0" w:color="auto"/>
              <w:left w:val="single" w:sz="6" w:space="0" w:color="auto"/>
              <w:bottom w:val="single" w:sz="6" w:space="0" w:color="auto"/>
              <w:right w:val="single" w:sz="4" w:space="0" w:color="auto"/>
            </w:tcBorders>
            <w:vAlign w:val="center"/>
          </w:tcPr>
          <w:p w:rsidR="00CC5EF1" w:rsidRPr="00D33B70" w:rsidRDefault="00985FB2" w:rsidP="003F5B42">
            <w:pPr>
              <w:numPr>
                <w:ilvl w:val="12"/>
                <w:numId w:val="0"/>
              </w:numPr>
              <w:jc w:val="center"/>
              <w:rPr>
                <w:rFonts w:cs="Arial"/>
              </w:rPr>
            </w:pPr>
            <w:r w:rsidRPr="00D33B70">
              <w:rPr>
                <w:rFonts w:cs="Arial"/>
              </w:rPr>
              <w:t>$85</w:t>
            </w:r>
            <w:r w:rsidR="00CC5EF1" w:rsidRPr="00D33B70">
              <w:rPr>
                <w:rFonts w:cs="Arial"/>
              </w:rPr>
              <w:t>,000</w:t>
            </w:r>
          </w:p>
        </w:tc>
      </w:tr>
      <w:tr w:rsidR="00CC5EF1" w:rsidRPr="00D33B70" w:rsidTr="003F5B42">
        <w:trPr>
          <w:trHeight w:val="415"/>
        </w:trPr>
        <w:tc>
          <w:tcPr>
            <w:tcW w:w="818" w:type="dxa"/>
            <w:tcBorders>
              <w:top w:val="single" w:sz="6" w:space="0" w:color="auto"/>
              <w:left w:val="single" w:sz="4" w:space="0" w:color="auto"/>
              <w:bottom w:val="single" w:sz="6" w:space="0" w:color="auto"/>
              <w:right w:val="single" w:sz="6" w:space="0" w:color="auto"/>
            </w:tcBorders>
            <w:vAlign w:val="center"/>
          </w:tcPr>
          <w:p w:rsidR="00CC5EF1" w:rsidRPr="00D33B70" w:rsidRDefault="00CC5EF1" w:rsidP="009B39B1">
            <w:pPr>
              <w:numPr>
                <w:ilvl w:val="12"/>
                <w:numId w:val="0"/>
              </w:numPr>
              <w:jc w:val="left"/>
              <w:rPr>
                <w:rFonts w:cs="Arial"/>
              </w:rPr>
            </w:pPr>
            <w:r w:rsidRPr="00D33B70">
              <w:rPr>
                <w:rFonts w:cs="Arial"/>
              </w:rPr>
              <w:t>10</w:t>
            </w:r>
          </w:p>
        </w:tc>
        <w:tc>
          <w:tcPr>
            <w:tcW w:w="770"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9B39B1">
            <w:pPr>
              <w:numPr>
                <w:ilvl w:val="12"/>
                <w:numId w:val="0"/>
              </w:numPr>
              <w:jc w:val="left"/>
              <w:rPr>
                <w:rFonts w:cs="Arial"/>
              </w:rPr>
            </w:pPr>
            <w:r w:rsidRPr="00D33B70">
              <w:rPr>
                <w:rFonts w:cs="Arial"/>
              </w:rPr>
              <w:t>10%</w:t>
            </w:r>
          </w:p>
        </w:tc>
        <w:tc>
          <w:tcPr>
            <w:tcW w:w="1417"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3F5B42">
            <w:pPr>
              <w:numPr>
                <w:ilvl w:val="12"/>
                <w:numId w:val="0"/>
              </w:numPr>
              <w:jc w:val="center"/>
              <w:rPr>
                <w:rFonts w:cs="Arial"/>
              </w:rPr>
            </w:pPr>
            <w:r w:rsidRPr="00D33B70">
              <w:rPr>
                <w:rFonts w:cs="Arial"/>
              </w:rPr>
              <w:t>$799,000</w:t>
            </w:r>
          </w:p>
        </w:tc>
        <w:tc>
          <w:tcPr>
            <w:tcW w:w="1641" w:type="dxa"/>
            <w:tcBorders>
              <w:top w:val="single" w:sz="6" w:space="0" w:color="auto"/>
              <w:left w:val="single" w:sz="6" w:space="0" w:color="auto"/>
              <w:bottom w:val="single" w:sz="6" w:space="0" w:color="auto"/>
              <w:right w:val="single" w:sz="6" w:space="0" w:color="auto"/>
            </w:tcBorders>
            <w:vAlign w:val="center"/>
          </w:tcPr>
          <w:p w:rsidR="00CC5EF1" w:rsidRPr="00D33B70" w:rsidRDefault="00985FB2" w:rsidP="003F5B42">
            <w:pPr>
              <w:numPr>
                <w:ilvl w:val="12"/>
                <w:numId w:val="0"/>
              </w:numPr>
              <w:jc w:val="center"/>
              <w:rPr>
                <w:rFonts w:cs="Arial"/>
              </w:rPr>
            </w:pPr>
            <w:r w:rsidRPr="00D33B70">
              <w:rPr>
                <w:rFonts w:cs="Arial"/>
              </w:rPr>
              <w:t>$2</w:t>
            </w:r>
            <w:r w:rsidR="00CC5EF1" w:rsidRPr="00D33B70">
              <w:rPr>
                <w:rFonts w:cs="Arial"/>
              </w:rPr>
              <w:t>,000</w:t>
            </w:r>
          </w:p>
        </w:tc>
        <w:tc>
          <w:tcPr>
            <w:tcW w:w="1701" w:type="dxa"/>
            <w:tcBorders>
              <w:top w:val="single" w:sz="6" w:space="0" w:color="auto"/>
              <w:left w:val="single" w:sz="6" w:space="0" w:color="auto"/>
              <w:bottom w:val="single" w:sz="6" w:space="0" w:color="auto"/>
              <w:right w:val="single" w:sz="6" w:space="0" w:color="auto"/>
            </w:tcBorders>
            <w:vAlign w:val="center"/>
          </w:tcPr>
          <w:p w:rsidR="00CC5EF1" w:rsidRPr="00D33B70" w:rsidRDefault="00985FB2" w:rsidP="003F5B42">
            <w:pPr>
              <w:numPr>
                <w:ilvl w:val="12"/>
                <w:numId w:val="0"/>
              </w:numPr>
              <w:jc w:val="center"/>
              <w:rPr>
                <w:rFonts w:cs="Arial"/>
              </w:rPr>
            </w:pPr>
            <w:r w:rsidRPr="00D33B70">
              <w:rPr>
                <w:rFonts w:cs="Arial"/>
              </w:rPr>
              <w:t>$240</w:t>
            </w:r>
            <w:r w:rsidR="00CC5EF1" w:rsidRPr="00D33B70">
              <w:rPr>
                <w:rFonts w:cs="Arial"/>
              </w:rPr>
              <w:t>,000</w:t>
            </w:r>
          </w:p>
        </w:tc>
        <w:tc>
          <w:tcPr>
            <w:tcW w:w="1701"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3F5B42">
            <w:pPr>
              <w:numPr>
                <w:ilvl w:val="12"/>
                <w:numId w:val="0"/>
              </w:numPr>
              <w:jc w:val="center"/>
              <w:rPr>
                <w:rFonts w:cs="Arial"/>
              </w:rPr>
            </w:pPr>
            <w:r w:rsidRPr="00D33B70">
              <w:rPr>
                <w:rFonts w:cs="Arial"/>
              </w:rPr>
              <w:t>$1,0</w:t>
            </w:r>
            <w:r w:rsidR="00985FB2" w:rsidRPr="00D33B70">
              <w:rPr>
                <w:rFonts w:cs="Arial"/>
              </w:rPr>
              <w:t>41</w:t>
            </w:r>
            <w:r w:rsidRPr="00D33B70">
              <w:rPr>
                <w:rFonts w:cs="Arial"/>
              </w:rPr>
              <w:t>,000</w:t>
            </w:r>
          </w:p>
        </w:tc>
        <w:tc>
          <w:tcPr>
            <w:tcW w:w="1646" w:type="dxa"/>
            <w:tcBorders>
              <w:top w:val="single" w:sz="6" w:space="0" w:color="auto"/>
              <w:left w:val="single" w:sz="6" w:space="0" w:color="auto"/>
              <w:bottom w:val="single" w:sz="6" w:space="0" w:color="auto"/>
              <w:right w:val="single" w:sz="4" w:space="0" w:color="auto"/>
            </w:tcBorders>
            <w:vAlign w:val="center"/>
          </w:tcPr>
          <w:p w:rsidR="00CC5EF1" w:rsidRPr="00D33B70" w:rsidRDefault="00CC5EF1" w:rsidP="003F5B42">
            <w:pPr>
              <w:numPr>
                <w:ilvl w:val="12"/>
                <w:numId w:val="0"/>
              </w:numPr>
              <w:jc w:val="center"/>
              <w:rPr>
                <w:rFonts w:cs="Arial"/>
              </w:rPr>
            </w:pPr>
            <w:r w:rsidRPr="00D33B70">
              <w:rPr>
                <w:rFonts w:cs="Arial"/>
              </w:rPr>
              <w:t>$6</w:t>
            </w:r>
            <w:r w:rsidR="00985FB2" w:rsidRPr="00D33B70">
              <w:rPr>
                <w:rFonts w:cs="Arial"/>
              </w:rPr>
              <w:t>4</w:t>
            </w:r>
            <w:r w:rsidRPr="00D33B70">
              <w:rPr>
                <w:rFonts w:cs="Arial"/>
              </w:rPr>
              <w:t>,000</w:t>
            </w:r>
          </w:p>
        </w:tc>
      </w:tr>
      <w:tr w:rsidR="00CC5EF1" w:rsidRPr="00D33B70" w:rsidTr="003F5B42">
        <w:trPr>
          <w:trHeight w:val="408"/>
        </w:trPr>
        <w:tc>
          <w:tcPr>
            <w:tcW w:w="818" w:type="dxa"/>
            <w:tcBorders>
              <w:top w:val="single" w:sz="6" w:space="0" w:color="auto"/>
              <w:left w:val="single" w:sz="4" w:space="0" w:color="auto"/>
              <w:bottom w:val="single" w:sz="6" w:space="0" w:color="auto"/>
              <w:right w:val="single" w:sz="6" w:space="0" w:color="auto"/>
            </w:tcBorders>
            <w:vAlign w:val="center"/>
          </w:tcPr>
          <w:p w:rsidR="00CC5EF1" w:rsidRPr="00D33B70" w:rsidRDefault="00CC5EF1" w:rsidP="009B39B1">
            <w:pPr>
              <w:numPr>
                <w:ilvl w:val="12"/>
                <w:numId w:val="0"/>
              </w:numPr>
              <w:jc w:val="left"/>
              <w:rPr>
                <w:rFonts w:cs="Arial"/>
              </w:rPr>
            </w:pPr>
            <w:r w:rsidRPr="00D33B70">
              <w:rPr>
                <w:rFonts w:cs="Arial"/>
              </w:rPr>
              <w:t>5</w:t>
            </w:r>
          </w:p>
        </w:tc>
        <w:tc>
          <w:tcPr>
            <w:tcW w:w="770"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9B39B1">
            <w:pPr>
              <w:numPr>
                <w:ilvl w:val="12"/>
                <w:numId w:val="0"/>
              </w:numPr>
              <w:jc w:val="left"/>
              <w:rPr>
                <w:rFonts w:cs="Arial"/>
              </w:rPr>
            </w:pPr>
            <w:r w:rsidRPr="00D33B70">
              <w:rPr>
                <w:rFonts w:cs="Arial"/>
              </w:rPr>
              <w:t>20%</w:t>
            </w:r>
          </w:p>
        </w:tc>
        <w:tc>
          <w:tcPr>
            <w:tcW w:w="1417"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3F5B42">
            <w:pPr>
              <w:numPr>
                <w:ilvl w:val="12"/>
                <w:numId w:val="0"/>
              </w:numPr>
              <w:jc w:val="center"/>
              <w:rPr>
                <w:rFonts w:cs="Arial"/>
              </w:rPr>
            </w:pPr>
            <w:r w:rsidRPr="00D33B70">
              <w:rPr>
                <w:rFonts w:cs="Arial"/>
              </w:rPr>
              <w:t>$5</w:t>
            </w:r>
            <w:r w:rsidR="00985FB2" w:rsidRPr="00D33B70">
              <w:rPr>
                <w:rFonts w:cs="Arial"/>
              </w:rPr>
              <w:t>14</w:t>
            </w:r>
            <w:r w:rsidRPr="00D33B70">
              <w:rPr>
                <w:rFonts w:cs="Arial"/>
              </w:rPr>
              <w:t>,000</w:t>
            </w:r>
          </w:p>
        </w:tc>
        <w:tc>
          <w:tcPr>
            <w:tcW w:w="1641"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3F5B42">
            <w:pPr>
              <w:numPr>
                <w:ilvl w:val="12"/>
                <w:numId w:val="0"/>
              </w:numPr>
              <w:jc w:val="center"/>
              <w:rPr>
                <w:rFonts w:cs="Arial"/>
              </w:rPr>
            </w:pPr>
            <w:r w:rsidRPr="00D33B70">
              <w:rPr>
                <w:rFonts w:cs="Arial"/>
              </w:rPr>
              <w:t>$</w:t>
            </w:r>
            <w:r w:rsidR="00985FB2" w:rsidRPr="00D33B70">
              <w:rPr>
                <w:rFonts w:cs="Arial"/>
              </w:rPr>
              <w:t>0</w:t>
            </w:r>
          </w:p>
        </w:tc>
        <w:tc>
          <w:tcPr>
            <w:tcW w:w="1701" w:type="dxa"/>
            <w:tcBorders>
              <w:top w:val="single" w:sz="6" w:space="0" w:color="auto"/>
              <w:left w:val="single" w:sz="6" w:space="0" w:color="auto"/>
              <w:bottom w:val="single" w:sz="6" w:space="0" w:color="auto"/>
              <w:right w:val="single" w:sz="6" w:space="0" w:color="auto"/>
            </w:tcBorders>
            <w:vAlign w:val="center"/>
          </w:tcPr>
          <w:p w:rsidR="00CC5EF1" w:rsidRPr="00D33B70" w:rsidRDefault="00985FB2" w:rsidP="003F5B42">
            <w:pPr>
              <w:numPr>
                <w:ilvl w:val="12"/>
                <w:numId w:val="0"/>
              </w:numPr>
              <w:jc w:val="center"/>
              <w:rPr>
                <w:rFonts w:cs="Arial"/>
              </w:rPr>
            </w:pPr>
            <w:r w:rsidRPr="00D33B70">
              <w:rPr>
                <w:rFonts w:cs="Arial"/>
              </w:rPr>
              <w:t>$154</w:t>
            </w:r>
            <w:r w:rsidR="00CC5EF1" w:rsidRPr="00D33B70">
              <w:rPr>
                <w:rFonts w:cs="Arial"/>
              </w:rPr>
              <w:t>,000</w:t>
            </w:r>
          </w:p>
        </w:tc>
        <w:tc>
          <w:tcPr>
            <w:tcW w:w="1701"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3F5B42">
            <w:pPr>
              <w:numPr>
                <w:ilvl w:val="12"/>
                <w:numId w:val="0"/>
              </w:numPr>
              <w:jc w:val="center"/>
              <w:rPr>
                <w:rFonts w:cs="Arial"/>
              </w:rPr>
            </w:pPr>
            <w:r w:rsidRPr="00D33B70">
              <w:rPr>
                <w:rFonts w:cs="Arial"/>
              </w:rPr>
              <w:t>$</w:t>
            </w:r>
            <w:r w:rsidR="00985FB2" w:rsidRPr="00D33B70">
              <w:rPr>
                <w:rFonts w:cs="Arial"/>
              </w:rPr>
              <w:t>668</w:t>
            </w:r>
            <w:r w:rsidRPr="00D33B70">
              <w:rPr>
                <w:rFonts w:cs="Arial"/>
              </w:rPr>
              <w:t>,000</w:t>
            </w:r>
          </w:p>
        </w:tc>
        <w:tc>
          <w:tcPr>
            <w:tcW w:w="1646" w:type="dxa"/>
            <w:tcBorders>
              <w:top w:val="single" w:sz="6" w:space="0" w:color="auto"/>
              <w:left w:val="single" w:sz="6" w:space="0" w:color="auto"/>
              <w:bottom w:val="single" w:sz="6" w:space="0" w:color="auto"/>
              <w:right w:val="single" w:sz="4" w:space="0" w:color="auto"/>
            </w:tcBorders>
            <w:vAlign w:val="center"/>
          </w:tcPr>
          <w:p w:rsidR="00CC5EF1" w:rsidRPr="00D33B70" w:rsidRDefault="00CC5EF1" w:rsidP="003F5B42">
            <w:pPr>
              <w:numPr>
                <w:ilvl w:val="12"/>
                <w:numId w:val="0"/>
              </w:numPr>
              <w:jc w:val="center"/>
              <w:rPr>
                <w:rFonts w:cs="Arial"/>
              </w:rPr>
            </w:pPr>
            <w:r w:rsidRPr="00D33B70">
              <w:rPr>
                <w:rFonts w:cs="Arial"/>
              </w:rPr>
              <w:t>$</w:t>
            </w:r>
            <w:r w:rsidR="00985FB2" w:rsidRPr="00D33B70">
              <w:rPr>
                <w:rFonts w:cs="Arial"/>
              </w:rPr>
              <w:t>85</w:t>
            </w:r>
            <w:r w:rsidRPr="00D33B70">
              <w:rPr>
                <w:rFonts w:cs="Arial"/>
              </w:rPr>
              <w:t>,000</w:t>
            </w:r>
          </w:p>
        </w:tc>
      </w:tr>
      <w:tr w:rsidR="00CC5EF1" w:rsidRPr="00D33B70" w:rsidTr="003F5B42">
        <w:trPr>
          <w:trHeight w:val="414"/>
        </w:trPr>
        <w:tc>
          <w:tcPr>
            <w:tcW w:w="818" w:type="dxa"/>
            <w:tcBorders>
              <w:top w:val="single" w:sz="6" w:space="0" w:color="auto"/>
              <w:left w:val="single" w:sz="4" w:space="0" w:color="auto"/>
              <w:bottom w:val="single" w:sz="6" w:space="0" w:color="auto"/>
              <w:right w:val="single" w:sz="6" w:space="0" w:color="auto"/>
            </w:tcBorders>
            <w:vAlign w:val="center"/>
          </w:tcPr>
          <w:p w:rsidR="00CC5EF1" w:rsidRPr="00D33B70" w:rsidRDefault="00CC5EF1" w:rsidP="009B39B1">
            <w:pPr>
              <w:numPr>
                <w:ilvl w:val="12"/>
                <w:numId w:val="0"/>
              </w:numPr>
              <w:jc w:val="left"/>
              <w:rPr>
                <w:rFonts w:cs="Arial"/>
              </w:rPr>
            </w:pPr>
            <w:r w:rsidRPr="00D33B70">
              <w:rPr>
                <w:rFonts w:cs="Arial"/>
              </w:rPr>
              <w:t>2</w:t>
            </w:r>
          </w:p>
        </w:tc>
        <w:tc>
          <w:tcPr>
            <w:tcW w:w="770"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9B39B1">
            <w:pPr>
              <w:numPr>
                <w:ilvl w:val="12"/>
                <w:numId w:val="0"/>
              </w:numPr>
              <w:jc w:val="left"/>
              <w:rPr>
                <w:rFonts w:cs="Arial"/>
              </w:rPr>
            </w:pPr>
            <w:r w:rsidRPr="00D33B70">
              <w:rPr>
                <w:rFonts w:cs="Arial"/>
              </w:rPr>
              <w:t>50%</w:t>
            </w:r>
          </w:p>
        </w:tc>
        <w:tc>
          <w:tcPr>
            <w:tcW w:w="1417"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3F5B42">
            <w:pPr>
              <w:numPr>
                <w:ilvl w:val="12"/>
                <w:numId w:val="0"/>
              </w:numPr>
              <w:jc w:val="center"/>
              <w:rPr>
                <w:rFonts w:cs="Arial"/>
              </w:rPr>
            </w:pPr>
          </w:p>
        </w:tc>
        <w:tc>
          <w:tcPr>
            <w:tcW w:w="1641"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3F5B42">
            <w:pPr>
              <w:numPr>
                <w:ilvl w:val="12"/>
                <w:numId w:val="0"/>
              </w:numPr>
              <w:jc w:val="center"/>
              <w:rPr>
                <w:rFonts w:cs="Arial"/>
              </w:rPr>
            </w:pPr>
          </w:p>
        </w:tc>
        <w:tc>
          <w:tcPr>
            <w:tcW w:w="1701"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3F5B42">
            <w:pPr>
              <w:numPr>
                <w:ilvl w:val="12"/>
                <w:numId w:val="0"/>
              </w:numPr>
              <w:jc w:val="center"/>
              <w:rPr>
                <w:rFonts w:cs="Arial"/>
              </w:rPr>
            </w:pPr>
          </w:p>
        </w:tc>
        <w:tc>
          <w:tcPr>
            <w:tcW w:w="1701" w:type="dxa"/>
            <w:tcBorders>
              <w:top w:val="single" w:sz="6" w:space="0" w:color="auto"/>
              <w:left w:val="single" w:sz="6" w:space="0" w:color="auto"/>
              <w:bottom w:val="single" w:sz="6" w:space="0" w:color="auto"/>
              <w:right w:val="single" w:sz="6" w:space="0" w:color="auto"/>
            </w:tcBorders>
            <w:vAlign w:val="center"/>
          </w:tcPr>
          <w:p w:rsidR="00CC5EF1" w:rsidRPr="00D33B70" w:rsidRDefault="00CC5EF1" w:rsidP="003F5B42">
            <w:pPr>
              <w:numPr>
                <w:ilvl w:val="12"/>
                <w:numId w:val="0"/>
              </w:numPr>
              <w:jc w:val="center"/>
              <w:rPr>
                <w:rFonts w:cs="Arial"/>
              </w:rPr>
            </w:pPr>
          </w:p>
        </w:tc>
        <w:tc>
          <w:tcPr>
            <w:tcW w:w="1646" w:type="dxa"/>
            <w:tcBorders>
              <w:top w:val="single" w:sz="6" w:space="0" w:color="auto"/>
              <w:left w:val="single" w:sz="6" w:space="0" w:color="auto"/>
              <w:bottom w:val="single" w:sz="6" w:space="0" w:color="auto"/>
              <w:right w:val="single" w:sz="4" w:space="0" w:color="auto"/>
            </w:tcBorders>
            <w:vAlign w:val="center"/>
          </w:tcPr>
          <w:p w:rsidR="00CC5EF1" w:rsidRPr="00D33B70" w:rsidRDefault="00985FB2" w:rsidP="003F5B42">
            <w:pPr>
              <w:numPr>
                <w:ilvl w:val="12"/>
                <w:numId w:val="0"/>
              </w:numPr>
              <w:jc w:val="center"/>
              <w:rPr>
                <w:rFonts w:cs="Arial"/>
              </w:rPr>
            </w:pPr>
            <w:r w:rsidRPr="00D33B70">
              <w:rPr>
                <w:rFonts w:cs="Arial"/>
              </w:rPr>
              <w:t>$100</w:t>
            </w:r>
            <w:r w:rsidR="00CC5EF1" w:rsidRPr="00D33B70">
              <w:rPr>
                <w:rFonts w:cs="Arial"/>
              </w:rPr>
              <w:t>,000</w:t>
            </w:r>
          </w:p>
        </w:tc>
      </w:tr>
      <w:tr w:rsidR="009B39B1" w:rsidRPr="00D33B70" w:rsidTr="00CB43CE">
        <w:trPr>
          <w:trHeight w:val="391"/>
        </w:trPr>
        <w:tc>
          <w:tcPr>
            <w:tcW w:w="8048" w:type="dxa"/>
            <w:gridSpan w:val="6"/>
            <w:tcBorders>
              <w:top w:val="single" w:sz="6" w:space="0" w:color="auto"/>
              <w:left w:val="single" w:sz="4" w:space="0" w:color="auto"/>
              <w:bottom w:val="single" w:sz="4" w:space="0" w:color="auto"/>
              <w:right w:val="single" w:sz="6" w:space="0" w:color="auto"/>
            </w:tcBorders>
            <w:shd w:val="pct10" w:color="auto" w:fill="auto"/>
            <w:vAlign w:val="center"/>
          </w:tcPr>
          <w:p w:rsidR="009B39B1" w:rsidRPr="00D33B70" w:rsidRDefault="009B39B1" w:rsidP="009B39B1">
            <w:pPr>
              <w:numPr>
                <w:ilvl w:val="12"/>
                <w:numId w:val="0"/>
              </w:numPr>
              <w:jc w:val="left"/>
              <w:rPr>
                <w:rFonts w:cs="Arial"/>
                <w:b/>
              </w:rPr>
            </w:pPr>
            <w:r w:rsidRPr="00D33B70">
              <w:rPr>
                <w:rFonts w:cs="Arial"/>
                <w:b/>
              </w:rPr>
              <w:t>Average Annual Damage</w:t>
            </w:r>
          </w:p>
        </w:tc>
        <w:tc>
          <w:tcPr>
            <w:tcW w:w="1646" w:type="dxa"/>
            <w:tcBorders>
              <w:top w:val="single" w:sz="6" w:space="0" w:color="auto"/>
              <w:left w:val="single" w:sz="6" w:space="0" w:color="auto"/>
              <w:bottom w:val="single" w:sz="4" w:space="0" w:color="auto"/>
              <w:right w:val="single" w:sz="4" w:space="0" w:color="auto"/>
            </w:tcBorders>
            <w:shd w:val="pct10" w:color="auto" w:fill="auto"/>
            <w:vAlign w:val="center"/>
          </w:tcPr>
          <w:p w:rsidR="009B39B1" w:rsidRPr="00D33B70" w:rsidRDefault="009B39B1" w:rsidP="003F5B42">
            <w:pPr>
              <w:numPr>
                <w:ilvl w:val="12"/>
                <w:numId w:val="0"/>
              </w:numPr>
              <w:jc w:val="center"/>
              <w:rPr>
                <w:rFonts w:cs="Arial"/>
                <w:b/>
              </w:rPr>
            </w:pPr>
            <w:r w:rsidRPr="00D33B70">
              <w:rPr>
                <w:rFonts w:cs="Arial"/>
                <w:b/>
              </w:rPr>
              <w:t>$362,000</w:t>
            </w:r>
          </w:p>
        </w:tc>
      </w:tr>
    </w:tbl>
    <w:p w:rsidR="00D57D13" w:rsidRPr="00D33B70" w:rsidRDefault="00D57D13" w:rsidP="00D57D13">
      <w:pPr>
        <w:numPr>
          <w:ilvl w:val="12"/>
          <w:numId w:val="0"/>
        </w:numPr>
        <w:spacing w:before="120"/>
        <w:ind w:left="851"/>
        <w:jc w:val="center"/>
        <w:rPr>
          <w:sz w:val="16"/>
          <w:szCs w:val="16"/>
        </w:rPr>
      </w:pPr>
      <w:r w:rsidRPr="00D33B70">
        <w:rPr>
          <w:sz w:val="16"/>
          <w:szCs w:val="16"/>
          <w:vertAlign w:val="superscript"/>
        </w:rPr>
        <w:t>+</w:t>
      </w:r>
      <w:r w:rsidRPr="00D33B70">
        <w:rPr>
          <w:sz w:val="16"/>
          <w:szCs w:val="16"/>
        </w:rPr>
        <w:t>Note –  PMF damages are an extrapolation of the 1% AEP data, i.e., they were not calculated using PMF flood levels</w:t>
      </w:r>
    </w:p>
    <w:p w:rsidR="00D57D13" w:rsidRPr="00D33B70" w:rsidRDefault="00D57D13" w:rsidP="00D57D13">
      <w:pPr>
        <w:pStyle w:val="Caption"/>
        <w:numPr>
          <w:ilvl w:val="12"/>
          <w:numId w:val="0"/>
        </w:numPr>
        <w:ind w:left="851"/>
      </w:pPr>
      <w:bookmarkStart w:id="387" w:name="_Ref233450999"/>
      <w:bookmarkStart w:id="388" w:name="_Toc236553394"/>
      <w:bookmarkStart w:id="389" w:name="_Toc280014018"/>
      <w:bookmarkStart w:id="390" w:name="_Toc295475242"/>
      <w:bookmarkStart w:id="391" w:name="_Toc295914241"/>
      <w:bookmarkStart w:id="392" w:name="_Ref185912315"/>
      <w:bookmarkStart w:id="393" w:name="_Toc231362352"/>
      <w:bookmarkStart w:id="394" w:name="_Toc387308996"/>
      <w:bookmarkEnd w:id="385"/>
      <w:r w:rsidRPr="00D33B70">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8</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6</w:t>
      </w:r>
      <w:r w:rsidR="00FF3C04" w:rsidRPr="00D33B70">
        <w:fldChar w:fldCharType="end"/>
      </w:r>
      <w:bookmarkEnd w:id="387"/>
      <w:r w:rsidRPr="00D33B70">
        <w:tab/>
        <w:t>Scheme Two Capital Costs</w:t>
      </w:r>
      <w:bookmarkEnd w:id="388"/>
      <w:bookmarkEnd w:id="389"/>
      <w:bookmarkEnd w:id="390"/>
      <w:bookmarkEnd w:id="391"/>
      <w:bookmarkEnd w:id="394"/>
    </w:p>
    <w:tbl>
      <w:tblPr>
        <w:tblW w:w="5200" w:type="dxa"/>
        <w:jc w:val="center"/>
        <w:tblInd w:w="95" w:type="dxa"/>
        <w:tblLook w:val="04A0" w:firstRow="1" w:lastRow="0" w:firstColumn="1" w:lastColumn="0" w:noHBand="0" w:noVBand="1"/>
      </w:tblPr>
      <w:tblGrid>
        <w:gridCol w:w="2600"/>
        <w:gridCol w:w="2600"/>
      </w:tblGrid>
      <w:tr w:rsidR="00D57D13" w:rsidRPr="00D33B70" w:rsidTr="00CC5D90">
        <w:trPr>
          <w:trHeight w:val="315"/>
          <w:jc w:val="center"/>
        </w:trPr>
        <w:tc>
          <w:tcPr>
            <w:tcW w:w="2600" w:type="dxa"/>
            <w:tcBorders>
              <w:top w:val="single" w:sz="4" w:space="0" w:color="auto"/>
              <w:left w:val="single" w:sz="4" w:space="0" w:color="auto"/>
              <w:bottom w:val="single" w:sz="4" w:space="0" w:color="auto"/>
              <w:right w:val="single" w:sz="4" w:space="0" w:color="auto"/>
            </w:tcBorders>
            <w:shd w:val="pct10" w:color="000000" w:fill="auto"/>
            <w:vAlign w:val="center"/>
            <w:hideMark/>
          </w:tcPr>
          <w:p w:rsidR="00D57D13" w:rsidRPr="00D33B70" w:rsidRDefault="00D57D13" w:rsidP="009B39B1">
            <w:pPr>
              <w:overflowPunct/>
              <w:autoSpaceDE/>
              <w:autoSpaceDN/>
              <w:adjustRightInd/>
              <w:jc w:val="left"/>
              <w:textAlignment w:val="auto"/>
              <w:rPr>
                <w:rFonts w:cs="Arial"/>
                <w:b/>
                <w:bCs/>
                <w:color w:val="000000"/>
                <w:lang w:eastAsia="en-AU"/>
              </w:rPr>
            </w:pPr>
            <w:bookmarkStart w:id="395" w:name="_Ref233451019"/>
            <w:bookmarkStart w:id="396" w:name="_Toc236553395"/>
            <w:bookmarkStart w:id="397" w:name="_Toc280014019"/>
            <w:r w:rsidRPr="00D33B70">
              <w:rPr>
                <w:rFonts w:cs="Arial"/>
                <w:b/>
                <w:bCs/>
                <w:color w:val="000000"/>
                <w:lang w:eastAsia="en-AU"/>
              </w:rPr>
              <w:t>Item</w:t>
            </w:r>
          </w:p>
        </w:tc>
        <w:tc>
          <w:tcPr>
            <w:tcW w:w="2600" w:type="dxa"/>
            <w:tcBorders>
              <w:top w:val="single" w:sz="4" w:space="0" w:color="auto"/>
              <w:left w:val="nil"/>
              <w:bottom w:val="single" w:sz="4" w:space="0" w:color="auto"/>
              <w:right w:val="single" w:sz="4" w:space="0" w:color="auto"/>
            </w:tcBorders>
            <w:shd w:val="pct10" w:color="000000" w:fill="auto"/>
            <w:vAlign w:val="center"/>
            <w:hideMark/>
          </w:tcPr>
          <w:p w:rsidR="00D57D13" w:rsidRPr="00D33B70" w:rsidRDefault="00D57D13" w:rsidP="00CC5D90">
            <w:pPr>
              <w:overflowPunct/>
              <w:autoSpaceDE/>
              <w:autoSpaceDN/>
              <w:adjustRightInd/>
              <w:jc w:val="center"/>
              <w:textAlignment w:val="auto"/>
              <w:rPr>
                <w:rFonts w:cs="Arial"/>
                <w:b/>
                <w:bCs/>
                <w:color w:val="000000"/>
                <w:lang w:eastAsia="en-AU"/>
              </w:rPr>
            </w:pPr>
            <w:r w:rsidRPr="00D33B70">
              <w:rPr>
                <w:rFonts w:cs="Arial"/>
                <w:b/>
                <w:bCs/>
                <w:color w:val="000000"/>
                <w:lang w:eastAsia="en-AU"/>
              </w:rPr>
              <w:t>Capital Cost</w:t>
            </w:r>
          </w:p>
        </w:tc>
      </w:tr>
      <w:tr w:rsidR="00777446" w:rsidRPr="00D33B70" w:rsidTr="00CC5D90">
        <w:trPr>
          <w:trHeight w:val="315"/>
          <w:jc w:val="center"/>
        </w:trPr>
        <w:tc>
          <w:tcPr>
            <w:tcW w:w="2600" w:type="dxa"/>
            <w:tcBorders>
              <w:top w:val="nil"/>
              <w:left w:val="single" w:sz="4" w:space="0" w:color="auto"/>
              <w:bottom w:val="single" w:sz="4" w:space="0" w:color="auto"/>
              <w:right w:val="single" w:sz="4" w:space="0" w:color="auto"/>
            </w:tcBorders>
            <w:shd w:val="clear" w:color="auto" w:fill="auto"/>
            <w:hideMark/>
          </w:tcPr>
          <w:p w:rsidR="00777446" w:rsidRPr="00D33B70" w:rsidRDefault="00777446" w:rsidP="009B39B1">
            <w:pPr>
              <w:numPr>
                <w:ilvl w:val="12"/>
                <w:numId w:val="0"/>
              </w:numPr>
              <w:spacing w:before="60" w:after="60"/>
              <w:jc w:val="left"/>
              <w:rPr>
                <w:color w:val="000000"/>
              </w:rPr>
            </w:pPr>
            <w:r w:rsidRPr="00D33B70">
              <w:rPr>
                <w:color w:val="000000"/>
              </w:rPr>
              <w:t>Pipe Works</w:t>
            </w:r>
          </w:p>
        </w:tc>
        <w:tc>
          <w:tcPr>
            <w:tcW w:w="2600" w:type="dxa"/>
            <w:tcBorders>
              <w:top w:val="nil"/>
              <w:left w:val="nil"/>
              <w:bottom w:val="single" w:sz="4" w:space="0" w:color="auto"/>
              <w:right w:val="single" w:sz="4" w:space="0" w:color="auto"/>
            </w:tcBorders>
            <w:shd w:val="clear" w:color="auto" w:fill="auto"/>
            <w:hideMark/>
          </w:tcPr>
          <w:p w:rsidR="00777446" w:rsidRPr="00D33B70" w:rsidRDefault="00777446" w:rsidP="003F5B42">
            <w:pPr>
              <w:numPr>
                <w:ilvl w:val="12"/>
                <w:numId w:val="0"/>
              </w:numPr>
              <w:spacing w:before="60" w:after="60"/>
              <w:jc w:val="center"/>
              <w:rPr>
                <w:color w:val="000000"/>
              </w:rPr>
            </w:pPr>
            <w:r w:rsidRPr="00D33B70">
              <w:rPr>
                <w:color w:val="000000"/>
              </w:rPr>
              <w:t>$14,654,000</w:t>
            </w:r>
          </w:p>
        </w:tc>
      </w:tr>
      <w:tr w:rsidR="00777446" w:rsidRPr="00D33B70" w:rsidTr="00CC5D90">
        <w:trPr>
          <w:trHeight w:val="315"/>
          <w:jc w:val="center"/>
        </w:trPr>
        <w:tc>
          <w:tcPr>
            <w:tcW w:w="2600" w:type="dxa"/>
            <w:tcBorders>
              <w:top w:val="nil"/>
              <w:left w:val="single" w:sz="4" w:space="0" w:color="auto"/>
              <w:bottom w:val="single" w:sz="4" w:space="0" w:color="auto"/>
              <w:right w:val="single" w:sz="4" w:space="0" w:color="auto"/>
            </w:tcBorders>
            <w:shd w:val="clear" w:color="auto" w:fill="auto"/>
            <w:hideMark/>
          </w:tcPr>
          <w:p w:rsidR="00777446" w:rsidRPr="00D33B70" w:rsidRDefault="00777446" w:rsidP="009B39B1">
            <w:pPr>
              <w:numPr>
                <w:ilvl w:val="12"/>
                <w:numId w:val="0"/>
              </w:numPr>
              <w:spacing w:before="60" w:after="60"/>
              <w:jc w:val="left"/>
              <w:rPr>
                <w:color w:val="000000"/>
              </w:rPr>
            </w:pPr>
            <w:r w:rsidRPr="00D33B70">
              <w:rPr>
                <w:color w:val="000000"/>
              </w:rPr>
              <w:t>Contingencies (20%)</w:t>
            </w:r>
          </w:p>
        </w:tc>
        <w:tc>
          <w:tcPr>
            <w:tcW w:w="2600" w:type="dxa"/>
            <w:tcBorders>
              <w:top w:val="nil"/>
              <w:left w:val="nil"/>
              <w:bottom w:val="single" w:sz="4" w:space="0" w:color="auto"/>
              <w:right w:val="single" w:sz="4" w:space="0" w:color="auto"/>
            </w:tcBorders>
            <w:shd w:val="clear" w:color="auto" w:fill="auto"/>
            <w:hideMark/>
          </w:tcPr>
          <w:p w:rsidR="00777446" w:rsidRPr="00D33B70" w:rsidRDefault="00777446" w:rsidP="003F5B42">
            <w:pPr>
              <w:numPr>
                <w:ilvl w:val="12"/>
                <w:numId w:val="0"/>
              </w:numPr>
              <w:spacing w:before="60" w:after="60"/>
              <w:jc w:val="center"/>
              <w:rPr>
                <w:color w:val="000000"/>
              </w:rPr>
            </w:pPr>
            <w:r w:rsidRPr="00D33B70">
              <w:rPr>
                <w:color w:val="000000"/>
              </w:rPr>
              <w:t>$2,931,000</w:t>
            </w:r>
          </w:p>
        </w:tc>
      </w:tr>
      <w:tr w:rsidR="00777446" w:rsidRPr="00D33B70" w:rsidTr="00CC5D90">
        <w:trPr>
          <w:trHeight w:val="315"/>
          <w:jc w:val="center"/>
        </w:trPr>
        <w:tc>
          <w:tcPr>
            <w:tcW w:w="2600" w:type="dxa"/>
            <w:tcBorders>
              <w:top w:val="nil"/>
              <w:left w:val="single" w:sz="4" w:space="0" w:color="auto"/>
              <w:bottom w:val="single" w:sz="4" w:space="0" w:color="auto"/>
              <w:right w:val="single" w:sz="4" w:space="0" w:color="auto"/>
            </w:tcBorders>
            <w:shd w:val="clear" w:color="auto" w:fill="auto"/>
            <w:hideMark/>
          </w:tcPr>
          <w:p w:rsidR="00777446" w:rsidRPr="00D33B70" w:rsidRDefault="00777446" w:rsidP="009B39B1">
            <w:pPr>
              <w:numPr>
                <w:ilvl w:val="12"/>
                <w:numId w:val="0"/>
              </w:numPr>
              <w:spacing w:before="60" w:after="60"/>
              <w:jc w:val="left"/>
              <w:rPr>
                <w:color w:val="000000"/>
              </w:rPr>
            </w:pPr>
            <w:r w:rsidRPr="00D33B70">
              <w:rPr>
                <w:color w:val="000000"/>
              </w:rPr>
              <w:t>Engineering (10%)</w:t>
            </w:r>
          </w:p>
        </w:tc>
        <w:tc>
          <w:tcPr>
            <w:tcW w:w="2600" w:type="dxa"/>
            <w:tcBorders>
              <w:top w:val="nil"/>
              <w:left w:val="nil"/>
              <w:bottom w:val="single" w:sz="4" w:space="0" w:color="auto"/>
              <w:right w:val="single" w:sz="4" w:space="0" w:color="auto"/>
            </w:tcBorders>
            <w:shd w:val="clear" w:color="auto" w:fill="auto"/>
            <w:hideMark/>
          </w:tcPr>
          <w:p w:rsidR="00777446" w:rsidRPr="00D33B70" w:rsidRDefault="00777446" w:rsidP="003F5B42">
            <w:pPr>
              <w:numPr>
                <w:ilvl w:val="12"/>
                <w:numId w:val="0"/>
              </w:numPr>
              <w:spacing w:before="60" w:after="60"/>
              <w:jc w:val="center"/>
              <w:rPr>
                <w:color w:val="000000"/>
              </w:rPr>
            </w:pPr>
            <w:r w:rsidRPr="00D33B70">
              <w:rPr>
                <w:color w:val="000000"/>
              </w:rPr>
              <w:t>$2,198,000</w:t>
            </w:r>
          </w:p>
        </w:tc>
      </w:tr>
      <w:tr w:rsidR="00777446" w:rsidRPr="00D33B70" w:rsidTr="00CC5D90">
        <w:trPr>
          <w:trHeight w:val="315"/>
          <w:jc w:val="center"/>
        </w:trPr>
        <w:tc>
          <w:tcPr>
            <w:tcW w:w="2600" w:type="dxa"/>
            <w:tcBorders>
              <w:top w:val="nil"/>
              <w:left w:val="single" w:sz="4" w:space="0" w:color="auto"/>
              <w:bottom w:val="single" w:sz="4" w:space="0" w:color="auto"/>
              <w:right w:val="single" w:sz="4" w:space="0" w:color="auto"/>
            </w:tcBorders>
            <w:shd w:val="clear" w:color="auto" w:fill="auto"/>
            <w:hideMark/>
          </w:tcPr>
          <w:p w:rsidR="00777446" w:rsidRPr="00D33B70" w:rsidRDefault="00777446" w:rsidP="009B39B1">
            <w:pPr>
              <w:numPr>
                <w:ilvl w:val="12"/>
                <w:numId w:val="0"/>
              </w:numPr>
              <w:spacing w:before="60" w:after="60"/>
              <w:jc w:val="left"/>
              <w:rPr>
                <w:color w:val="000000"/>
              </w:rPr>
            </w:pPr>
            <w:r w:rsidRPr="00D33B70">
              <w:rPr>
                <w:color w:val="000000"/>
              </w:rPr>
              <w:t>Administration (9%)</w:t>
            </w:r>
          </w:p>
        </w:tc>
        <w:tc>
          <w:tcPr>
            <w:tcW w:w="2600" w:type="dxa"/>
            <w:tcBorders>
              <w:top w:val="nil"/>
              <w:left w:val="nil"/>
              <w:bottom w:val="single" w:sz="4" w:space="0" w:color="auto"/>
              <w:right w:val="single" w:sz="4" w:space="0" w:color="auto"/>
            </w:tcBorders>
            <w:shd w:val="clear" w:color="auto" w:fill="auto"/>
            <w:hideMark/>
          </w:tcPr>
          <w:p w:rsidR="00777446" w:rsidRPr="00D33B70" w:rsidRDefault="00777446" w:rsidP="003F5B42">
            <w:pPr>
              <w:numPr>
                <w:ilvl w:val="12"/>
                <w:numId w:val="0"/>
              </w:numPr>
              <w:spacing w:before="60" w:after="60"/>
              <w:jc w:val="center"/>
              <w:rPr>
                <w:color w:val="000000"/>
              </w:rPr>
            </w:pPr>
            <w:r w:rsidRPr="00D33B70">
              <w:rPr>
                <w:color w:val="000000"/>
              </w:rPr>
              <w:t>$1,319,000</w:t>
            </w:r>
          </w:p>
        </w:tc>
      </w:tr>
      <w:tr w:rsidR="00777446" w:rsidRPr="00D33B70" w:rsidTr="00CC5D90">
        <w:trPr>
          <w:trHeight w:val="315"/>
          <w:jc w:val="center"/>
        </w:trPr>
        <w:tc>
          <w:tcPr>
            <w:tcW w:w="2600" w:type="dxa"/>
            <w:tcBorders>
              <w:top w:val="single" w:sz="4" w:space="0" w:color="auto"/>
              <w:left w:val="single" w:sz="4" w:space="0" w:color="auto"/>
              <w:bottom w:val="single" w:sz="4" w:space="0" w:color="auto"/>
              <w:right w:val="single" w:sz="4" w:space="0" w:color="auto"/>
            </w:tcBorders>
            <w:shd w:val="pct10" w:color="000000" w:fill="auto"/>
            <w:vAlign w:val="center"/>
            <w:hideMark/>
          </w:tcPr>
          <w:p w:rsidR="00777446" w:rsidRPr="00D33B70" w:rsidRDefault="00777446" w:rsidP="009B39B1">
            <w:pPr>
              <w:overflowPunct/>
              <w:autoSpaceDE/>
              <w:autoSpaceDN/>
              <w:adjustRightInd/>
              <w:jc w:val="left"/>
              <w:textAlignment w:val="auto"/>
              <w:rPr>
                <w:rFonts w:cs="Arial"/>
                <w:b/>
                <w:bCs/>
                <w:color w:val="000000"/>
                <w:lang w:eastAsia="en-AU"/>
              </w:rPr>
            </w:pPr>
            <w:r w:rsidRPr="00D33B70">
              <w:rPr>
                <w:rFonts w:cs="Arial"/>
                <w:b/>
                <w:bCs/>
                <w:color w:val="000000"/>
                <w:lang w:eastAsia="en-AU"/>
              </w:rPr>
              <w:t>Total</w:t>
            </w:r>
          </w:p>
        </w:tc>
        <w:tc>
          <w:tcPr>
            <w:tcW w:w="2600" w:type="dxa"/>
            <w:tcBorders>
              <w:top w:val="single" w:sz="4" w:space="0" w:color="auto"/>
              <w:left w:val="nil"/>
              <w:bottom w:val="single" w:sz="4" w:space="0" w:color="auto"/>
              <w:right w:val="single" w:sz="4" w:space="0" w:color="auto"/>
            </w:tcBorders>
            <w:shd w:val="pct10" w:color="000000" w:fill="auto"/>
            <w:vAlign w:val="center"/>
            <w:hideMark/>
          </w:tcPr>
          <w:p w:rsidR="00777446" w:rsidRPr="00D33B70" w:rsidRDefault="00777446" w:rsidP="003F5B42">
            <w:pPr>
              <w:overflowPunct/>
              <w:autoSpaceDE/>
              <w:autoSpaceDN/>
              <w:adjustRightInd/>
              <w:jc w:val="center"/>
              <w:textAlignment w:val="auto"/>
              <w:rPr>
                <w:rFonts w:cs="Arial"/>
                <w:b/>
                <w:bCs/>
                <w:color w:val="000000"/>
                <w:lang w:eastAsia="en-AU"/>
              </w:rPr>
            </w:pPr>
            <w:r w:rsidRPr="00D33B70">
              <w:rPr>
                <w:rFonts w:cs="Arial"/>
                <w:b/>
                <w:bCs/>
                <w:color w:val="000000"/>
                <w:lang w:eastAsia="en-AU"/>
              </w:rPr>
              <w:t>$21,102,000</w:t>
            </w:r>
          </w:p>
        </w:tc>
      </w:tr>
    </w:tbl>
    <w:p w:rsidR="00D57D13" w:rsidRPr="00D33B70" w:rsidRDefault="00D57D13" w:rsidP="00D57D13">
      <w:pPr>
        <w:pStyle w:val="Text"/>
        <w:spacing w:before="0" w:line="240" w:lineRule="auto"/>
        <w:rPr>
          <w:sz w:val="2"/>
          <w:szCs w:val="2"/>
        </w:rPr>
      </w:pPr>
      <w:bookmarkStart w:id="398" w:name="_Toc295475243"/>
      <w:bookmarkStart w:id="399" w:name="_Toc295914242"/>
    </w:p>
    <w:p w:rsidR="00D57D13" w:rsidRPr="00D33B70" w:rsidRDefault="00D57D13" w:rsidP="00D57D13">
      <w:pPr>
        <w:pStyle w:val="Caption"/>
        <w:numPr>
          <w:ilvl w:val="12"/>
          <w:numId w:val="0"/>
        </w:numPr>
        <w:ind w:left="851"/>
      </w:pPr>
      <w:bookmarkStart w:id="400" w:name="_Ref296069169"/>
      <w:bookmarkStart w:id="401" w:name="_Toc387308997"/>
      <w:r w:rsidRPr="00D33B70">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8</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7</w:t>
      </w:r>
      <w:r w:rsidR="00FF3C04" w:rsidRPr="00D33B70">
        <w:fldChar w:fldCharType="end"/>
      </w:r>
      <w:bookmarkEnd w:id="395"/>
      <w:bookmarkEnd w:id="400"/>
      <w:r w:rsidRPr="00D33B70">
        <w:tab/>
        <w:t>Scheme Two BCR Summary</w:t>
      </w:r>
      <w:bookmarkEnd w:id="396"/>
      <w:bookmarkEnd w:id="397"/>
      <w:bookmarkEnd w:id="398"/>
      <w:bookmarkEnd w:id="399"/>
      <w:bookmarkEnd w:id="401"/>
    </w:p>
    <w:tbl>
      <w:tblPr>
        <w:tblW w:w="0" w:type="auto"/>
        <w:tblInd w:w="964" w:type="dxa"/>
        <w:tblLayout w:type="fixed"/>
        <w:tblCellMar>
          <w:left w:w="30" w:type="dxa"/>
          <w:right w:w="30" w:type="dxa"/>
        </w:tblCellMar>
        <w:tblLook w:val="0000" w:firstRow="0" w:lastRow="0" w:firstColumn="0" w:lastColumn="0" w:noHBand="0" w:noVBand="0"/>
      </w:tblPr>
      <w:tblGrid>
        <w:gridCol w:w="2468"/>
        <w:gridCol w:w="1843"/>
        <w:gridCol w:w="4477"/>
      </w:tblGrid>
      <w:tr w:rsidR="00D57D13" w:rsidRPr="00D33B70" w:rsidTr="00CC5D90">
        <w:trPr>
          <w:trHeight w:val="247"/>
        </w:trPr>
        <w:tc>
          <w:tcPr>
            <w:tcW w:w="2468" w:type="dxa"/>
            <w:tcBorders>
              <w:top w:val="single" w:sz="6" w:space="0" w:color="auto"/>
              <w:left w:val="single" w:sz="6" w:space="0" w:color="auto"/>
              <w:bottom w:val="single" w:sz="6" w:space="0" w:color="auto"/>
              <w:right w:val="single" w:sz="6" w:space="0" w:color="auto"/>
            </w:tcBorders>
            <w:shd w:val="pct10" w:color="auto" w:fill="auto"/>
            <w:tcMar>
              <w:left w:w="113" w:type="dxa"/>
              <w:right w:w="113" w:type="dxa"/>
            </w:tcMar>
          </w:tcPr>
          <w:bookmarkEnd w:id="386"/>
          <w:bookmarkEnd w:id="392"/>
          <w:bookmarkEnd w:id="393"/>
          <w:p w:rsidR="00D57D13" w:rsidRPr="00D33B70" w:rsidRDefault="00D57D13" w:rsidP="00CC5D90">
            <w:pPr>
              <w:numPr>
                <w:ilvl w:val="12"/>
                <w:numId w:val="0"/>
              </w:numPr>
              <w:spacing w:before="60" w:after="60"/>
              <w:jc w:val="left"/>
              <w:rPr>
                <w:b/>
                <w:color w:val="000000"/>
                <w:spacing w:val="0"/>
              </w:rPr>
            </w:pPr>
            <w:r w:rsidRPr="00D33B70">
              <w:rPr>
                <w:b/>
                <w:color w:val="000000"/>
                <w:spacing w:val="0"/>
              </w:rPr>
              <w:t>Item</w:t>
            </w:r>
          </w:p>
        </w:tc>
        <w:tc>
          <w:tcPr>
            <w:tcW w:w="1843" w:type="dxa"/>
            <w:tcBorders>
              <w:top w:val="single" w:sz="6" w:space="0" w:color="auto"/>
              <w:left w:val="single" w:sz="6" w:space="0" w:color="auto"/>
              <w:bottom w:val="single" w:sz="6" w:space="0" w:color="auto"/>
              <w:right w:val="single" w:sz="6" w:space="0" w:color="000000"/>
            </w:tcBorders>
            <w:shd w:val="pct10" w:color="auto" w:fill="auto"/>
          </w:tcPr>
          <w:p w:rsidR="00D57D13" w:rsidRPr="00D33B70" w:rsidRDefault="00D57D13" w:rsidP="00CC5D90">
            <w:pPr>
              <w:numPr>
                <w:ilvl w:val="12"/>
                <w:numId w:val="0"/>
              </w:numPr>
              <w:spacing w:before="60" w:after="60"/>
              <w:jc w:val="center"/>
              <w:rPr>
                <w:b/>
                <w:color w:val="000000"/>
                <w:spacing w:val="0"/>
              </w:rPr>
            </w:pPr>
            <w:r w:rsidRPr="00D33B70">
              <w:rPr>
                <w:b/>
                <w:color w:val="000000"/>
                <w:spacing w:val="0"/>
              </w:rPr>
              <w:t>Existing</w:t>
            </w:r>
          </w:p>
        </w:tc>
        <w:tc>
          <w:tcPr>
            <w:tcW w:w="4477" w:type="dxa"/>
            <w:tcBorders>
              <w:top w:val="single" w:sz="6" w:space="0" w:color="auto"/>
              <w:left w:val="single" w:sz="6" w:space="0" w:color="000000"/>
              <w:bottom w:val="single" w:sz="6" w:space="0" w:color="auto"/>
              <w:right w:val="single" w:sz="6" w:space="0" w:color="auto"/>
            </w:tcBorders>
            <w:shd w:val="pct10" w:color="auto" w:fill="auto"/>
          </w:tcPr>
          <w:p w:rsidR="00D57D13" w:rsidRPr="00D33B70" w:rsidRDefault="00D57D13" w:rsidP="00CC5D90">
            <w:pPr>
              <w:numPr>
                <w:ilvl w:val="12"/>
                <w:numId w:val="0"/>
              </w:numPr>
              <w:spacing w:before="60" w:after="60"/>
              <w:jc w:val="center"/>
              <w:rPr>
                <w:b/>
                <w:color w:val="000000"/>
                <w:spacing w:val="0"/>
              </w:rPr>
            </w:pPr>
            <w:r w:rsidRPr="00D33B70">
              <w:rPr>
                <w:b/>
                <w:color w:val="000000"/>
                <w:spacing w:val="0"/>
              </w:rPr>
              <w:t>Scheme Two</w:t>
            </w:r>
          </w:p>
        </w:tc>
      </w:tr>
      <w:tr w:rsidR="00392841" w:rsidRPr="00D33B70" w:rsidTr="00CC5D90">
        <w:trPr>
          <w:trHeight w:val="247"/>
        </w:trPr>
        <w:tc>
          <w:tcPr>
            <w:tcW w:w="2468" w:type="dxa"/>
            <w:tcBorders>
              <w:top w:val="single" w:sz="6" w:space="0" w:color="auto"/>
              <w:left w:val="single" w:sz="6" w:space="0" w:color="auto"/>
              <w:bottom w:val="single" w:sz="6" w:space="0" w:color="auto"/>
              <w:right w:val="single" w:sz="6" w:space="0" w:color="auto"/>
            </w:tcBorders>
            <w:tcMar>
              <w:left w:w="113" w:type="dxa"/>
              <w:right w:w="113" w:type="dxa"/>
            </w:tcMar>
          </w:tcPr>
          <w:p w:rsidR="00392841" w:rsidRPr="00D33B70" w:rsidRDefault="00392841" w:rsidP="00CC5D90">
            <w:pPr>
              <w:numPr>
                <w:ilvl w:val="12"/>
                <w:numId w:val="0"/>
              </w:numPr>
              <w:spacing w:before="60" w:after="60"/>
              <w:jc w:val="left"/>
              <w:rPr>
                <w:color w:val="000000"/>
                <w:spacing w:val="0"/>
              </w:rPr>
            </w:pPr>
            <w:r w:rsidRPr="00D33B70">
              <w:rPr>
                <w:color w:val="000000"/>
                <w:spacing w:val="0"/>
              </w:rPr>
              <w:t>Damages (PA)</w:t>
            </w:r>
          </w:p>
        </w:tc>
        <w:tc>
          <w:tcPr>
            <w:tcW w:w="1843" w:type="dxa"/>
            <w:tcBorders>
              <w:top w:val="single" w:sz="6" w:space="0" w:color="auto"/>
              <w:left w:val="single" w:sz="6" w:space="0" w:color="auto"/>
              <w:bottom w:val="single" w:sz="6" w:space="0" w:color="auto"/>
              <w:right w:val="single" w:sz="6" w:space="0" w:color="auto"/>
            </w:tcBorders>
          </w:tcPr>
          <w:p w:rsidR="00392841" w:rsidRPr="00D33B70" w:rsidRDefault="00392841" w:rsidP="00CC5D90">
            <w:pPr>
              <w:numPr>
                <w:ilvl w:val="12"/>
                <w:numId w:val="0"/>
              </w:numPr>
              <w:spacing w:before="60" w:after="60"/>
              <w:jc w:val="center"/>
              <w:rPr>
                <w:color w:val="000000"/>
                <w:spacing w:val="0"/>
              </w:rPr>
            </w:pPr>
            <w:r w:rsidRPr="00D33B70">
              <w:rPr>
                <w:color w:val="000000"/>
                <w:spacing w:val="0"/>
              </w:rPr>
              <w:t>$389,000</w:t>
            </w:r>
          </w:p>
        </w:tc>
        <w:tc>
          <w:tcPr>
            <w:tcW w:w="4477" w:type="dxa"/>
            <w:tcBorders>
              <w:top w:val="single" w:sz="6" w:space="0" w:color="auto"/>
              <w:left w:val="single" w:sz="6" w:space="0" w:color="auto"/>
              <w:bottom w:val="single" w:sz="6" w:space="0" w:color="auto"/>
              <w:right w:val="single" w:sz="6" w:space="0" w:color="auto"/>
            </w:tcBorders>
            <w:vAlign w:val="bottom"/>
          </w:tcPr>
          <w:p w:rsidR="00392841" w:rsidRPr="00D33B70" w:rsidRDefault="00392841" w:rsidP="003F5B42">
            <w:pPr>
              <w:numPr>
                <w:ilvl w:val="12"/>
                <w:numId w:val="0"/>
              </w:numPr>
              <w:spacing w:before="60" w:after="60"/>
              <w:jc w:val="center"/>
              <w:rPr>
                <w:color w:val="000000"/>
                <w:spacing w:val="0"/>
              </w:rPr>
            </w:pPr>
            <w:r w:rsidRPr="00D33B70">
              <w:rPr>
                <w:color w:val="000000"/>
                <w:spacing w:val="0"/>
              </w:rPr>
              <w:t>$362,000</w:t>
            </w:r>
          </w:p>
        </w:tc>
      </w:tr>
      <w:tr w:rsidR="00392841" w:rsidRPr="00D33B70" w:rsidTr="00CC5D90">
        <w:trPr>
          <w:trHeight w:val="247"/>
        </w:trPr>
        <w:tc>
          <w:tcPr>
            <w:tcW w:w="2468" w:type="dxa"/>
            <w:tcBorders>
              <w:top w:val="single" w:sz="6" w:space="0" w:color="auto"/>
              <w:left w:val="single" w:sz="6" w:space="0" w:color="auto"/>
              <w:bottom w:val="single" w:sz="6" w:space="0" w:color="auto"/>
              <w:right w:val="single" w:sz="6" w:space="0" w:color="auto"/>
            </w:tcBorders>
            <w:tcMar>
              <w:left w:w="113" w:type="dxa"/>
              <w:right w:w="113" w:type="dxa"/>
            </w:tcMar>
          </w:tcPr>
          <w:p w:rsidR="00392841" w:rsidRPr="00D33B70" w:rsidRDefault="00392841" w:rsidP="00CC5D90">
            <w:pPr>
              <w:numPr>
                <w:ilvl w:val="12"/>
                <w:numId w:val="0"/>
              </w:numPr>
              <w:spacing w:before="60" w:after="60"/>
              <w:jc w:val="left"/>
              <w:rPr>
                <w:color w:val="000000"/>
                <w:spacing w:val="0"/>
              </w:rPr>
            </w:pPr>
            <w:r w:rsidRPr="00D33B70">
              <w:rPr>
                <w:color w:val="000000"/>
                <w:spacing w:val="0"/>
              </w:rPr>
              <w:t>Benefit (PA)</w:t>
            </w:r>
          </w:p>
        </w:tc>
        <w:tc>
          <w:tcPr>
            <w:tcW w:w="1843" w:type="dxa"/>
            <w:tcBorders>
              <w:top w:val="single" w:sz="6" w:space="0" w:color="auto"/>
              <w:left w:val="single" w:sz="6" w:space="0" w:color="auto"/>
              <w:bottom w:val="single" w:sz="6" w:space="0" w:color="auto"/>
              <w:right w:val="single" w:sz="6" w:space="0" w:color="auto"/>
            </w:tcBorders>
          </w:tcPr>
          <w:p w:rsidR="00392841" w:rsidRPr="00D33B70" w:rsidRDefault="00392841" w:rsidP="00CC5D90">
            <w:pPr>
              <w:numPr>
                <w:ilvl w:val="12"/>
                <w:numId w:val="0"/>
              </w:numPr>
              <w:spacing w:before="60" w:after="60"/>
              <w:jc w:val="center"/>
              <w:rPr>
                <w:color w:val="000000"/>
                <w:spacing w:val="0"/>
              </w:rPr>
            </w:pPr>
          </w:p>
        </w:tc>
        <w:tc>
          <w:tcPr>
            <w:tcW w:w="4477" w:type="dxa"/>
            <w:tcBorders>
              <w:top w:val="single" w:sz="6" w:space="0" w:color="auto"/>
              <w:left w:val="single" w:sz="6" w:space="0" w:color="auto"/>
              <w:bottom w:val="single" w:sz="6" w:space="0" w:color="auto"/>
              <w:right w:val="single" w:sz="6" w:space="0" w:color="auto"/>
            </w:tcBorders>
            <w:vAlign w:val="bottom"/>
          </w:tcPr>
          <w:p w:rsidR="00392841" w:rsidRPr="00D33B70" w:rsidRDefault="00392841" w:rsidP="003F5B42">
            <w:pPr>
              <w:numPr>
                <w:ilvl w:val="12"/>
                <w:numId w:val="0"/>
              </w:numPr>
              <w:spacing w:before="60" w:after="60"/>
              <w:jc w:val="center"/>
              <w:rPr>
                <w:color w:val="000000"/>
                <w:spacing w:val="0"/>
              </w:rPr>
            </w:pPr>
            <w:r w:rsidRPr="00D33B70">
              <w:rPr>
                <w:color w:val="000000"/>
                <w:spacing w:val="0"/>
              </w:rPr>
              <w:t>$27,000</w:t>
            </w:r>
          </w:p>
        </w:tc>
      </w:tr>
      <w:tr w:rsidR="00392841" w:rsidRPr="00D33B70" w:rsidTr="00CC5D90">
        <w:trPr>
          <w:trHeight w:val="247"/>
        </w:trPr>
        <w:tc>
          <w:tcPr>
            <w:tcW w:w="2468" w:type="dxa"/>
            <w:tcBorders>
              <w:top w:val="single" w:sz="6" w:space="0" w:color="auto"/>
              <w:left w:val="single" w:sz="6" w:space="0" w:color="auto"/>
              <w:bottom w:val="single" w:sz="6" w:space="0" w:color="auto"/>
              <w:right w:val="single" w:sz="6" w:space="0" w:color="auto"/>
            </w:tcBorders>
            <w:tcMar>
              <w:left w:w="113" w:type="dxa"/>
              <w:right w:w="113" w:type="dxa"/>
            </w:tcMar>
          </w:tcPr>
          <w:p w:rsidR="00392841" w:rsidRPr="00D33B70" w:rsidRDefault="00392841" w:rsidP="00CC5D90">
            <w:pPr>
              <w:numPr>
                <w:ilvl w:val="12"/>
                <w:numId w:val="0"/>
              </w:numPr>
              <w:spacing w:before="60" w:after="60"/>
              <w:jc w:val="left"/>
              <w:rPr>
                <w:color w:val="000000"/>
                <w:spacing w:val="0"/>
              </w:rPr>
            </w:pPr>
            <w:r w:rsidRPr="00D33B70">
              <w:rPr>
                <w:color w:val="000000"/>
                <w:spacing w:val="0"/>
              </w:rPr>
              <w:t>Benefit (NPV)</w:t>
            </w:r>
          </w:p>
        </w:tc>
        <w:tc>
          <w:tcPr>
            <w:tcW w:w="1843" w:type="dxa"/>
            <w:tcBorders>
              <w:top w:val="single" w:sz="6" w:space="0" w:color="auto"/>
              <w:left w:val="single" w:sz="6" w:space="0" w:color="auto"/>
              <w:bottom w:val="single" w:sz="6" w:space="0" w:color="auto"/>
              <w:right w:val="single" w:sz="6" w:space="0" w:color="auto"/>
            </w:tcBorders>
          </w:tcPr>
          <w:p w:rsidR="00392841" w:rsidRPr="00D33B70" w:rsidRDefault="00392841" w:rsidP="00CC5D90">
            <w:pPr>
              <w:numPr>
                <w:ilvl w:val="12"/>
                <w:numId w:val="0"/>
              </w:numPr>
              <w:spacing w:before="60" w:after="60"/>
              <w:jc w:val="center"/>
              <w:rPr>
                <w:color w:val="000000"/>
                <w:spacing w:val="0"/>
              </w:rPr>
            </w:pPr>
          </w:p>
        </w:tc>
        <w:tc>
          <w:tcPr>
            <w:tcW w:w="4477" w:type="dxa"/>
            <w:tcBorders>
              <w:top w:val="single" w:sz="6" w:space="0" w:color="auto"/>
              <w:left w:val="single" w:sz="6" w:space="0" w:color="auto"/>
              <w:bottom w:val="single" w:sz="6" w:space="0" w:color="auto"/>
              <w:right w:val="single" w:sz="6" w:space="0" w:color="auto"/>
            </w:tcBorders>
            <w:vAlign w:val="bottom"/>
          </w:tcPr>
          <w:p w:rsidR="00392841" w:rsidRPr="00D33B70" w:rsidRDefault="00392841" w:rsidP="003F5B42">
            <w:pPr>
              <w:numPr>
                <w:ilvl w:val="12"/>
                <w:numId w:val="0"/>
              </w:numPr>
              <w:spacing w:before="60" w:after="60"/>
              <w:jc w:val="center"/>
              <w:rPr>
                <w:color w:val="000000"/>
                <w:spacing w:val="0"/>
              </w:rPr>
            </w:pPr>
            <w:r w:rsidRPr="00D33B70">
              <w:rPr>
                <w:color w:val="000000"/>
                <w:spacing w:val="0"/>
              </w:rPr>
              <w:t>$335,000</w:t>
            </w:r>
          </w:p>
        </w:tc>
      </w:tr>
      <w:tr w:rsidR="00392841" w:rsidRPr="00D33B70" w:rsidTr="00CC5D90">
        <w:trPr>
          <w:trHeight w:val="247"/>
        </w:trPr>
        <w:tc>
          <w:tcPr>
            <w:tcW w:w="2468" w:type="dxa"/>
            <w:tcBorders>
              <w:top w:val="single" w:sz="6" w:space="0" w:color="auto"/>
              <w:left w:val="single" w:sz="6" w:space="0" w:color="auto"/>
              <w:bottom w:val="single" w:sz="6" w:space="0" w:color="auto"/>
              <w:right w:val="single" w:sz="6" w:space="0" w:color="auto"/>
            </w:tcBorders>
            <w:tcMar>
              <w:left w:w="113" w:type="dxa"/>
              <w:right w:w="113" w:type="dxa"/>
            </w:tcMar>
          </w:tcPr>
          <w:p w:rsidR="00392841" w:rsidRPr="00D33B70" w:rsidRDefault="00392841" w:rsidP="00CC5D90">
            <w:pPr>
              <w:numPr>
                <w:ilvl w:val="12"/>
                <w:numId w:val="0"/>
              </w:numPr>
              <w:spacing w:before="60" w:after="60"/>
              <w:jc w:val="left"/>
              <w:rPr>
                <w:color w:val="000000"/>
                <w:spacing w:val="0"/>
              </w:rPr>
            </w:pPr>
            <w:r w:rsidRPr="00D33B70">
              <w:rPr>
                <w:color w:val="000000"/>
                <w:spacing w:val="0"/>
              </w:rPr>
              <w:t>Capital Cost</w:t>
            </w:r>
          </w:p>
        </w:tc>
        <w:tc>
          <w:tcPr>
            <w:tcW w:w="1843" w:type="dxa"/>
            <w:tcBorders>
              <w:top w:val="single" w:sz="6" w:space="0" w:color="auto"/>
              <w:left w:val="single" w:sz="6" w:space="0" w:color="auto"/>
              <w:bottom w:val="single" w:sz="6" w:space="0" w:color="auto"/>
              <w:right w:val="single" w:sz="6" w:space="0" w:color="auto"/>
            </w:tcBorders>
          </w:tcPr>
          <w:p w:rsidR="00392841" w:rsidRPr="00D33B70" w:rsidRDefault="00392841" w:rsidP="00CC5D90">
            <w:pPr>
              <w:numPr>
                <w:ilvl w:val="12"/>
                <w:numId w:val="0"/>
              </w:numPr>
              <w:spacing w:before="60" w:after="60"/>
              <w:jc w:val="center"/>
              <w:rPr>
                <w:color w:val="000000"/>
                <w:spacing w:val="0"/>
              </w:rPr>
            </w:pPr>
          </w:p>
        </w:tc>
        <w:tc>
          <w:tcPr>
            <w:tcW w:w="4477" w:type="dxa"/>
            <w:tcBorders>
              <w:top w:val="single" w:sz="6" w:space="0" w:color="auto"/>
              <w:left w:val="single" w:sz="6" w:space="0" w:color="auto"/>
              <w:bottom w:val="single" w:sz="6" w:space="0" w:color="auto"/>
              <w:right w:val="single" w:sz="6" w:space="0" w:color="auto"/>
            </w:tcBorders>
            <w:vAlign w:val="bottom"/>
          </w:tcPr>
          <w:p w:rsidR="00392841" w:rsidRPr="00D33B70" w:rsidRDefault="00392841" w:rsidP="003F5B42">
            <w:pPr>
              <w:numPr>
                <w:ilvl w:val="12"/>
                <w:numId w:val="0"/>
              </w:numPr>
              <w:spacing w:before="60" w:after="60"/>
              <w:jc w:val="center"/>
              <w:rPr>
                <w:color w:val="000000"/>
                <w:spacing w:val="0"/>
              </w:rPr>
            </w:pPr>
            <w:r w:rsidRPr="00D33B70">
              <w:rPr>
                <w:color w:val="000000"/>
                <w:spacing w:val="0"/>
              </w:rPr>
              <w:t>$21,102,000</w:t>
            </w:r>
          </w:p>
        </w:tc>
      </w:tr>
      <w:tr w:rsidR="00392841" w:rsidRPr="00D33B70" w:rsidTr="00CC5D90">
        <w:trPr>
          <w:trHeight w:val="247"/>
        </w:trPr>
        <w:tc>
          <w:tcPr>
            <w:tcW w:w="2468" w:type="dxa"/>
            <w:tcBorders>
              <w:top w:val="single" w:sz="6" w:space="0" w:color="auto"/>
              <w:left w:val="single" w:sz="6" w:space="0" w:color="auto"/>
              <w:bottom w:val="single" w:sz="6" w:space="0" w:color="auto"/>
              <w:right w:val="single" w:sz="6" w:space="0" w:color="auto"/>
            </w:tcBorders>
            <w:tcMar>
              <w:left w:w="113" w:type="dxa"/>
              <w:right w:w="113" w:type="dxa"/>
            </w:tcMar>
          </w:tcPr>
          <w:p w:rsidR="00392841" w:rsidRPr="00D33B70" w:rsidRDefault="00392841" w:rsidP="00CC5D90">
            <w:pPr>
              <w:numPr>
                <w:ilvl w:val="12"/>
                <w:numId w:val="0"/>
              </w:numPr>
              <w:spacing w:before="60" w:after="60"/>
              <w:jc w:val="left"/>
              <w:rPr>
                <w:color w:val="000000"/>
                <w:spacing w:val="0"/>
                <w:vertAlign w:val="superscript"/>
              </w:rPr>
            </w:pPr>
            <w:r w:rsidRPr="00D33B70">
              <w:rPr>
                <w:color w:val="000000"/>
                <w:spacing w:val="0"/>
              </w:rPr>
              <w:t>Maintenance (PA)</w:t>
            </w:r>
          </w:p>
        </w:tc>
        <w:tc>
          <w:tcPr>
            <w:tcW w:w="1843" w:type="dxa"/>
            <w:tcBorders>
              <w:top w:val="single" w:sz="6" w:space="0" w:color="auto"/>
              <w:left w:val="single" w:sz="6" w:space="0" w:color="auto"/>
              <w:bottom w:val="single" w:sz="6" w:space="0" w:color="auto"/>
              <w:right w:val="single" w:sz="6" w:space="0" w:color="auto"/>
            </w:tcBorders>
          </w:tcPr>
          <w:p w:rsidR="00392841" w:rsidRPr="00D33B70" w:rsidRDefault="00392841" w:rsidP="00CC5D90">
            <w:pPr>
              <w:numPr>
                <w:ilvl w:val="12"/>
                <w:numId w:val="0"/>
              </w:numPr>
              <w:spacing w:before="60" w:after="60"/>
              <w:jc w:val="center"/>
              <w:rPr>
                <w:color w:val="000000"/>
                <w:spacing w:val="0"/>
              </w:rPr>
            </w:pPr>
          </w:p>
        </w:tc>
        <w:tc>
          <w:tcPr>
            <w:tcW w:w="4477" w:type="dxa"/>
            <w:tcBorders>
              <w:top w:val="single" w:sz="6" w:space="0" w:color="auto"/>
              <w:left w:val="single" w:sz="6" w:space="0" w:color="auto"/>
              <w:bottom w:val="single" w:sz="6" w:space="0" w:color="auto"/>
              <w:right w:val="single" w:sz="6" w:space="0" w:color="auto"/>
            </w:tcBorders>
            <w:vAlign w:val="bottom"/>
          </w:tcPr>
          <w:p w:rsidR="00392841" w:rsidRPr="00D33B70" w:rsidRDefault="00392841" w:rsidP="003F5B42">
            <w:pPr>
              <w:numPr>
                <w:ilvl w:val="12"/>
                <w:numId w:val="0"/>
              </w:numPr>
              <w:spacing w:before="60" w:after="60"/>
              <w:jc w:val="center"/>
              <w:rPr>
                <w:color w:val="000000"/>
                <w:spacing w:val="0"/>
              </w:rPr>
            </w:pPr>
            <w:r w:rsidRPr="00D33B70">
              <w:rPr>
                <w:color w:val="000000"/>
                <w:spacing w:val="0"/>
              </w:rPr>
              <w:t>$506,000</w:t>
            </w:r>
          </w:p>
        </w:tc>
      </w:tr>
      <w:tr w:rsidR="00392841" w:rsidRPr="00D33B70" w:rsidTr="00CC5D90">
        <w:trPr>
          <w:trHeight w:val="247"/>
        </w:trPr>
        <w:tc>
          <w:tcPr>
            <w:tcW w:w="2468" w:type="dxa"/>
            <w:tcBorders>
              <w:top w:val="single" w:sz="6" w:space="0" w:color="auto"/>
              <w:left w:val="single" w:sz="6" w:space="0" w:color="auto"/>
              <w:bottom w:val="single" w:sz="6" w:space="0" w:color="auto"/>
              <w:right w:val="single" w:sz="6" w:space="0" w:color="auto"/>
            </w:tcBorders>
            <w:tcMar>
              <w:left w:w="113" w:type="dxa"/>
              <w:right w:w="113" w:type="dxa"/>
            </w:tcMar>
          </w:tcPr>
          <w:p w:rsidR="00392841" w:rsidRPr="00D33B70" w:rsidRDefault="00392841" w:rsidP="00CC5D90">
            <w:pPr>
              <w:numPr>
                <w:ilvl w:val="12"/>
                <w:numId w:val="0"/>
              </w:numPr>
              <w:spacing w:before="60" w:after="60"/>
              <w:jc w:val="left"/>
              <w:rPr>
                <w:color w:val="000000"/>
                <w:spacing w:val="0"/>
                <w:vertAlign w:val="superscript"/>
              </w:rPr>
            </w:pPr>
            <w:r w:rsidRPr="00D33B70">
              <w:rPr>
                <w:color w:val="000000"/>
                <w:spacing w:val="0"/>
              </w:rPr>
              <w:t>Maintenance (NPV)</w:t>
            </w:r>
          </w:p>
        </w:tc>
        <w:tc>
          <w:tcPr>
            <w:tcW w:w="1843" w:type="dxa"/>
            <w:tcBorders>
              <w:top w:val="single" w:sz="6" w:space="0" w:color="auto"/>
              <w:left w:val="single" w:sz="6" w:space="0" w:color="auto"/>
              <w:bottom w:val="single" w:sz="6" w:space="0" w:color="auto"/>
              <w:right w:val="single" w:sz="6" w:space="0" w:color="auto"/>
            </w:tcBorders>
          </w:tcPr>
          <w:p w:rsidR="00392841" w:rsidRPr="00D33B70" w:rsidRDefault="00392841" w:rsidP="00CC5D90">
            <w:pPr>
              <w:numPr>
                <w:ilvl w:val="12"/>
                <w:numId w:val="0"/>
              </w:numPr>
              <w:spacing w:before="60" w:after="60"/>
              <w:jc w:val="center"/>
              <w:rPr>
                <w:color w:val="000000"/>
                <w:spacing w:val="0"/>
              </w:rPr>
            </w:pPr>
          </w:p>
        </w:tc>
        <w:tc>
          <w:tcPr>
            <w:tcW w:w="4477" w:type="dxa"/>
            <w:tcBorders>
              <w:top w:val="single" w:sz="6" w:space="0" w:color="auto"/>
              <w:left w:val="single" w:sz="6" w:space="0" w:color="auto"/>
              <w:bottom w:val="single" w:sz="6" w:space="0" w:color="auto"/>
              <w:right w:val="single" w:sz="6" w:space="0" w:color="auto"/>
            </w:tcBorders>
            <w:vAlign w:val="bottom"/>
          </w:tcPr>
          <w:p w:rsidR="00392841" w:rsidRPr="00D33B70" w:rsidRDefault="00392841" w:rsidP="003F5B42">
            <w:pPr>
              <w:numPr>
                <w:ilvl w:val="12"/>
                <w:numId w:val="0"/>
              </w:numPr>
              <w:spacing w:before="60" w:after="60"/>
              <w:jc w:val="center"/>
              <w:rPr>
                <w:color w:val="000000"/>
                <w:spacing w:val="0"/>
              </w:rPr>
            </w:pPr>
            <w:r w:rsidRPr="00D33B70">
              <w:rPr>
                <w:color w:val="000000"/>
                <w:spacing w:val="0"/>
              </w:rPr>
              <w:t>$6,279,000</w:t>
            </w:r>
          </w:p>
        </w:tc>
      </w:tr>
      <w:tr w:rsidR="00392841" w:rsidRPr="00D33B70" w:rsidTr="00CC5D90">
        <w:trPr>
          <w:trHeight w:val="262"/>
        </w:trPr>
        <w:tc>
          <w:tcPr>
            <w:tcW w:w="2468" w:type="dxa"/>
            <w:tcBorders>
              <w:top w:val="single" w:sz="6" w:space="0" w:color="auto"/>
              <w:left w:val="single" w:sz="6" w:space="0" w:color="auto"/>
              <w:bottom w:val="single" w:sz="6" w:space="0" w:color="auto"/>
              <w:right w:val="single" w:sz="6" w:space="0" w:color="auto"/>
            </w:tcBorders>
            <w:tcMar>
              <w:left w:w="113" w:type="dxa"/>
              <w:right w:w="113" w:type="dxa"/>
            </w:tcMar>
          </w:tcPr>
          <w:p w:rsidR="00392841" w:rsidRPr="00D33B70" w:rsidRDefault="00392841" w:rsidP="00CC5D90">
            <w:pPr>
              <w:numPr>
                <w:ilvl w:val="12"/>
                <w:numId w:val="0"/>
              </w:numPr>
              <w:spacing w:before="60" w:after="60"/>
              <w:jc w:val="left"/>
              <w:rPr>
                <w:color w:val="000000"/>
                <w:spacing w:val="0"/>
              </w:rPr>
            </w:pPr>
            <w:r w:rsidRPr="00D33B70">
              <w:rPr>
                <w:color w:val="000000"/>
                <w:spacing w:val="0"/>
              </w:rPr>
              <w:t>Total Option Cost</w:t>
            </w:r>
          </w:p>
        </w:tc>
        <w:tc>
          <w:tcPr>
            <w:tcW w:w="1843" w:type="dxa"/>
            <w:tcBorders>
              <w:top w:val="single" w:sz="6" w:space="0" w:color="auto"/>
              <w:left w:val="single" w:sz="6" w:space="0" w:color="auto"/>
              <w:bottom w:val="single" w:sz="6" w:space="0" w:color="auto"/>
              <w:right w:val="single" w:sz="6" w:space="0" w:color="auto"/>
            </w:tcBorders>
          </w:tcPr>
          <w:p w:rsidR="00392841" w:rsidRPr="00D33B70" w:rsidRDefault="00392841" w:rsidP="00CC5D90">
            <w:pPr>
              <w:numPr>
                <w:ilvl w:val="12"/>
                <w:numId w:val="0"/>
              </w:numPr>
              <w:spacing w:before="60" w:after="60"/>
              <w:jc w:val="center"/>
              <w:rPr>
                <w:color w:val="000000"/>
                <w:spacing w:val="0"/>
              </w:rPr>
            </w:pPr>
          </w:p>
        </w:tc>
        <w:tc>
          <w:tcPr>
            <w:tcW w:w="4477" w:type="dxa"/>
            <w:tcBorders>
              <w:top w:val="single" w:sz="6" w:space="0" w:color="auto"/>
              <w:left w:val="single" w:sz="6" w:space="0" w:color="auto"/>
              <w:bottom w:val="single" w:sz="6" w:space="0" w:color="auto"/>
              <w:right w:val="single" w:sz="6" w:space="0" w:color="auto"/>
            </w:tcBorders>
            <w:vAlign w:val="bottom"/>
          </w:tcPr>
          <w:p w:rsidR="00392841" w:rsidRPr="00D33B70" w:rsidRDefault="00392841" w:rsidP="003F5B42">
            <w:pPr>
              <w:numPr>
                <w:ilvl w:val="12"/>
                <w:numId w:val="0"/>
              </w:numPr>
              <w:spacing w:before="60" w:after="60"/>
              <w:jc w:val="center"/>
              <w:rPr>
                <w:color w:val="000000"/>
                <w:spacing w:val="0"/>
              </w:rPr>
            </w:pPr>
            <w:r w:rsidRPr="00D33B70">
              <w:rPr>
                <w:color w:val="000000"/>
                <w:spacing w:val="0"/>
              </w:rPr>
              <w:t>$27,381,000</w:t>
            </w:r>
          </w:p>
        </w:tc>
      </w:tr>
      <w:tr w:rsidR="009B39B1" w:rsidRPr="00D33B70" w:rsidTr="00CB43CE">
        <w:trPr>
          <w:trHeight w:val="262"/>
        </w:trPr>
        <w:tc>
          <w:tcPr>
            <w:tcW w:w="4311" w:type="dxa"/>
            <w:gridSpan w:val="2"/>
            <w:tcBorders>
              <w:top w:val="single" w:sz="6" w:space="0" w:color="auto"/>
              <w:left w:val="single" w:sz="6" w:space="0" w:color="auto"/>
              <w:bottom w:val="single" w:sz="6" w:space="0" w:color="auto"/>
              <w:right w:val="single" w:sz="6" w:space="0" w:color="auto"/>
            </w:tcBorders>
            <w:shd w:val="pct10" w:color="auto" w:fill="auto"/>
          </w:tcPr>
          <w:p w:rsidR="009B39B1" w:rsidRPr="00D33B70" w:rsidRDefault="009B39B1" w:rsidP="009B39B1">
            <w:pPr>
              <w:numPr>
                <w:ilvl w:val="12"/>
                <w:numId w:val="0"/>
              </w:numPr>
              <w:spacing w:before="60" w:after="60"/>
              <w:jc w:val="left"/>
              <w:rPr>
                <w:color w:val="000000"/>
                <w:spacing w:val="0"/>
              </w:rPr>
            </w:pPr>
            <w:r w:rsidRPr="00D33B70">
              <w:rPr>
                <w:b/>
                <w:color w:val="000000"/>
                <w:spacing w:val="0"/>
              </w:rPr>
              <w:t>BCR</w:t>
            </w:r>
          </w:p>
        </w:tc>
        <w:tc>
          <w:tcPr>
            <w:tcW w:w="4477" w:type="dxa"/>
            <w:tcBorders>
              <w:top w:val="single" w:sz="6" w:space="0" w:color="auto"/>
              <w:left w:val="single" w:sz="6" w:space="0" w:color="auto"/>
              <w:bottom w:val="single" w:sz="6" w:space="0" w:color="auto"/>
              <w:right w:val="single" w:sz="6" w:space="0" w:color="auto"/>
            </w:tcBorders>
            <w:shd w:val="pct10" w:color="auto" w:fill="auto"/>
            <w:vAlign w:val="center"/>
          </w:tcPr>
          <w:p w:rsidR="009B39B1" w:rsidRPr="00D33B70" w:rsidRDefault="009B39B1" w:rsidP="00CC5D90">
            <w:pPr>
              <w:numPr>
                <w:ilvl w:val="12"/>
                <w:numId w:val="0"/>
              </w:numPr>
              <w:jc w:val="center"/>
              <w:rPr>
                <w:b/>
              </w:rPr>
            </w:pPr>
            <w:r w:rsidRPr="00D33B70">
              <w:rPr>
                <w:b/>
              </w:rPr>
              <w:t>0.01</w:t>
            </w:r>
          </w:p>
        </w:tc>
      </w:tr>
    </w:tbl>
    <w:p w:rsidR="00D57D13" w:rsidRPr="00D33B70" w:rsidRDefault="00D57D13" w:rsidP="00D57D13">
      <w:pPr>
        <w:pStyle w:val="Text"/>
        <w:numPr>
          <w:ilvl w:val="12"/>
          <w:numId w:val="0"/>
        </w:numPr>
        <w:ind w:left="851"/>
        <w:rPr>
          <w:highlight w:val="yellow"/>
        </w:rPr>
      </w:pPr>
    </w:p>
    <w:p w:rsidR="00D57D13" w:rsidRPr="00D33B70" w:rsidRDefault="00E964D6" w:rsidP="00D57D13">
      <w:pPr>
        <w:numPr>
          <w:ilvl w:val="12"/>
          <w:numId w:val="0"/>
        </w:numPr>
        <w:ind w:left="851"/>
        <w:jc w:val="left"/>
        <w:rPr>
          <w:b/>
          <w:sz w:val="18"/>
        </w:rPr>
      </w:pPr>
      <w:r w:rsidRPr="00D33B70">
        <w:rPr>
          <w:b/>
          <w:noProof/>
          <w:sz w:val="18"/>
          <w:lang w:eastAsia="en-AU"/>
        </w:rPr>
        <w:lastRenderedPageBreak/>
        <w:drawing>
          <wp:inline distT="0" distB="0" distL="0" distR="0" wp14:anchorId="35DD8E9D" wp14:editId="0FB4DB27">
            <wp:extent cx="5569528" cy="3637848"/>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591711" cy="3652337"/>
                    </a:xfrm>
                    <a:prstGeom prst="rect">
                      <a:avLst/>
                    </a:prstGeom>
                    <a:noFill/>
                  </pic:spPr>
                </pic:pic>
              </a:graphicData>
            </a:graphic>
          </wp:inline>
        </w:drawing>
      </w:r>
    </w:p>
    <w:p w:rsidR="00D57D13" w:rsidRPr="00D33B70" w:rsidRDefault="00D57D13" w:rsidP="00D57D13">
      <w:pPr>
        <w:pStyle w:val="Caption"/>
        <w:numPr>
          <w:ilvl w:val="12"/>
          <w:numId w:val="0"/>
        </w:numPr>
        <w:ind w:left="851"/>
      </w:pPr>
      <w:bookmarkStart w:id="402" w:name="_Ref102883762"/>
      <w:bookmarkStart w:id="403" w:name="_Toc231362308"/>
      <w:bookmarkStart w:id="404" w:name="_Toc236814109"/>
      <w:bookmarkStart w:id="405" w:name="_Toc280013992"/>
      <w:bookmarkStart w:id="406" w:name="_Toc305489203"/>
      <w:bookmarkStart w:id="407" w:name="_Toc387308970"/>
      <w:r w:rsidRPr="00D33B70">
        <w:t xml:space="preserve">Figure </w:t>
      </w:r>
      <w:r w:rsidR="00FF3C04" w:rsidRPr="00D33B70">
        <w:fldChar w:fldCharType="begin"/>
      </w:r>
      <w:r w:rsidR="00FF3C04" w:rsidRPr="00D33B70">
        <w:instrText xml:space="preserve"> STYLEREF 1 \s </w:instrText>
      </w:r>
      <w:r w:rsidR="00FF3C04" w:rsidRPr="00D33B70">
        <w:fldChar w:fldCharType="separate"/>
      </w:r>
      <w:r w:rsidR="00AC6986">
        <w:rPr>
          <w:noProof/>
        </w:rPr>
        <w:t>8</w:t>
      </w:r>
      <w:r w:rsidR="00FF3C04" w:rsidRPr="00D33B70">
        <w:fldChar w:fldCharType="end"/>
      </w:r>
      <w:r w:rsidR="00FF3C04" w:rsidRPr="00D33B70">
        <w:noBreakHyphen/>
      </w:r>
      <w:r w:rsidR="00FF3C04" w:rsidRPr="00D33B70">
        <w:fldChar w:fldCharType="begin"/>
      </w:r>
      <w:r w:rsidR="00FF3C04" w:rsidRPr="00D33B70">
        <w:instrText xml:space="preserve"> SEQ Figure \* ARABIC \s 1 </w:instrText>
      </w:r>
      <w:r w:rsidR="00FF3C04" w:rsidRPr="00D33B70">
        <w:fldChar w:fldCharType="separate"/>
      </w:r>
      <w:r w:rsidR="00AC6986">
        <w:rPr>
          <w:noProof/>
        </w:rPr>
        <w:t>2</w:t>
      </w:r>
      <w:r w:rsidR="00FF3C04" w:rsidRPr="00D33B70">
        <w:fldChar w:fldCharType="end"/>
      </w:r>
      <w:bookmarkEnd w:id="402"/>
      <w:r w:rsidRPr="00D33B70">
        <w:tab/>
        <w:t>Scheme Two Probability Damages Curve</w:t>
      </w:r>
      <w:bookmarkEnd w:id="403"/>
      <w:bookmarkEnd w:id="404"/>
      <w:bookmarkEnd w:id="405"/>
      <w:bookmarkEnd w:id="406"/>
      <w:bookmarkEnd w:id="407"/>
    </w:p>
    <w:p w:rsidR="00D57D13" w:rsidRPr="00D33B70" w:rsidRDefault="00D57D13" w:rsidP="00B26EF8">
      <w:pPr>
        <w:pStyle w:val="Heading3"/>
      </w:pPr>
      <w:bookmarkStart w:id="408" w:name="_Toc387308920"/>
      <w:r w:rsidRPr="00D33B70">
        <w:t>Scheme Three</w:t>
      </w:r>
      <w:bookmarkEnd w:id="408"/>
    </w:p>
    <w:p w:rsidR="00D57D13" w:rsidRPr="00D33B70" w:rsidRDefault="00D57D13" w:rsidP="00D57D13">
      <w:pPr>
        <w:pStyle w:val="Text"/>
        <w:numPr>
          <w:ilvl w:val="12"/>
          <w:numId w:val="0"/>
        </w:numPr>
        <w:ind w:left="851"/>
      </w:pPr>
      <w:r w:rsidRPr="00D33B70">
        <w:t xml:space="preserve">The damages under Scheme Three for each design flood event are summarised in </w:t>
      </w:r>
      <w:r w:rsidRPr="00D33B70">
        <w:fldChar w:fldCharType="begin"/>
      </w:r>
      <w:r w:rsidRPr="00D33B70">
        <w:instrText xml:space="preserve"> REF _Ref359423824 \h </w:instrText>
      </w:r>
      <w:r w:rsidR="009B39B1" w:rsidRPr="00D33B70">
        <w:instrText xml:space="preserve"> \* MERGEFORMAT </w:instrText>
      </w:r>
      <w:r w:rsidRPr="00D33B70">
        <w:fldChar w:fldCharType="separate"/>
      </w:r>
      <w:r w:rsidR="00AC6986" w:rsidRPr="00D33B70">
        <w:t xml:space="preserve">Table </w:t>
      </w:r>
      <w:r w:rsidR="00AC6986">
        <w:rPr>
          <w:noProof/>
        </w:rPr>
        <w:t>8</w:t>
      </w:r>
      <w:r w:rsidR="00AC6986" w:rsidRPr="00D33B70">
        <w:rPr>
          <w:noProof/>
        </w:rPr>
        <w:noBreakHyphen/>
      </w:r>
      <w:r w:rsidR="00AC6986">
        <w:rPr>
          <w:noProof/>
        </w:rPr>
        <w:t>8</w:t>
      </w:r>
      <w:r w:rsidRPr="00D33B70">
        <w:fldChar w:fldCharType="end"/>
      </w:r>
      <w:r w:rsidRPr="00D33B70">
        <w:t xml:space="preserve"> and illustrated in</w:t>
      </w:r>
      <w:r w:rsidR="00AD174D" w:rsidRPr="00D33B70">
        <w:t xml:space="preserve"> </w:t>
      </w:r>
      <w:r w:rsidR="00AD174D" w:rsidRPr="00D33B70">
        <w:fldChar w:fldCharType="begin"/>
      </w:r>
      <w:r w:rsidR="00AD174D" w:rsidRPr="00D33B70">
        <w:instrText xml:space="preserve"> REF _Ref367886911 \h </w:instrText>
      </w:r>
      <w:r w:rsidR="00AD174D" w:rsidRPr="00D33B70">
        <w:fldChar w:fldCharType="separate"/>
      </w:r>
      <w:r w:rsidR="00AC6986" w:rsidRPr="00D33B70">
        <w:t xml:space="preserve">Figure </w:t>
      </w:r>
      <w:r w:rsidR="00AC6986">
        <w:rPr>
          <w:noProof/>
        </w:rPr>
        <w:t>8</w:t>
      </w:r>
      <w:r w:rsidR="00AC6986" w:rsidRPr="00D33B70">
        <w:noBreakHyphen/>
      </w:r>
      <w:r w:rsidR="00AC6986">
        <w:rPr>
          <w:noProof/>
        </w:rPr>
        <w:t>3</w:t>
      </w:r>
      <w:r w:rsidR="00AD174D" w:rsidRPr="00D33B70">
        <w:fldChar w:fldCharType="end"/>
      </w:r>
      <w:r w:rsidRPr="00D33B70">
        <w:t xml:space="preserve">  The Scheme Three AAD, also presented in </w:t>
      </w:r>
      <w:fldSimple w:instr=" REF _Ref102883735  \* MERGEFORMAT ">
        <w:r w:rsidR="00AC6986" w:rsidRPr="00D33B70">
          <w:t xml:space="preserve">Table </w:t>
        </w:r>
        <w:r w:rsidR="00AC6986">
          <w:t>8</w:t>
        </w:r>
        <w:r w:rsidR="00AC6986" w:rsidRPr="00D33B70">
          <w:noBreakHyphen/>
        </w:r>
        <w:r w:rsidR="00AC6986">
          <w:t>5</w:t>
        </w:r>
      </w:fldSimple>
      <w:r w:rsidRPr="00D33B70">
        <w:t>, is $</w:t>
      </w:r>
      <w:r w:rsidR="009B39B1" w:rsidRPr="00D33B70">
        <w:t>363</w:t>
      </w:r>
      <w:r w:rsidRPr="00D33B70">
        <w:t>,000, which is a reduction of $</w:t>
      </w:r>
      <w:r w:rsidR="009B39B1" w:rsidRPr="00D33B70">
        <w:t>26</w:t>
      </w:r>
      <w:r w:rsidRPr="00D33B70">
        <w:t>,000 from the existing conditions AAD of $</w:t>
      </w:r>
      <w:r w:rsidR="009B39B1" w:rsidRPr="00D33B70">
        <w:t>389</w:t>
      </w:r>
      <w:r w:rsidRPr="00D33B70">
        <w:t>,000.</w:t>
      </w:r>
    </w:p>
    <w:p w:rsidR="00D57D13" w:rsidRPr="00D33B70" w:rsidRDefault="00D57D13" w:rsidP="00D57D13">
      <w:pPr>
        <w:pStyle w:val="Text"/>
        <w:numPr>
          <w:ilvl w:val="12"/>
          <w:numId w:val="0"/>
        </w:numPr>
        <w:ind w:left="851"/>
      </w:pPr>
      <w:r w:rsidRPr="00D33B70">
        <w:t xml:space="preserve">A summary of the capital costs for Scheme Three is presented in </w:t>
      </w:r>
      <w:r w:rsidRPr="00D33B70">
        <w:fldChar w:fldCharType="begin"/>
      </w:r>
      <w:r w:rsidRPr="00D33B70">
        <w:instrText xml:space="preserve"> REF _Ref359423908 \h </w:instrText>
      </w:r>
      <w:r w:rsidR="009B39B1" w:rsidRPr="00D33B70">
        <w:instrText xml:space="preserve"> \* MERGEFORMAT </w:instrText>
      </w:r>
      <w:r w:rsidRPr="00D33B70">
        <w:fldChar w:fldCharType="separate"/>
      </w:r>
      <w:r w:rsidR="00AC6986" w:rsidRPr="00D33B70">
        <w:t xml:space="preserve">Table </w:t>
      </w:r>
      <w:r w:rsidR="00AC6986">
        <w:rPr>
          <w:noProof/>
        </w:rPr>
        <w:t>8</w:t>
      </w:r>
      <w:r w:rsidR="00AC6986" w:rsidRPr="00D33B70">
        <w:rPr>
          <w:noProof/>
        </w:rPr>
        <w:noBreakHyphen/>
      </w:r>
      <w:r w:rsidR="00AC6986">
        <w:rPr>
          <w:noProof/>
        </w:rPr>
        <w:t>9</w:t>
      </w:r>
      <w:r w:rsidRPr="00D33B70">
        <w:fldChar w:fldCharType="end"/>
      </w:r>
      <w:r w:rsidRPr="00D33B70">
        <w:t xml:space="preserve"> and the benefit cost analysis is summarised in </w:t>
      </w:r>
      <w:r w:rsidRPr="00D33B70">
        <w:fldChar w:fldCharType="begin"/>
      </w:r>
      <w:r w:rsidRPr="00D33B70">
        <w:instrText xml:space="preserve"> REF _Ref359423933 \h </w:instrText>
      </w:r>
      <w:r w:rsidR="009B39B1" w:rsidRPr="00D33B70">
        <w:instrText xml:space="preserve"> \* MERGEFORMAT </w:instrText>
      </w:r>
      <w:r w:rsidRPr="00D33B70">
        <w:fldChar w:fldCharType="separate"/>
      </w:r>
      <w:r w:rsidR="00AC6986" w:rsidRPr="00D33B70">
        <w:t xml:space="preserve">Table </w:t>
      </w:r>
      <w:r w:rsidR="00AC6986">
        <w:rPr>
          <w:noProof/>
        </w:rPr>
        <w:t>8</w:t>
      </w:r>
      <w:r w:rsidR="00AC6986" w:rsidRPr="00D33B70">
        <w:rPr>
          <w:noProof/>
        </w:rPr>
        <w:noBreakHyphen/>
      </w:r>
      <w:r w:rsidR="00AC6986">
        <w:rPr>
          <w:noProof/>
        </w:rPr>
        <w:t>10</w:t>
      </w:r>
      <w:r w:rsidRPr="00D33B70">
        <w:fldChar w:fldCharType="end"/>
      </w:r>
      <w:r w:rsidRPr="00D33B70">
        <w:t xml:space="preserve">. The BCR for Scheme Three is 0.01.  From the figures presented in </w:t>
      </w:r>
      <w:r w:rsidR="005163C0" w:rsidRPr="00D33B70">
        <w:fldChar w:fldCharType="begin"/>
      </w:r>
      <w:r w:rsidR="005163C0" w:rsidRPr="00D33B70">
        <w:instrText xml:space="preserve"> REF _Ref359425025 \h </w:instrText>
      </w:r>
      <w:r w:rsidR="009B39B1" w:rsidRPr="00D33B70">
        <w:instrText xml:space="preserve"> \* MERGEFORMAT </w:instrText>
      </w:r>
      <w:r w:rsidR="005163C0" w:rsidRPr="00D33B70">
        <w:fldChar w:fldCharType="separate"/>
      </w:r>
      <w:r w:rsidR="00AC6986" w:rsidRPr="00D33B70">
        <w:t xml:space="preserve">Table </w:t>
      </w:r>
      <w:r w:rsidR="00AC6986">
        <w:rPr>
          <w:noProof/>
        </w:rPr>
        <w:t>7</w:t>
      </w:r>
      <w:r w:rsidR="00AC6986" w:rsidRPr="00D33B70">
        <w:rPr>
          <w:noProof/>
        </w:rPr>
        <w:noBreakHyphen/>
      </w:r>
      <w:r w:rsidR="00AC6986">
        <w:rPr>
          <w:noProof/>
        </w:rPr>
        <w:t>5</w:t>
      </w:r>
      <w:r w:rsidR="005163C0" w:rsidRPr="00D33B70">
        <w:fldChar w:fldCharType="end"/>
      </w:r>
      <w:r w:rsidR="005163C0" w:rsidRPr="00D33B70">
        <w:t xml:space="preserve"> </w:t>
      </w:r>
      <w:r w:rsidRPr="00D33B70">
        <w:t xml:space="preserve">and </w:t>
      </w:r>
      <w:r w:rsidRPr="00D33B70">
        <w:fldChar w:fldCharType="begin"/>
      </w:r>
      <w:r w:rsidRPr="00D33B70">
        <w:instrText xml:space="preserve"> REF _Ref359423908 \h </w:instrText>
      </w:r>
      <w:r w:rsidR="009B39B1" w:rsidRPr="00D33B70">
        <w:instrText xml:space="preserve"> \* MERGEFORMAT </w:instrText>
      </w:r>
      <w:r w:rsidRPr="00D33B70">
        <w:fldChar w:fldCharType="separate"/>
      </w:r>
      <w:r w:rsidR="00AC6986" w:rsidRPr="00D33B70">
        <w:t xml:space="preserve">Table </w:t>
      </w:r>
      <w:r w:rsidR="00AC6986">
        <w:rPr>
          <w:noProof/>
        </w:rPr>
        <w:t>8</w:t>
      </w:r>
      <w:r w:rsidR="00AC6986" w:rsidRPr="00D33B70">
        <w:rPr>
          <w:noProof/>
        </w:rPr>
        <w:noBreakHyphen/>
      </w:r>
      <w:r w:rsidR="00AC6986">
        <w:rPr>
          <w:noProof/>
        </w:rPr>
        <w:t>9</w:t>
      </w:r>
      <w:r w:rsidRPr="00D33B70">
        <w:fldChar w:fldCharType="end"/>
      </w:r>
      <w:r w:rsidRPr="00D33B70">
        <w:t>, the capital cost of Scheme Three per property floor saved from flooding during a 1% AEP flood event is $</w:t>
      </w:r>
      <w:r w:rsidR="009B39B1" w:rsidRPr="00D33B70">
        <w:t>4,</w:t>
      </w:r>
      <w:r w:rsidR="00E71675" w:rsidRPr="00D33B70">
        <w:t>542</w:t>
      </w:r>
      <w:r w:rsidRPr="00D33B70">
        <w:t>,000.</w:t>
      </w:r>
    </w:p>
    <w:p w:rsidR="00D57D13" w:rsidRPr="00D33B70" w:rsidRDefault="00D57D13" w:rsidP="00D57D13">
      <w:pPr>
        <w:pStyle w:val="Text"/>
        <w:numPr>
          <w:ilvl w:val="12"/>
          <w:numId w:val="0"/>
        </w:numPr>
        <w:ind w:left="851"/>
        <w:rPr>
          <w:highlight w:val="yellow"/>
        </w:rPr>
      </w:pPr>
    </w:p>
    <w:p w:rsidR="00D57D13" w:rsidRPr="00D33B70" w:rsidRDefault="00D57D13" w:rsidP="00D57D13">
      <w:pPr>
        <w:pStyle w:val="Caption"/>
        <w:numPr>
          <w:ilvl w:val="12"/>
          <w:numId w:val="0"/>
        </w:numPr>
        <w:ind w:left="851"/>
      </w:pPr>
      <w:r w:rsidRPr="00D33B70">
        <w:rPr>
          <w:highlight w:val="yellow"/>
        </w:rPr>
        <w:br w:type="page"/>
      </w:r>
      <w:bookmarkStart w:id="409" w:name="_Ref359423824"/>
      <w:bookmarkStart w:id="410" w:name="_Toc387308998"/>
      <w:r w:rsidRPr="00D33B70">
        <w:lastRenderedPageBreak/>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8</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8</w:t>
      </w:r>
      <w:r w:rsidR="00FF3C04" w:rsidRPr="00D33B70">
        <w:fldChar w:fldCharType="end"/>
      </w:r>
      <w:bookmarkEnd w:id="409"/>
      <w:r w:rsidRPr="00D33B70">
        <w:tab/>
        <w:t>Scheme Three Damages Summary</w:t>
      </w:r>
      <w:bookmarkEnd w:id="410"/>
    </w:p>
    <w:tbl>
      <w:tblPr>
        <w:tblW w:w="9694" w:type="dxa"/>
        <w:tblLayout w:type="fixed"/>
        <w:tblCellMar>
          <w:left w:w="30" w:type="dxa"/>
          <w:right w:w="30" w:type="dxa"/>
        </w:tblCellMar>
        <w:tblLook w:val="0000" w:firstRow="0" w:lastRow="0" w:firstColumn="0" w:lastColumn="0" w:noHBand="0" w:noVBand="0"/>
      </w:tblPr>
      <w:tblGrid>
        <w:gridCol w:w="818"/>
        <w:gridCol w:w="770"/>
        <w:gridCol w:w="1417"/>
        <w:gridCol w:w="1641"/>
        <w:gridCol w:w="1701"/>
        <w:gridCol w:w="1701"/>
        <w:gridCol w:w="1646"/>
      </w:tblGrid>
      <w:tr w:rsidR="00801B1D" w:rsidRPr="00D33B70" w:rsidTr="003F5B42">
        <w:trPr>
          <w:trHeight w:val="742"/>
        </w:trPr>
        <w:tc>
          <w:tcPr>
            <w:tcW w:w="1588" w:type="dxa"/>
            <w:gridSpan w:val="2"/>
            <w:tcBorders>
              <w:top w:val="single" w:sz="4" w:space="0" w:color="auto"/>
              <w:left w:val="single" w:sz="4" w:space="0" w:color="auto"/>
              <w:bottom w:val="single" w:sz="6" w:space="0" w:color="auto"/>
              <w:right w:val="nil"/>
            </w:tcBorders>
            <w:shd w:val="pct10" w:color="auto" w:fill="auto"/>
            <w:vAlign w:val="center"/>
          </w:tcPr>
          <w:p w:rsidR="00801B1D" w:rsidRPr="00D33B70" w:rsidRDefault="00801B1D" w:rsidP="009B39B1">
            <w:pPr>
              <w:numPr>
                <w:ilvl w:val="12"/>
                <w:numId w:val="0"/>
              </w:numPr>
              <w:jc w:val="left"/>
              <w:rPr>
                <w:rFonts w:cs="Arial"/>
                <w:b/>
              </w:rPr>
            </w:pPr>
            <w:r w:rsidRPr="00D33B70">
              <w:rPr>
                <w:rFonts w:cs="Arial"/>
                <w:b/>
              </w:rPr>
              <w:t>Event</w:t>
            </w:r>
          </w:p>
        </w:tc>
        <w:tc>
          <w:tcPr>
            <w:tcW w:w="8106" w:type="dxa"/>
            <w:gridSpan w:val="5"/>
            <w:tcBorders>
              <w:top w:val="single" w:sz="4" w:space="0" w:color="auto"/>
              <w:left w:val="single" w:sz="6" w:space="0" w:color="auto"/>
              <w:bottom w:val="single" w:sz="6" w:space="0" w:color="auto"/>
              <w:right w:val="single" w:sz="4" w:space="0" w:color="auto"/>
            </w:tcBorders>
            <w:shd w:val="pct10" w:color="auto" w:fill="auto"/>
            <w:vAlign w:val="center"/>
          </w:tcPr>
          <w:p w:rsidR="00801B1D" w:rsidRPr="00D33B70" w:rsidRDefault="00801B1D" w:rsidP="003F5B42">
            <w:pPr>
              <w:numPr>
                <w:ilvl w:val="12"/>
                <w:numId w:val="0"/>
              </w:numPr>
              <w:jc w:val="center"/>
              <w:rPr>
                <w:rFonts w:cs="Arial"/>
                <w:b/>
              </w:rPr>
            </w:pPr>
            <w:r w:rsidRPr="00D33B70">
              <w:rPr>
                <w:rFonts w:cs="Arial"/>
                <w:b/>
              </w:rPr>
              <w:t>Scheme Three</w:t>
            </w:r>
          </w:p>
        </w:tc>
      </w:tr>
      <w:tr w:rsidR="00801B1D" w:rsidRPr="00D33B70" w:rsidTr="003F5B42">
        <w:trPr>
          <w:trHeight w:val="756"/>
        </w:trPr>
        <w:tc>
          <w:tcPr>
            <w:tcW w:w="818" w:type="dxa"/>
            <w:tcBorders>
              <w:top w:val="single" w:sz="6" w:space="0" w:color="auto"/>
              <w:left w:val="single" w:sz="4" w:space="0" w:color="auto"/>
              <w:bottom w:val="single" w:sz="6" w:space="0" w:color="auto"/>
              <w:right w:val="single" w:sz="6" w:space="0" w:color="auto"/>
            </w:tcBorders>
            <w:shd w:val="pct10" w:color="auto" w:fill="auto"/>
            <w:vAlign w:val="center"/>
          </w:tcPr>
          <w:p w:rsidR="00801B1D" w:rsidRPr="00D33B70" w:rsidRDefault="00801B1D" w:rsidP="009B39B1">
            <w:pPr>
              <w:numPr>
                <w:ilvl w:val="12"/>
                <w:numId w:val="0"/>
              </w:numPr>
              <w:jc w:val="left"/>
              <w:rPr>
                <w:rFonts w:cs="Arial"/>
                <w:b/>
              </w:rPr>
            </w:pPr>
            <w:r w:rsidRPr="00D33B70">
              <w:rPr>
                <w:rFonts w:cs="Arial"/>
                <w:b/>
              </w:rPr>
              <w:t>(Years ARI)</w:t>
            </w:r>
          </w:p>
        </w:tc>
        <w:tc>
          <w:tcPr>
            <w:tcW w:w="770" w:type="dxa"/>
            <w:tcBorders>
              <w:top w:val="single" w:sz="6" w:space="0" w:color="auto"/>
              <w:left w:val="single" w:sz="6" w:space="0" w:color="auto"/>
              <w:bottom w:val="single" w:sz="6" w:space="0" w:color="auto"/>
              <w:right w:val="single" w:sz="6" w:space="0" w:color="auto"/>
            </w:tcBorders>
            <w:shd w:val="pct10" w:color="auto" w:fill="auto"/>
            <w:vAlign w:val="center"/>
          </w:tcPr>
          <w:p w:rsidR="00801B1D" w:rsidRPr="00D33B70" w:rsidRDefault="00801B1D" w:rsidP="009B39B1">
            <w:pPr>
              <w:numPr>
                <w:ilvl w:val="12"/>
                <w:numId w:val="0"/>
              </w:numPr>
              <w:jc w:val="left"/>
              <w:rPr>
                <w:rFonts w:cs="Arial"/>
                <w:b/>
              </w:rPr>
            </w:pPr>
            <w:r w:rsidRPr="00D33B70">
              <w:rPr>
                <w:rFonts w:cs="Arial"/>
                <w:b/>
              </w:rPr>
              <w:t>AEP</w:t>
            </w:r>
          </w:p>
        </w:tc>
        <w:tc>
          <w:tcPr>
            <w:tcW w:w="1417" w:type="dxa"/>
            <w:tcBorders>
              <w:top w:val="single" w:sz="6" w:space="0" w:color="auto"/>
              <w:left w:val="single" w:sz="6" w:space="0" w:color="auto"/>
              <w:bottom w:val="single" w:sz="6" w:space="0" w:color="auto"/>
              <w:right w:val="single" w:sz="6" w:space="0" w:color="auto"/>
            </w:tcBorders>
            <w:shd w:val="pct10" w:color="auto" w:fill="auto"/>
            <w:vAlign w:val="center"/>
          </w:tcPr>
          <w:p w:rsidR="00801B1D" w:rsidRPr="00D33B70" w:rsidRDefault="00801B1D" w:rsidP="003F5B42">
            <w:pPr>
              <w:numPr>
                <w:ilvl w:val="12"/>
                <w:numId w:val="0"/>
              </w:numPr>
              <w:jc w:val="center"/>
              <w:rPr>
                <w:rFonts w:cs="Arial"/>
                <w:b/>
              </w:rPr>
            </w:pPr>
            <w:r w:rsidRPr="00D33B70">
              <w:rPr>
                <w:rFonts w:cs="Arial"/>
                <w:b/>
              </w:rPr>
              <w:t>Residential Damages</w:t>
            </w:r>
          </w:p>
        </w:tc>
        <w:tc>
          <w:tcPr>
            <w:tcW w:w="1641" w:type="dxa"/>
            <w:tcBorders>
              <w:top w:val="single" w:sz="6" w:space="0" w:color="auto"/>
              <w:left w:val="single" w:sz="6" w:space="0" w:color="auto"/>
              <w:bottom w:val="single" w:sz="6" w:space="0" w:color="auto"/>
              <w:right w:val="single" w:sz="6" w:space="0" w:color="auto"/>
            </w:tcBorders>
            <w:shd w:val="pct10" w:color="auto" w:fill="auto"/>
          </w:tcPr>
          <w:p w:rsidR="00801B1D" w:rsidRPr="00D33B70" w:rsidRDefault="00801B1D" w:rsidP="003F5B42">
            <w:pPr>
              <w:numPr>
                <w:ilvl w:val="12"/>
                <w:numId w:val="0"/>
              </w:numPr>
              <w:jc w:val="center"/>
              <w:rPr>
                <w:rFonts w:cs="Arial"/>
                <w:b/>
              </w:rPr>
            </w:pPr>
            <w:r w:rsidRPr="00D33B70">
              <w:rPr>
                <w:rFonts w:cs="Arial"/>
                <w:b/>
              </w:rPr>
              <w:t>Commercial / Industrial Damages</w:t>
            </w:r>
          </w:p>
        </w:tc>
        <w:tc>
          <w:tcPr>
            <w:tcW w:w="1701" w:type="dxa"/>
            <w:tcBorders>
              <w:top w:val="single" w:sz="6" w:space="0" w:color="auto"/>
              <w:left w:val="single" w:sz="6" w:space="0" w:color="auto"/>
              <w:bottom w:val="single" w:sz="6" w:space="0" w:color="auto"/>
              <w:right w:val="single" w:sz="6" w:space="0" w:color="auto"/>
            </w:tcBorders>
            <w:shd w:val="pct10" w:color="auto" w:fill="auto"/>
            <w:vAlign w:val="center"/>
          </w:tcPr>
          <w:p w:rsidR="00801B1D" w:rsidRPr="00D33B70" w:rsidRDefault="00801B1D" w:rsidP="003F5B42">
            <w:pPr>
              <w:numPr>
                <w:ilvl w:val="12"/>
                <w:numId w:val="0"/>
              </w:numPr>
              <w:jc w:val="center"/>
              <w:rPr>
                <w:rFonts w:cs="Arial"/>
                <w:b/>
              </w:rPr>
            </w:pPr>
            <w:r w:rsidRPr="00D33B70">
              <w:rPr>
                <w:rFonts w:cs="Arial"/>
                <w:b/>
              </w:rPr>
              <w:t>Total Indirect Damages</w:t>
            </w:r>
          </w:p>
        </w:tc>
        <w:tc>
          <w:tcPr>
            <w:tcW w:w="1701" w:type="dxa"/>
            <w:tcBorders>
              <w:top w:val="single" w:sz="6" w:space="0" w:color="auto"/>
              <w:left w:val="single" w:sz="6" w:space="0" w:color="auto"/>
              <w:bottom w:val="single" w:sz="6" w:space="0" w:color="auto"/>
              <w:right w:val="single" w:sz="6" w:space="0" w:color="auto"/>
            </w:tcBorders>
            <w:shd w:val="pct10" w:color="auto" w:fill="auto"/>
            <w:vAlign w:val="center"/>
          </w:tcPr>
          <w:p w:rsidR="00801B1D" w:rsidRPr="00D33B70" w:rsidRDefault="00801B1D" w:rsidP="003F5B42">
            <w:pPr>
              <w:numPr>
                <w:ilvl w:val="12"/>
                <w:numId w:val="0"/>
              </w:numPr>
              <w:jc w:val="center"/>
              <w:rPr>
                <w:rFonts w:cs="Arial"/>
                <w:b/>
              </w:rPr>
            </w:pPr>
            <w:r w:rsidRPr="00D33B70">
              <w:rPr>
                <w:rFonts w:cs="Arial"/>
                <w:b/>
              </w:rPr>
              <w:t>Total Damages</w:t>
            </w:r>
          </w:p>
        </w:tc>
        <w:tc>
          <w:tcPr>
            <w:tcW w:w="1646" w:type="dxa"/>
            <w:tcBorders>
              <w:top w:val="single" w:sz="6" w:space="0" w:color="auto"/>
              <w:left w:val="single" w:sz="6" w:space="0" w:color="auto"/>
              <w:bottom w:val="single" w:sz="6" w:space="0" w:color="auto"/>
              <w:right w:val="single" w:sz="4" w:space="0" w:color="auto"/>
            </w:tcBorders>
            <w:shd w:val="pct10" w:color="auto" w:fill="auto"/>
            <w:vAlign w:val="center"/>
          </w:tcPr>
          <w:p w:rsidR="00801B1D" w:rsidRPr="00D33B70" w:rsidRDefault="00801B1D" w:rsidP="003F5B42">
            <w:pPr>
              <w:numPr>
                <w:ilvl w:val="12"/>
                <w:numId w:val="0"/>
              </w:numPr>
              <w:jc w:val="center"/>
              <w:rPr>
                <w:rFonts w:cs="Arial"/>
                <w:b/>
              </w:rPr>
            </w:pPr>
            <w:r w:rsidRPr="00D33B70">
              <w:rPr>
                <w:rFonts w:cs="Arial"/>
                <w:b/>
              </w:rPr>
              <w:t>Incremental Average Annual Damages</w:t>
            </w:r>
          </w:p>
        </w:tc>
      </w:tr>
      <w:tr w:rsidR="00801B1D" w:rsidRPr="00D33B70" w:rsidTr="003F5B42">
        <w:trPr>
          <w:trHeight w:val="440"/>
        </w:trPr>
        <w:tc>
          <w:tcPr>
            <w:tcW w:w="818" w:type="dxa"/>
            <w:tcBorders>
              <w:top w:val="single" w:sz="6" w:space="0" w:color="auto"/>
              <w:left w:val="single" w:sz="4" w:space="0" w:color="auto"/>
              <w:bottom w:val="single" w:sz="6" w:space="0" w:color="auto"/>
              <w:right w:val="single" w:sz="6" w:space="0" w:color="auto"/>
            </w:tcBorders>
            <w:vAlign w:val="center"/>
          </w:tcPr>
          <w:p w:rsidR="00801B1D" w:rsidRPr="00D33B70" w:rsidRDefault="00801B1D" w:rsidP="009B39B1">
            <w:pPr>
              <w:numPr>
                <w:ilvl w:val="12"/>
                <w:numId w:val="0"/>
              </w:numPr>
              <w:jc w:val="left"/>
              <w:rPr>
                <w:rFonts w:cs="Arial"/>
              </w:rPr>
            </w:pPr>
            <w:r w:rsidRPr="00D33B70">
              <w:rPr>
                <w:rFonts w:cs="Arial"/>
              </w:rPr>
              <w:t>PMF*</w:t>
            </w:r>
          </w:p>
        </w:tc>
        <w:tc>
          <w:tcPr>
            <w:tcW w:w="770"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9B39B1">
            <w:pPr>
              <w:numPr>
                <w:ilvl w:val="12"/>
                <w:numId w:val="0"/>
              </w:numPr>
              <w:jc w:val="left"/>
              <w:rPr>
                <w:rFonts w:cs="Arial"/>
              </w:rPr>
            </w:pPr>
            <w:r w:rsidRPr="00D33B70">
              <w:rPr>
                <w:rFonts w:cs="Arial"/>
              </w:rPr>
              <w:t>0.0%</w:t>
            </w:r>
          </w:p>
        </w:tc>
        <w:tc>
          <w:tcPr>
            <w:tcW w:w="1417"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3F5B42">
            <w:pPr>
              <w:numPr>
                <w:ilvl w:val="12"/>
                <w:numId w:val="0"/>
              </w:numPr>
              <w:jc w:val="center"/>
              <w:rPr>
                <w:rFonts w:cs="Arial"/>
              </w:rPr>
            </w:pPr>
          </w:p>
        </w:tc>
        <w:tc>
          <w:tcPr>
            <w:tcW w:w="1641" w:type="dxa"/>
            <w:tcBorders>
              <w:top w:val="single" w:sz="6" w:space="0" w:color="auto"/>
              <w:left w:val="single" w:sz="6" w:space="0" w:color="auto"/>
              <w:bottom w:val="single" w:sz="6" w:space="0" w:color="auto"/>
              <w:right w:val="single" w:sz="6" w:space="0" w:color="auto"/>
            </w:tcBorders>
          </w:tcPr>
          <w:p w:rsidR="00801B1D" w:rsidRPr="00D33B70" w:rsidRDefault="00801B1D" w:rsidP="003F5B42">
            <w:pPr>
              <w:numPr>
                <w:ilvl w:val="12"/>
                <w:numId w:val="0"/>
              </w:numPr>
              <w:jc w:val="center"/>
              <w:rPr>
                <w:rFonts w:cs="Arial"/>
              </w:rPr>
            </w:pPr>
          </w:p>
        </w:tc>
        <w:tc>
          <w:tcPr>
            <w:tcW w:w="1701"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3F5B42">
            <w:pPr>
              <w:numPr>
                <w:ilvl w:val="12"/>
                <w:numId w:val="0"/>
              </w:numPr>
              <w:jc w:val="center"/>
              <w:rPr>
                <w:rFonts w:cs="Arial"/>
              </w:rPr>
            </w:pPr>
          </w:p>
        </w:tc>
        <w:tc>
          <w:tcPr>
            <w:tcW w:w="1701"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3F5B42">
            <w:pPr>
              <w:numPr>
                <w:ilvl w:val="12"/>
                <w:numId w:val="0"/>
              </w:numPr>
              <w:jc w:val="center"/>
              <w:rPr>
                <w:rFonts w:cs="Arial"/>
              </w:rPr>
            </w:pPr>
            <w:r w:rsidRPr="00D33B70">
              <w:rPr>
                <w:rFonts w:cs="Arial"/>
              </w:rPr>
              <w:t>$2,819,000*</w:t>
            </w:r>
          </w:p>
        </w:tc>
        <w:tc>
          <w:tcPr>
            <w:tcW w:w="1646" w:type="dxa"/>
            <w:tcBorders>
              <w:top w:val="single" w:sz="6" w:space="0" w:color="auto"/>
              <w:left w:val="single" w:sz="6" w:space="0" w:color="auto"/>
              <w:bottom w:val="single" w:sz="6" w:space="0" w:color="auto"/>
              <w:right w:val="single" w:sz="4" w:space="0" w:color="auto"/>
            </w:tcBorders>
            <w:vAlign w:val="center"/>
          </w:tcPr>
          <w:p w:rsidR="00801B1D" w:rsidRPr="00D33B70" w:rsidRDefault="00801B1D" w:rsidP="003F5B42">
            <w:pPr>
              <w:numPr>
                <w:ilvl w:val="12"/>
                <w:numId w:val="0"/>
              </w:numPr>
              <w:jc w:val="center"/>
              <w:rPr>
                <w:rFonts w:cs="Arial"/>
              </w:rPr>
            </w:pPr>
          </w:p>
        </w:tc>
      </w:tr>
      <w:tr w:rsidR="00801B1D" w:rsidRPr="00D33B70" w:rsidTr="003F5B42">
        <w:trPr>
          <w:trHeight w:val="404"/>
        </w:trPr>
        <w:tc>
          <w:tcPr>
            <w:tcW w:w="818" w:type="dxa"/>
            <w:tcBorders>
              <w:top w:val="single" w:sz="6" w:space="0" w:color="auto"/>
              <w:left w:val="single" w:sz="4" w:space="0" w:color="auto"/>
              <w:bottom w:val="single" w:sz="6" w:space="0" w:color="auto"/>
              <w:right w:val="single" w:sz="6" w:space="0" w:color="auto"/>
            </w:tcBorders>
            <w:vAlign w:val="center"/>
          </w:tcPr>
          <w:p w:rsidR="00801B1D" w:rsidRPr="00D33B70" w:rsidRDefault="00801B1D" w:rsidP="009B39B1">
            <w:pPr>
              <w:numPr>
                <w:ilvl w:val="12"/>
                <w:numId w:val="0"/>
              </w:numPr>
              <w:jc w:val="left"/>
              <w:rPr>
                <w:rFonts w:cs="Arial"/>
              </w:rPr>
            </w:pPr>
            <w:r w:rsidRPr="00D33B70">
              <w:rPr>
                <w:rFonts w:cs="Arial"/>
              </w:rPr>
              <w:t>100</w:t>
            </w:r>
          </w:p>
        </w:tc>
        <w:tc>
          <w:tcPr>
            <w:tcW w:w="770"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9B39B1">
            <w:pPr>
              <w:numPr>
                <w:ilvl w:val="12"/>
                <w:numId w:val="0"/>
              </w:numPr>
              <w:jc w:val="left"/>
              <w:rPr>
                <w:rFonts w:cs="Arial"/>
              </w:rPr>
            </w:pPr>
            <w:r w:rsidRPr="00D33B70">
              <w:rPr>
                <w:rFonts w:cs="Arial"/>
              </w:rPr>
              <w:t>1%</w:t>
            </w:r>
          </w:p>
        </w:tc>
        <w:tc>
          <w:tcPr>
            <w:tcW w:w="1417"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801B1D">
            <w:pPr>
              <w:numPr>
                <w:ilvl w:val="12"/>
                <w:numId w:val="0"/>
              </w:numPr>
              <w:jc w:val="center"/>
              <w:rPr>
                <w:rFonts w:cs="Arial"/>
              </w:rPr>
            </w:pPr>
            <w:r w:rsidRPr="00D33B70">
              <w:rPr>
                <w:rFonts w:cs="Arial"/>
              </w:rPr>
              <w:t>$1,964,000</w:t>
            </w:r>
          </w:p>
        </w:tc>
        <w:tc>
          <w:tcPr>
            <w:tcW w:w="1641"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3F5B42">
            <w:pPr>
              <w:numPr>
                <w:ilvl w:val="12"/>
                <w:numId w:val="0"/>
              </w:numPr>
              <w:jc w:val="center"/>
              <w:rPr>
                <w:rFonts w:cs="Arial"/>
              </w:rPr>
            </w:pPr>
            <w:r w:rsidRPr="00D33B70">
              <w:rPr>
                <w:rFonts w:cs="Arial"/>
              </w:rPr>
              <w:t>$7,000</w:t>
            </w:r>
          </w:p>
        </w:tc>
        <w:tc>
          <w:tcPr>
            <w:tcW w:w="1701"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3F5B42">
            <w:pPr>
              <w:numPr>
                <w:ilvl w:val="12"/>
                <w:numId w:val="0"/>
              </w:numPr>
              <w:jc w:val="center"/>
              <w:rPr>
                <w:rFonts w:cs="Arial"/>
              </w:rPr>
            </w:pPr>
            <w:r w:rsidRPr="00D33B70">
              <w:rPr>
                <w:rFonts w:cs="Arial"/>
              </w:rPr>
              <w:t>$591,000</w:t>
            </w:r>
          </w:p>
        </w:tc>
        <w:tc>
          <w:tcPr>
            <w:tcW w:w="1701"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3F5B42">
            <w:pPr>
              <w:numPr>
                <w:ilvl w:val="12"/>
                <w:numId w:val="0"/>
              </w:numPr>
              <w:jc w:val="center"/>
              <w:rPr>
                <w:rFonts w:cs="Arial"/>
              </w:rPr>
            </w:pPr>
            <w:r w:rsidRPr="00D33B70">
              <w:rPr>
                <w:rFonts w:cs="Arial"/>
              </w:rPr>
              <w:t>$2,562,000</w:t>
            </w:r>
          </w:p>
        </w:tc>
        <w:tc>
          <w:tcPr>
            <w:tcW w:w="1646" w:type="dxa"/>
            <w:tcBorders>
              <w:top w:val="single" w:sz="6" w:space="0" w:color="auto"/>
              <w:left w:val="single" w:sz="6" w:space="0" w:color="auto"/>
              <w:bottom w:val="single" w:sz="6" w:space="0" w:color="auto"/>
              <w:right w:val="single" w:sz="4" w:space="0" w:color="auto"/>
            </w:tcBorders>
            <w:vAlign w:val="center"/>
          </w:tcPr>
          <w:p w:rsidR="00801B1D" w:rsidRPr="00D33B70" w:rsidRDefault="00801B1D" w:rsidP="003F5B42">
            <w:pPr>
              <w:numPr>
                <w:ilvl w:val="12"/>
                <w:numId w:val="0"/>
              </w:numPr>
              <w:jc w:val="center"/>
              <w:rPr>
                <w:rFonts w:cs="Arial"/>
              </w:rPr>
            </w:pPr>
            <w:r w:rsidRPr="00D33B70">
              <w:rPr>
                <w:rFonts w:cs="Arial"/>
              </w:rPr>
              <w:t>$27,000</w:t>
            </w:r>
          </w:p>
        </w:tc>
      </w:tr>
      <w:tr w:rsidR="00801B1D" w:rsidRPr="00D33B70" w:rsidTr="003F5B42">
        <w:trPr>
          <w:trHeight w:val="410"/>
        </w:trPr>
        <w:tc>
          <w:tcPr>
            <w:tcW w:w="818" w:type="dxa"/>
            <w:tcBorders>
              <w:top w:val="single" w:sz="6" w:space="0" w:color="auto"/>
              <w:left w:val="single" w:sz="4" w:space="0" w:color="auto"/>
              <w:bottom w:val="single" w:sz="6" w:space="0" w:color="auto"/>
              <w:right w:val="single" w:sz="6" w:space="0" w:color="auto"/>
            </w:tcBorders>
            <w:vAlign w:val="center"/>
          </w:tcPr>
          <w:p w:rsidR="00801B1D" w:rsidRPr="00D33B70" w:rsidRDefault="00801B1D" w:rsidP="009B39B1">
            <w:pPr>
              <w:numPr>
                <w:ilvl w:val="12"/>
                <w:numId w:val="0"/>
              </w:numPr>
              <w:jc w:val="left"/>
              <w:rPr>
                <w:rFonts w:cs="Arial"/>
              </w:rPr>
            </w:pPr>
            <w:r w:rsidRPr="00D33B70">
              <w:rPr>
                <w:rFonts w:cs="Arial"/>
              </w:rPr>
              <w:t>20</w:t>
            </w:r>
          </w:p>
        </w:tc>
        <w:tc>
          <w:tcPr>
            <w:tcW w:w="770"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9B39B1">
            <w:pPr>
              <w:numPr>
                <w:ilvl w:val="12"/>
                <w:numId w:val="0"/>
              </w:numPr>
              <w:jc w:val="left"/>
              <w:rPr>
                <w:rFonts w:cs="Arial"/>
              </w:rPr>
            </w:pPr>
            <w:r w:rsidRPr="00D33B70">
              <w:rPr>
                <w:rFonts w:cs="Arial"/>
              </w:rPr>
              <w:t>5%</w:t>
            </w:r>
          </w:p>
        </w:tc>
        <w:tc>
          <w:tcPr>
            <w:tcW w:w="1417"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3F5B42">
            <w:pPr>
              <w:numPr>
                <w:ilvl w:val="12"/>
                <w:numId w:val="0"/>
              </w:numPr>
              <w:jc w:val="center"/>
              <w:rPr>
                <w:rFonts w:cs="Arial"/>
              </w:rPr>
            </w:pPr>
            <w:r w:rsidRPr="00D33B70">
              <w:rPr>
                <w:rFonts w:cs="Arial"/>
              </w:rPr>
              <w:t>$1,178,000</w:t>
            </w:r>
          </w:p>
        </w:tc>
        <w:tc>
          <w:tcPr>
            <w:tcW w:w="1641"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3F5B42">
            <w:pPr>
              <w:numPr>
                <w:ilvl w:val="12"/>
                <w:numId w:val="0"/>
              </w:numPr>
              <w:jc w:val="center"/>
              <w:rPr>
                <w:rFonts w:cs="Arial"/>
              </w:rPr>
            </w:pPr>
            <w:r w:rsidRPr="00D33B70">
              <w:rPr>
                <w:rFonts w:cs="Arial"/>
              </w:rPr>
              <w:t>$2,000</w:t>
            </w:r>
          </w:p>
        </w:tc>
        <w:tc>
          <w:tcPr>
            <w:tcW w:w="1701"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3F5B42">
            <w:pPr>
              <w:numPr>
                <w:ilvl w:val="12"/>
                <w:numId w:val="0"/>
              </w:numPr>
              <w:jc w:val="center"/>
              <w:rPr>
                <w:rFonts w:cs="Arial"/>
              </w:rPr>
            </w:pPr>
            <w:r w:rsidRPr="00D33B70">
              <w:rPr>
                <w:rFonts w:cs="Arial"/>
              </w:rPr>
              <w:t>$354,000</w:t>
            </w:r>
          </w:p>
        </w:tc>
        <w:tc>
          <w:tcPr>
            <w:tcW w:w="1701"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3F5B42">
            <w:pPr>
              <w:numPr>
                <w:ilvl w:val="12"/>
                <w:numId w:val="0"/>
              </w:numPr>
              <w:jc w:val="center"/>
              <w:rPr>
                <w:rFonts w:cs="Arial"/>
              </w:rPr>
            </w:pPr>
            <w:r w:rsidRPr="00D33B70">
              <w:rPr>
                <w:rFonts w:cs="Arial"/>
              </w:rPr>
              <w:t>$1,534,000</w:t>
            </w:r>
          </w:p>
        </w:tc>
        <w:tc>
          <w:tcPr>
            <w:tcW w:w="1646" w:type="dxa"/>
            <w:tcBorders>
              <w:top w:val="single" w:sz="6" w:space="0" w:color="auto"/>
              <w:left w:val="single" w:sz="6" w:space="0" w:color="auto"/>
              <w:bottom w:val="single" w:sz="6" w:space="0" w:color="auto"/>
              <w:right w:val="single" w:sz="4" w:space="0" w:color="auto"/>
            </w:tcBorders>
            <w:vAlign w:val="center"/>
          </w:tcPr>
          <w:p w:rsidR="00801B1D" w:rsidRPr="00D33B70" w:rsidRDefault="00801B1D" w:rsidP="003F5B42">
            <w:pPr>
              <w:numPr>
                <w:ilvl w:val="12"/>
                <w:numId w:val="0"/>
              </w:numPr>
              <w:jc w:val="center"/>
              <w:rPr>
                <w:rFonts w:cs="Arial"/>
              </w:rPr>
            </w:pPr>
            <w:r w:rsidRPr="00D33B70">
              <w:rPr>
                <w:rFonts w:cs="Arial"/>
              </w:rPr>
              <w:t>$82,000</w:t>
            </w:r>
          </w:p>
        </w:tc>
      </w:tr>
      <w:tr w:rsidR="00801B1D" w:rsidRPr="00D33B70" w:rsidTr="003F5B42">
        <w:trPr>
          <w:trHeight w:val="415"/>
        </w:trPr>
        <w:tc>
          <w:tcPr>
            <w:tcW w:w="818" w:type="dxa"/>
            <w:tcBorders>
              <w:top w:val="single" w:sz="6" w:space="0" w:color="auto"/>
              <w:left w:val="single" w:sz="4" w:space="0" w:color="auto"/>
              <w:bottom w:val="single" w:sz="6" w:space="0" w:color="auto"/>
              <w:right w:val="single" w:sz="6" w:space="0" w:color="auto"/>
            </w:tcBorders>
            <w:vAlign w:val="center"/>
          </w:tcPr>
          <w:p w:rsidR="00801B1D" w:rsidRPr="00D33B70" w:rsidRDefault="00801B1D" w:rsidP="009B39B1">
            <w:pPr>
              <w:numPr>
                <w:ilvl w:val="12"/>
                <w:numId w:val="0"/>
              </w:numPr>
              <w:jc w:val="left"/>
              <w:rPr>
                <w:rFonts w:cs="Arial"/>
              </w:rPr>
            </w:pPr>
            <w:r w:rsidRPr="00D33B70">
              <w:rPr>
                <w:rFonts w:cs="Arial"/>
              </w:rPr>
              <w:t>10</w:t>
            </w:r>
          </w:p>
        </w:tc>
        <w:tc>
          <w:tcPr>
            <w:tcW w:w="770"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9B39B1">
            <w:pPr>
              <w:numPr>
                <w:ilvl w:val="12"/>
                <w:numId w:val="0"/>
              </w:numPr>
              <w:jc w:val="left"/>
              <w:rPr>
                <w:rFonts w:cs="Arial"/>
              </w:rPr>
            </w:pPr>
            <w:r w:rsidRPr="00D33B70">
              <w:rPr>
                <w:rFonts w:cs="Arial"/>
              </w:rPr>
              <w:t>10%</w:t>
            </w:r>
          </w:p>
        </w:tc>
        <w:tc>
          <w:tcPr>
            <w:tcW w:w="1417"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3F5B42">
            <w:pPr>
              <w:numPr>
                <w:ilvl w:val="12"/>
                <w:numId w:val="0"/>
              </w:numPr>
              <w:jc w:val="center"/>
              <w:rPr>
                <w:rFonts w:cs="Arial"/>
              </w:rPr>
            </w:pPr>
            <w:r w:rsidRPr="00D33B70">
              <w:rPr>
                <w:rFonts w:cs="Arial"/>
              </w:rPr>
              <w:t>$812,000</w:t>
            </w:r>
          </w:p>
        </w:tc>
        <w:tc>
          <w:tcPr>
            <w:tcW w:w="1641"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3F5B42">
            <w:pPr>
              <w:numPr>
                <w:ilvl w:val="12"/>
                <w:numId w:val="0"/>
              </w:numPr>
              <w:jc w:val="center"/>
              <w:rPr>
                <w:rFonts w:cs="Arial"/>
              </w:rPr>
            </w:pPr>
            <w:r w:rsidRPr="00D33B70">
              <w:rPr>
                <w:rFonts w:cs="Arial"/>
              </w:rPr>
              <w:t>$2,000</w:t>
            </w:r>
          </w:p>
        </w:tc>
        <w:tc>
          <w:tcPr>
            <w:tcW w:w="1701"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3F5B42">
            <w:pPr>
              <w:numPr>
                <w:ilvl w:val="12"/>
                <w:numId w:val="0"/>
              </w:numPr>
              <w:jc w:val="center"/>
              <w:rPr>
                <w:rFonts w:cs="Arial"/>
              </w:rPr>
            </w:pPr>
            <w:r w:rsidRPr="00D33B70">
              <w:rPr>
                <w:rFonts w:cs="Arial"/>
              </w:rPr>
              <w:t>$244,000</w:t>
            </w:r>
          </w:p>
        </w:tc>
        <w:tc>
          <w:tcPr>
            <w:tcW w:w="1701"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3F5B42">
            <w:pPr>
              <w:numPr>
                <w:ilvl w:val="12"/>
                <w:numId w:val="0"/>
              </w:numPr>
              <w:jc w:val="center"/>
              <w:rPr>
                <w:rFonts w:cs="Arial"/>
              </w:rPr>
            </w:pPr>
            <w:r w:rsidRPr="00D33B70">
              <w:rPr>
                <w:rFonts w:cs="Arial"/>
              </w:rPr>
              <w:t>$1,058,000</w:t>
            </w:r>
          </w:p>
        </w:tc>
        <w:tc>
          <w:tcPr>
            <w:tcW w:w="1646" w:type="dxa"/>
            <w:tcBorders>
              <w:top w:val="single" w:sz="6" w:space="0" w:color="auto"/>
              <w:left w:val="single" w:sz="6" w:space="0" w:color="auto"/>
              <w:bottom w:val="single" w:sz="6" w:space="0" w:color="auto"/>
              <w:right w:val="single" w:sz="4" w:space="0" w:color="auto"/>
            </w:tcBorders>
            <w:vAlign w:val="center"/>
          </w:tcPr>
          <w:p w:rsidR="00801B1D" w:rsidRPr="00D33B70" w:rsidRDefault="00801B1D" w:rsidP="003F5B42">
            <w:pPr>
              <w:numPr>
                <w:ilvl w:val="12"/>
                <w:numId w:val="0"/>
              </w:numPr>
              <w:jc w:val="center"/>
              <w:rPr>
                <w:rFonts w:cs="Arial"/>
              </w:rPr>
            </w:pPr>
            <w:r w:rsidRPr="00D33B70">
              <w:rPr>
                <w:rFonts w:cs="Arial"/>
              </w:rPr>
              <w:t>$65,000</w:t>
            </w:r>
          </w:p>
        </w:tc>
      </w:tr>
      <w:tr w:rsidR="00801B1D" w:rsidRPr="00D33B70" w:rsidTr="003F5B42">
        <w:trPr>
          <w:trHeight w:val="408"/>
        </w:trPr>
        <w:tc>
          <w:tcPr>
            <w:tcW w:w="818" w:type="dxa"/>
            <w:tcBorders>
              <w:top w:val="single" w:sz="6" w:space="0" w:color="auto"/>
              <w:left w:val="single" w:sz="4" w:space="0" w:color="auto"/>
              <w:bottom w:val="single" w:sz="6" w:space="0" w:color="auto"/>
              <w:right w:val="single" w:sz="6" w:space="0" w:color="auto"/>
            </w:tcBorders>
            <w:vAlign w:val="center"/>
          </w:tcPr>
          <w:p w:rsidR="00801B1D" w:rsidRPr="00D33B70" w:rsidRDefault="00801B1D" w:rsidP="009B39B1">
            <w:pPr>
              <w:numPr>
                <w:ilvl w:val="12"/>
                <w:numId w:val="0"/>
              </w:numPr>
              <w:jc w:val="left"/>
              <w:rPr>
                <w:rFonts w:cs="Arial"/>
              </w:rPr>
            </w:pPr>
            <w:r w:rsidRPr="00D33B70">
              <w:rPr>
                <w:rFonts w:cs="Arial"/>
              </w:rPr>
              <w:t>5</w:t>
            </w:r>
          </w:p>
        </w:tc>
        <w:tc>
          <w:tcPr>
            <w:tcW w:w="770"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9B39B1">
            <w:pPr>
              <w:numPr>
                <w:ilvl w:val="12"/>
                <w:numId w:val="0"/>
              </w:numPr>
              <w:jc w:val="left"/>
              <w:rPr>
                <w:rFonts w:cs="Arial"/>
              </w:rPr>
            </w:pPr>
            <w:r w:rsidRPr="00D33B70">
              <w:rPr>
                <w:rFonts w:cs="Arial"/>
              </w:rPr>
              <w:t>20%</w:t>
            </w:r>
          </w:p>
        </w:tc>
        <w:tc>
          <w:tcPr>
            <w:tcW w:w="1417"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3F5B42">
            <w:pPr>
              <w:numPr>
                <w:ilvl w:val="12"/>
                <w:numId w:val="0"/>
              </w:numPr>
              <w:jc w:val="center"/>
              <w:rPr>
                <w:rFonts w:cs="Arial"/>
              </w:rPr>
            </w:pPr>
            <w:r w:rsidRPr="00D33B70">
              <w:rPr>
                <w:rFonts w:cs="Arial"/>
              </w:rPr>
              <w:t>$524,000</w:t>
            </w:r>
          </w:p>
        </w:tc>
        <w:tc>
          <w:tcPr>
            <w:tcW w:w="1641"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3F5B42">
            <w:pPr>
              <w:numPr>
                <w:ilvl w:val="12"/>
                <w:numId w:val="0"/>
              </w:numPr>
              <w:jc w:val="center"/>
              <w:rPr>
                <w:rFonts w:cs="Arial"/>
              </w:rPr>
            </w:pPr>
            <w:r w:rsidRPr="00D33B70">
              <w:rPr>
                <w:rFonts w:cs="Arial"/>
              </w:rPr>
              <w:t>$0</w:t>
            </w:r>
          </w:p>
        </w:tc>
        <w:tc>
          <w:tcPr>
            <w:tcW w:w="1701"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3F5B42">
            <w:pPr>
              <w:numPr>
                <w:ilvl w:val="12"/>
                <w:numId w:val="0"/>
              </w:numPr>
              <w:jc w:val="center"/>
              <w:rPr>
                <w:rFonts w:cs="Arial"/>
              </w:rPr>
            </w:pPr>
            <w:r w:rsidRPr="00D33B70">
              <w:rPr>
                <w:rFonts w:cs="Arial"/>
              </w:rPr>
              <w:t>$157,000</w:t>
            </w:r>
          </w:p>
        </w:tc>
        <w:tc>
          <w:tcPr>
            <w:tcW w:w="1701"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3F5B42">
            <w:pPr>
              <w:numPr>
                <w:ilvl w:val="12"/>
                <w:numId w:val="0"/>
              </w:numPr>
              <w:jc w:val="center"/>
              <w:rPr>
                <w:rFonts w:cs="Arial"/>
              </w:rPr>
            </w:pPr>
            <w:r w:rsidRPr="00D33B70">
              <w:rPr>
                <w:rFonts w:cs="Arial"/>
              </w:rPr>
              <w:t>$681,000</w:t>
            </w:r>
          </w:p>
        </w:tc>
        <w:tc>
          <w:tcPr>
            <w:tcW w:w="1646" w:type="dxa"/>
            <w:tcBorders>
              <w:top w:val="single" w:sz="6" w:space="0" w:color="auto"/>
              <w:left w:val="single" w:sz="6" w:space="0" w:color="auto"/>
              <w:bottom w:val="single" w:sz="6" w:space="0" w:color="auto"/>
              <w:right w:val="single" w:sz="4" w:space="0" w:color="auto"/>
            </w:tcBorders>
            <w:vAlign w:val="center"/>
          </w:tcPr>
          <w:p w:rsidR="00801B1D" w:rsidRPr="00D33B70" w:rsidRDefault="00801B1D" w:rsidP="003F5B42">
            <w:pPr>
              <w:numPr>
                <w:ilvl w:val="12"/>
                <w:numId w:val="0"/>
              </w:numPr>
              <w:jc w:val="center"/>
              <w:rPr>
                <w:rFonts w:cs="Arial"/>
              </w:rPr>
            </w:pPr>
            <w:r w:rsidRPr="00D33B70">
              <w:rPr>
                <w:rFonts w:cs="Arial"/>
              </w:rPr>
              <w:t>$87,000</w:t>
            </w:r>
          </w:p>
        </w:tc>
      </w:tr>
      <w:tr w:rsidR="00801B1D" w:rsidRPr="00D33B70" w:rsidTr="003F5B42">
        <w:trPr>
          <w:trHeight w:val="414"/>
        </w:trPr>
        <w:tc>
          <w:tcPr>
            <w:tcW w:w="818" w:type="dxa"/>
            <w:tcBorders>
              <w:top w:val="single" w:sz="6" w:space="0" w:color="auto"/>
              <w:left w:val="single" w:sz="4" w:space="0" w:color="auto"/>
              <w:bottom w:val="single" w:sz="6" w:space="0" w:color="auto"/>
              <w:right w:val="single" w:sz="6" w:space="0" w:color="auto"/>
            </w:tcBorders>
            <w:vAlign w:val="center"/>
          </w:tcPr>
          <w:p w:rsidR="00801B1D" w:rsidRPr="00D33B70" w:rsidRDefault="00801B1D" w:rsidP="009B39B1">
            <w:pPr>
              <w:numPr>
                <w:ilvl w:val="12"/>
                <w:numId w:val="0"/>
              </w:numPr>
              <w:jc w:val="left"/>
              <w:rPr>
                <w:rFonts w:cs="Arial"/>
              </w:rPr>
            </w:pPr>
            <w:r w:rsidRPr="00D33B70">
              <w:rPr>
                <w:rFonts w:cs="Arial"/>
              </w:rPr>
              <w:t>2</w:t>
            </w:r>
          </w:p>
        </w:tc>
        <w:tc>
          <w:tcPr>
            <w:tcW w:w="770"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9B39B1">
            <w:pPr>
              <w:numPr>
                <w:ilvl w:val="12"/>
                <w:numId w:val="0"/>
              </w:numPr>
              <w:jc w:val="left"/>
              <w:rPr>
                <w:rFonts w:cs="Arial"/>
              </w:rPr>
            </w:pPr>
            <w:r w:rsidRPr="00D33B70">
              <w:rPr>
                <w:rFonts w:cs="Arial"/>
              </w:rPr>
              <w:t>50%</w:t>
            </w:r>
          </w:p>
        </w:tc>
        <w:tc>
          <w:tcPr>
            <w:tcW w:w="1417"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3F5B42">
            <w:pPr>
              <w:numPr>
                <w:ilvl w:val="12"/>
                <w:numId w:val="0"/>
              </w:numPr>
              <w:jc w:val="center"/>
              <w:rPr>
                <w:rFonts w:cs="Arial"/>
              </w:rPr>
            </w:pPr>
          </w:p>
        </w:tc>
        <w:tc>
          <w:tcPr>
            <w:tcW w:w="1641"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3F5B42">
            <w:pPr>
              <w:numPr>
                <w:ilvl w:val="12"/>
                <w:numId w:val="0"/>
              </w:numPr>
              <w:jc w:val="center"/>
              <w:rPr>
                <w:rFonts w:cs="Arial"/>
              </w:rPr>
            </w:pPr>
          </w:p>
        </w:tc>
        <w:tc>
          <w:tcPr>
            <w:tcW w:w="1701"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3F5B42">
            <w:pPr>
              <w:numPr>
                <w:ilvl w:val="12"/>
                <w:numId w:val="0"/>
              </w:numPr>
              <w:jc w:val="center"/>
              <w:rPr>
                <w:rFonts w:cs="Arial"/>
              </w:rPr>
            </w:pPr>
          </w:p>
        </w:tc>
        <w:tc>
          <w:tcPr>
            <w:tcW w:w="1701" w:type="dxa"/>
            <w:tcBorders>
              <w:top w:val="single" w:sz="6" w:space="0" w:color="auto"/>
              <w:left w:val="single" w:sz="6" w:space="0" w:color="auto"/>
              <w:bottom w:val="single" w:sz="6" w:space="0" w:color="auto"/>
              <w:right w:val="single" w:sz="6" w:space="0" w:color="auto"/>
            </w:tcBorders>
            <w:vAlign w:val="center"/>
          </w:tcPr>
          <w:p w:rsidR="00801B1D" w:rsidRPr="00D33B70" w:rsidRDefault="00801B1D" w:rsidP="003F5B42">
            <w:pPr>
              <w:numPr>
                <w:ilvl w:val="12"/>
                <w:numId w:val="0"/>
              </w:numPr>
              <w:jc w:val="center"/>
              <w:rPr>
                <w:rFonts w:cs="Arial"/>
              </w:rPr>
            </w:pPr>
          </w:p>
        </w:tc>
        <w:tc>
          <w:tcPr>
            <w:tcW w:w="1646" w:type="dxa"/>
            <w:tcBorders>
              <w:top w:val="single" w:sz="6" w:space="0" w:color="auto"/>
              <w:left w:val="single" w:sz="6" w:space="0" w:color="auto"/>
              <w:bottom w:val="single" w:sz="6" w:space="0" w:color="auto"/>
              <w:right w:val="single" w:sz="4" w:space="0" w:color="auto"/>
            </w:tcBorders>
            <w:vAlign w:val="center"/>
          </w:tcPr>
          <w:p w:rsidR="00801B1D" w:rsidRPr="00D33B70" w:rsidRDefault="00801B1D" w:rsidP="003F5B42">
            <w:pPr>
              <w:numPr>
                <w:ilvl w:val="12"/>
                <w:numId w:val="0"/>
              </w:numPr>
              <w:jc w:val="center"/>
              <w:rPr>
                <w:rFonts w:cs="Arial"/>
              </w:rPr>
            </w:pPr>
            <w:r w:rsidRPr="00D33B70">
              <w:rPr>
                <w:rFonts w:cs="Arial"/>
              </w:rPr>
              <w:t>$102,000</w:t>
            </w:r>
          </w:p>
        </w:tc>
      </w:tr>
      <w:tr w:rsidR="009B39B1" w:rsidRPr="00D33B70" w:rsidTr="00CB43CE">
        <w:trPr>
          <w:trHeight w:val="391"/>
        </w:trPr>
        <w:tc>
          <w:tcPr>
            <w:tcW w:w="8048" w:type="dxa"/>
            <w:gridSpan w:val="6"/>
            <w:tcBorders>
              <w:top w:val="single" w:sz="6" w:space="0" w:color="auto"/>
              <w:left w:val="single" w:sz="4" w:space="0" w:color="auto"/>
              <w:bottom w:val="single" w:sz="4" w:space="0" w:color="auto"/>
              <w:right w:val="single" w:sz="6" w:space="0" w:color="auto"/>
            </w:tcBorders>
            <w:shd w:val="pct10" w:color="auto" w:fill="auto"/>
            <w:vAlign w:val="center"/>
          </w:tcPr>
          <w:p w:rsidR="009B39B1" w:rsidRPr="00D33B70" w:rsidRDefault="009B39B1" w:rsidP="009B39B1">
            <w:pPr>
              <w:numPr>
                <w:ilvl w:val="12"/>
                <w:numId w:val="0"/>
              </w:numPr>
              <w:jc w:val="left"/>
              <w:rPr>
                <w:rFonts w:cs="Arial"/>
                <w:b/>
              </w:rPr>
            </w:pPr>
            <w:r w:rsidRPr="00D33B70">
              <w:rPr>
                <w:rFonts w:cs="Arial"/>
                <w:b/>
              </w:rPr>
              <w:t>Average Annual Damage</w:t>
            </w:r>
          </w:p>
        </w:tc>
        <w:tc>
          <w:tcPr>
            <w:tcW w:w="1646" w:type="dxa"/>
            <w:tcBorders>
              <w:top w:val="single" w:sz="6" w:space="0" w:color="auto"/>
              <w:left w:val="single" w:sz="6" w:space="0" w:color="auto"/>
              <w:bottom w:val="single" w:sz="4" w:space="0" w:color="auto"/>
              <w:right w:val="single" w:sz="4" w:space="0" w:color="auto"/>
            </w:tcBorders>
            <w:shd w:val="pct10" w:color="auto" w:fill="auto"/>
            <w:vAlign w:val="center"/>
          </w:tcPr>
          <w:p w:rsidR="009B39B1" w:rsidRPr="00D33B70" w:rsidRDefault="009B39B1" w:rsidP="003F5B42">
            <w:pPr>
              <w:numPr>
                <w:ilvl w:val="12"/>
                <w:numId w:val="0"/>
              </w:numPr>
              <w:jc w:val="center"/>
              <w:rPr>
                <w:rFonts w:cs="Arial"/>
                <w:b/>
              </w:rPr>
            </w:pPr>
            <w:r w:rsidRPr="00D33B70">
              <w:rPr>
                <w:rFonts w:cs="Arial"/>
                <w:b/>
              </w:rPr>
              <w:t>$363,000</w:t>
            </w:r>
          </w:p>
        </w:tc>
      </w:tr>
    </w:tbl>
    <w:p w:rsidR="00D57D13" w:rsidRPr="00D33B70" w:rsidRDefault="00D57D13" w:rsidP="00D57D13">
      <w:pPr>
        <w:numPr>
          <w:ilvl w:val="12"/>
          <w:numId w:val="0"/>
        </w:numPr>
        <w:spacing w:before="120"/>
        <w:ind w:left="851"/>
        <w:jc w:val="center"/>
        <w:rPr>
          <w:sz w:val="16"/>
          <w:szCs w:val="16"/>
        </w:rPr>
      </w:pPr>
      <w:r w:rsidRPr="00D33B70">
        <w:rPr>
          <w:sz w:val="16"/>
          <w:szCs w:val="16"/>
          <w:vertAlign w:val="superscript"/>
        </w:rPr>
        <w:t>+</w:t>
      </w:r>
      <w:r w:rsidRPr="00D33B70">
        <w:rPr>
          <w:sz w:val="16"/>
          <w:szCs w:val="16"/>
        </w:rPr>
        <w:t>Note –  PMF damages are an extrapolation of the 1% AEP data, i.e., they were not calculated using PMF flood levels</w:t>
      </w:r>
    </w:p>
    <w:p w:rsidR="00D57D13" w:rsidRPr="00D33B70" w:rsidRDefault="00D57D13" w:rsidP="00D57D13">
      <w:pPr>
        <w:pStyle w:val="Caption"/>
        <w:numPr>
          <w:ilvl w:val="12"/>
          <w:numId w:val="0"/>
        </w:numPr>
        <w:ind w:left="851"/>
      </w:pPr>
      <w:bookmarkStart w:id="411" w:name="_Ref359423908"/>
      <w:bookmarkStart w:id="412" w:name="_Toc387308999"/>
      <w:r w:rsidRPr="00D33B70">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8</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9</w:t>
      </w:r>
      <w:r w:rsidR="00FF3C04" w:rsidRPr="00D33B70">
        <w:fldChar w:fldCharType="end"/>
      </w:r>
      <w:bookmarkEnd w:id="411"/>
      <w:r w:rsidRPr="00D33B70">
        <w:tab/>
        <w:t>Scheme Three Capital Costs</w:t>
      </w:r>
      <w:bookmarkEnd w:id="412"/>
    </w:p>
    <w:tbl>
      <w:tblPr>
        <w:tblW w:w="5200" w:type="dxa"/>
        <w:jc w:val="center"/>
        <w:tblInd w:w="95" w:type="dxa"/>
        <w:tblLook w:val="04A0" w:firstRow="1" w:lastRow="0" w:firstColumn="1" w:lastColumn="0" w:noHBand="0" w:noVBand="1"/>
      </w:tblPr>
      <w:tblGrid>
        <w:gridCol w:w="2600"/>
        <w:gridCol w:w="2600"/>
      </w:tblGrid>
      <w:tr w:rsidR="00D57D13" w:rsidRPr="00D33B70" w:rsidTr="00CC5D90">
        <w:trPr>
          <w:trHeight w:val="315"/>
          <w:jc w:val="center"/>
        </w:trPr>
        <w:tc>
          <w:tcPr>
            <w:tcW w:w="2600" w:type="dxa"/>
            <w:tcBorders>
              <w:top w:val="single" w:sz="4" w:space="0" w:color="auto"/>
              <w:left w:val="single" w:sz="4" w:space="0" w:color="auto"/>
              <w:bottom w:val="single" w:sz="4" w:space="0" w:color="auto"/>
              <w:right w:val="single" w:sz="4" w:space="0" w:color="auto"/>
            </w:tcBorders>
            <w:shd w:val="pct10" w:color="000000" w:fill="auto"/>
            <w:vAlign w:val="center"/>
            <w:hideMark/>
          </w:tcPr>
          <w:p w:rsidR="00D57D13" w:rsidRPr="00D33B70" w:rsidRDefault="00D57D13" w:rsidP="009B39B1">
            <w:pPr>
              <w:overflowPunct/>
              <w:autoSpaceDE/>
              <w:autoSpaceDN/>
              <w:adjustRightInd/>
              <w:jc w:val="left"/>
              <w:textAlignment w:val="auto"/>
              <w:rPr>
                <w:rFonts w:cs="Arial"/>
                <w:b/>
                <w:bCs/>
                <w:color w:val="000000"/>
                <w:lang w:eastAsia="en-AU"/>
              </w:rPr>
            </w:pPr>
            <w:r w:rsidRPr="00D33B70">
              <w:rPr>
                <w:rFonts w:cs="Arial"/>
                <w:b/>
                <w:bCs/>
                <w:color w:val="000000"/>
                <w:lang w:eastAsia="en-AU"/>
              </w:rPr>
              <w:t>Item</w:t>
            </w:r>
          </w:p>
        </w:tc>
        <w:tc>
          <w:tcPr>
            <w:tcW w:w="2600" w:type="dxa"/>
            <w:tcBorders>
              <w:top w:val="single" w:sz="4" w:space="0" w:color="auto"/>
              <w:left w:val="nil"/>
              <w:bottom w:val="single" w:sz="4" w:space="0" w:color="auto"/>
              <w:right w:val="single" w:sz="4" w:space="0" w:color="auto"/>
            </w:tcBorders>
            <w:shd w:val="pct10" w:color="000000" w:fill="auto"/>
            <w:vAlign w:val="center"/>
            <w:hideMark/>
          </w:tcPr>
          <w:p w:rsidR="00D57D13" w:rsidRPr="00D33B70" w:rsidRDefault="00D57D13" w:rsidP="00CC5D90">
            <w:pPr>
              <w:overflowPunct/>
              <w:autoSpaceDE/>
              <w:autoSpaceDN/>
              <w:adjustRightInd/>
              <w:jc w:val="center"/>
              <w:textAlignment w:val="auto"/>
              <w:rPr>
                <w:rFonts w:cs="Arial"/>
                <w:b/>
                <w:bCs/>
                <w:color w:val="000000"/>
                <w:lang w:eastAsia="en-AU"/>
              </w:rPr>
            </w:pPr>
            <w:r w:rsidRPr="00D33B70">
              <w:rPr>
                <w:rFonts w:cs="Arial"/>
                <w:b/>
                <w:bCs/>
                <w:color w:val="000000"/>
                <w:lang w:eastAsia="en-AU"/>
              </w:rPr>
              <w:t>Capital Cost</w:t>
            </w:r>
          </w:p>
        </w:tc>
      </w:tr>
      <w:tr w:rsidR="00392841" w:rsidRPr="00D33B70" w:rsidTr="00CC5D90">
        <w:trPr>
          <w:trHeight w:val="315"/>
          <w:jc w:val="center"/>
        </w:trPr>
        <w:tc>
          <w:tcPr>
            <w:tcW w:w="2600" w:type="dxa"/>
            <w:tcBorders>
              <w:top w:val="nil"/>
              <w:left w:val="single" w:sz="4" w:space="0" w:color="auto"/>
              <w:bottom w:val="single" w:sz="4" w:space="0" w:color="auto"/>
              <w:right w:val="single" w:sz="4" w:space="0" w:color="auto"/>
            </w:tcBorders>
            <w:shd w:val="clear" w:color="auto" w:fill="auto"/>
            <w:hideMark/>
          </w:tcPr>
          <w:p w:rsidR="00392841" w:rsidRPr="00D33B70" w:rsidRDefault="00392841" w:rsidP="009B39B1">
            <w:pPr>
              <w:numPr>
                <w:ilvl w:val="12"/>
                <w:numId w:val="0"/>
              </w:numPr>
              <w:spacing w:before="60" w:after="60"/>
              <w:jc w:val="left"/>
              <w:rPr>
                <w:color w:val="000000"/>
              </w:rPr>
            </w:pPr>
            <w:r w:rsidRPr="00D33B70">
              <w:rPr>
                <w:color w:val="000000"/>
              </w:rPr>
              <w:t>Pipe Works</w:t>
            </w:r>
          </w:p>
        </w:tc>
        <w:tc>
          <w:tcPr>
            <w:tcW w:w="2600" w:type="dxa"/>
            <w:tcBorders>
              <w:top w:val="nil"/>
              <w:left w:val="nil"/>
              <w:bottom w:val="single" w:sz="4" w:space="0" w:color="auto"/>
              <w:right w:val="single" w:sz="4" w:space="0" w:color="auto"/>
            </w:tcBorders>
            <w:shd w:val="clear" w:color="auto" w:fill="auto"/>
            <w:hideMark/>
          </w:tcPr>
          <w:p w:rsidR="00392841" w:rsidRPr="00D33B70" w:rsidRDefault="00392841" w:rsidP="003F5B42">
            <w:pPr>
              <w:numPr>
                <w:ilvl w:val="12"/>
                <w:numId w:val="0"/>
              </w:numPr>
              <w:spacing w:before="60" w:after="60"/>
              <w:jc w:val="center"/>
              <w:rPr>
                <w:color w:val="000000"/>
              </w:rPr>
            </w:pPr>
            <w:r w:rsidRPr="00D33B70">
              <w:rPr>
                <w:color w:val="000000"/>
              </w:rPr>
              <w:t>$18,925,000</w:t>
            </w:r>
          </w:p>
        </w:tc>
      </w:tr>
      <w:tr w:rsidR="00392841" w:rsidRPr="00D33B70" w:rsidTr="00CC5D90">
        <w:trPr>
          <w:trHeight w:val="315"/>
          <w:jc w:val="center"/>
        </w:trPr>
        <w:tc>
          <w:tcPr>
            <w:tcW w:w="2600" w:type="dxa"/>
            <w:tcBorders>
              <w:top w:val="nil"/>
              <w:left w:val="single" w:sz="4" w:space="0" w:color="auto"/>
              <w:bottom w:val="single" w:sz="4" w:space="0" w:color="auto"/>
              <w:right w:val="single" w:sz="4" w:space="0" w:color="auto"/>
            </w:tcBorders>
            <w:shd w:val="clear" w:color="auto" w:fill="auto"/>
            <w:hideMark/>
          </w:tcPr>
          <w:p w:rsidR="00392841" w:rsidRPr="00D33B70" w:rsidRDefault="00392841" w:rsidP="009B39B1">
            <w:pPr>
              <w:numPr>
                <w:ilvl w:val="12"/>
                <w:numId w:val="0"/>
              </w:numPr>
              <w:spacing w:before="60" w:after="60"/>
              <w:jc w:val="left"/>
              <w:rPr>
                <w:color w:val="000000"/>
              </w:rPr>
            </w:pPr>
            <w:r w:rsidRPr="00D33B70">
              <w:rPr>
                <w:color w:val="000000"/>
              </w:rPr>
              <w:t>Contingencies (20%)</w:t>
            </w:r>
          </w:p>
        </w:tc>
        <w:tc>
          <w:tcPr>
            <w:tcW w:w="2600" w:type="dxa"/>
            <w:tcBorders>
              <w:top w:val="nil"/>
              <w:left w:val="nil"/>
              <w:bottom w:val="single" w:sz="4" w:space="0" w:color="auto"/>
              <w:right w:val="single" w:sz="4" w:space="0" w:color="auto"/>
            </w:tcBorders>
            <w:shd w:val="clear" w:color="auto" w:fill="auto"/>
            <w:hideMark/>
          </w:tcPr>
          <w:p w:rsidR="00392841" w:rsidRPr="00D33B70" w:rsidRDefault="00392841" w:rsidP="003F5B42">
            <w:pPr>
              <w:numPr>
                <w:ilvl w:val="12"/>
                <w:numId w:val="0"/>
              </w:numPr>
              <w:spacing w:before="60" w:after="60"/>
              <w:jc w:val="center"/>
              <w:rPr>
                <w:color w:val="000000"/>
              </w:rPr>
            </w:pPr>
            <w:r w:rsidRPr="00D33B70">
              <w:rPr>
                <w:color w:val="000000"/>
              </w:rPr>
              <w:t>$3,785,000</w:t>
            </w:r>
          </w:p>
        </w:tc>
      </w:tr>
      <w:tr w:rsidR="00392841" w:rsidRPr="00D33B70" w:rsidTr="00CC5D90">
        <w:trPr>
          <w:trHeight w:val="315"/>
          <w:jc w:val="center"/>
        </w:trPr>
        <w:tc>
          <w:tcPr>
            <w:tcW w:w="2600" w:type="dxa"/>
            <w:tcBorders>
              <w:top w:val="nil"/>
              <w:left w:val="single" w:sz="4" w:space="0" w:color="auto"/>
              <w:bottom w:val="single" w:sz="4" w:space="0" w:color="auto"/>
              <w:right w:val="single" w:sz="4" w:space="0" w:color="auto"/>
            </w:tcBorders>
            <w:shd w:val="clear" w:color="auto" w:fill="auto"/>
            <w:hideMark/>
          </w:tcPr>
          <w:p w:rsidR="00392841" w:rsidRPr="00D33B70" w:rsidRDefault="00392841" w:rsidP="009B39B1">
            <w:pPr>
              <w:numPr>
                <w:ilvl w:val="12"/>
                <w:numId w:val="0"/>
              </w:numPr>
              <w:spacing w:before="60" w:after="60"/>
              <w:jc w:val="left"/>
              <w:rPr>
                <w:color w:val="000000"/>
              </w:rPr>
            </w:pPr>
            <w:r w:rsidRPr="00D33B70">
              <w:rPr>
                <w:color w:val="000000"/>
              </w:rPr>
              <w:t>Engineering (10%)</w:t>
            </w:r>
          </w:p>
        </w:tc>
        <w:tc>
          <w:tcPr>
            <w:tcW w:w="2600" w:type="dxa"/>
            <w:tcBorders>
              <w:top w:val="nil"/>
              <w:left w:val="nil"/>
              <w:bottom w:val="single" w:sz="4" w:space="0" w:color="auto"/>
              <w:right w:val="single" w:sz="4" w:space="0" w:color="auto"/>
            </w:tcBorders>
            <w:shd w:val="clear" w:color="auto" w:fill="auto"/>
            <w:hideMark/>
          </w:tcPr>
          <w:p w:rsidR="00392841" w:rsidRPr="00D33B70" w:rsidRDefault="00392841" w:rsidP="003F5B42">
            <w:pPr>
              <w:numPr>
                <w:ilvl w:val="12"/>
                <w:numId w:val="0"/>
              </w:numPr>
              <w:spacing w:before="60" w:after="60"/>
              <w:jc w:val="center"/>
              <w:rPr>
                <w:color w:val="000000"/>
              </w:rPr>
            </w:pPr>
            <w:r w:rsidRPr="00D33B70">
              <w:rPr>
                <w:color w:val="000000"/>
              </w:rPr>
              <w:t>$2,839,000</w:t>
            </w:r>
          </w:p>
        </w:tc>
      </w:tr>
      <w:tr w:rsidR="00392841" w:rsidRPr="00D33B70" w:rsidTr="00CC5D90">
        <w:trPr>
          <w:trHeight w:val="315"/>
          <w:jc w:val="center"/>
        </w:trPr>
        <w:tc>
          <w:tcPr>
            <w:tcW w:w="2600" w:type="dxa"/>
            <w:tcBorders>
              <w:top w:val="nil"/>
              <w:left w:val="single" w:sz="4" w:space="0" w:color="auto"/>
              <w:bottom w:val="single" w:sz="4" w:space="0" w:color="auto"/>
              <w:right w:val="single" w:sz="4" w:space="0" w:color="auto"/>
            </w:tcBorders>
            <w:shd w:val="clear" w:color="auto" w:fill="auto"/>
            <w:hideMark/>
          </w:tcPr>
          <w:p w:rsidR="00392841" w:rsidRPr="00D33B70" w:rsidRDefault="00392841" w:rsidP="009B39B1">
            <w:pPr>
              <w:numPr>
                <w:ilvl w:val="12"/>
                <w:numId w:val="0"/>
              </w:numPr>
              <w:spacing w:before="60" w:after="60"/>
              <w:jc w:val="left"/>
              <w:rPr>
                <w:color w:val="000000"/>
              </w:rPr>
            </w:pPr>
            <w:r w:rsidRPr="00D33B70">
              <w:rPr>
                <w:color w:val="000000"/>
              </w:rPr>
              <w:t>Administration (9%)</w:t>
            </w:r>
          </w:p>
        </w:tc>
        <w:tc>
          <w:tcPr>
            <w:tcW w:w="2600" w:type="dxa"/>
            <w:tcBorders>
              <w:top w:val="nil"/>
              <w:left w:val="nil"/>
              <w:bottom w:val="single" w:sz="4" w:space="0" w:color="auto"/>
              <w:right w:val="single" w:sz="4" w:space="0" w:color="auto"/>
            </w:tcBorders>
            <w:shd w:val="clear" w:color="auto" w:fill="auto"/>
            <w:hideMark/>
          </w:tcPr>
          <w:p w:rsidR="00392841" w:rsidRPr="00D33B70" w:rsidRDefault="00392841" w:rsidP="003F5B42">
            <w:pPr>
              <w:numPr>
                <w:ilvl w:val="12"/>
                <w:numId w:val="0"/>
              </w:numPr>
              <w:spacing w:before="60" w:after="60"/>
              <w:jc w:val="center"/>
              <w:rPr>
                <w:color w:val="000000"/>
              </w:rPr>
            </w:pPr>
            <w:r w:rsidRPr="00D33B70">
              <w:rPr>
                <w:color w:val="000000"/>
              </w:rPr>
              <w:t>$1,703,000</w:t>
            </w:r>
          </w:p>
        </w:tc>
      </w:tr>
      <w:tr w:rsidR="00392841" w:rsidRPr="00D33B70" w:rsidTr="00CC5D90">
        <w:trPr>
          <w:trHeight w:val="315"/>
          <w:jc w:val="center"/>
        </w:trPr>
        <w:tc>
          <w:tcPr>
            <w:tcW w:w="2600" w:type="dxa"/>
            <w:tcBorders>
              <w:top w:val="single" w:sz="4" w:space="0" w:color="auto"/>
              <w:left w:val="single" w:sz="4" w:space="0" w:color="auto"/>
              <w:bottom w:val="single" w:sz="4" w:space="0" w:color="auto"/>
              <w:right w:val="single" w:sz="4" w:space="0" w:color="auto"/>
            </w:tcBorders>
            <w:shd w:val="pct10" w:color="000000" w:fill="auto"/>
            <w:vAlign w:val="center"/>
            <w:hideMark/>
          </w:tcPr>
          <w:p w:rsidR="00392841" w:rsidRPr="00D33B70" w:rsidRDefault="00392841" w:rsidP="009B39B1">
            <w:pPr>
              <w:overflowPunct/>
              <w:autoSpaceDE/>
              <w:autoSpaceDN/>
              <w:adjustRightInd/>
              <w:jc w:val="left"/>
              <w:textAlignment w:val="auto"/>
              <w:rPr>
                <w:rFonts w:cs="Arial"/>
                <w:b/>
                <w:bCs/>
                <w:color w:val="000000"/>
                <w:lang w:eastAsia="en-AU"/>
              </w:rPr>
            </w:pPr>
            <w:r w:rsidRPr="00D33B70">
              <w:rPr>
                <w:rFonts w:cs="Arial"/>
                <w:b/>
                <w:bCs/>
                <w:color w:val="000000"/>
                <w:lang w:eastAsia="en-AU"/>
              </w:rPr>
              <w:t>Total</w:t>
            </w:r>
          </w:p>
        </w:tc>
        <w:tc>
          <w:tcPr>
            <w:tcW w:w="2600" w:type="dxa"/>
            <w:tcBorders>
              <w:top w:val="single" w:sz="4" w:space="0" w:color="auto"/>
              <w:left w:val="nil"/>
              <w:bottom w:val="single" w:sz="4" w:space="0" w:color="auto"/>
              <w:right w:val="single" w:sz="4" w:space="0" w:color="auto"/>
            </w:tcBorders>
            <w:shd w:val="pct10" w:color="000000" w:fill="auto"/>
            <w:vAlign w:val="center"/>
            <w:hideMark/>
          </w:tcPr>
          <w:p w:rsidR="00392841" w:rsidRPr="00D33B70" w:rsidRDefault="00392841" w:rsidP="003F5B42">
            <w:pPr>
              <w:overflowPunct/>
              <w:autoSpaceDE/>
              <w:autoSpaceDN/>
              <w:adjustRightInd/>
              <w:jc w:val="center"/>
              <w:textAlignment w:val="auto"/>
              <w:rPr>
                <w:rFonts w:cs="Arial"/>
                <w:b/>
                <w:bCs/>
                <w:color w:val="000000"/>
                <w:lang w:eastAsia="en-AU"/>
              </w:rPr>
            </w:pPr>
            <w:r w:rsidRPr="00D33B70">
              <w:rPr>
                <w:rFonts w:cs="Arial"/>
                <w:b/>
                <w:bCs/>
                <w:color w:val="000000"/>
                <w:lang w:eastAsia="en-AU"/>
              </w:rPr>
              <w:t>$27,252,000</w:t>
            </w:r>
          </w:p>
        </w:tc>
      </w:tr>
    </w:tbl>
    <w:p w:rsidR="00D57D13" w:rsidRPr="00D33B70" w:rsidRDefault="00D57D13" w:rsidP="00D57D13">
      <w:pPr>
        <w:pStyle w:val="Text"/>
        <w:spacing w:before="0" w:line="240" w:lineRule="auto"/>
        <w:rPr>
          <w:sz w:val="2"/>
          <w:szCs w:val="2"/>
        </w:rPr>
      </w:pPr>
    </w:p>
    <w:p w:rsidR="00D57D13" w:rsidRPr="00D33B70" w:rsidRDefault="00D57D13" w:rsidP="00D57D13">
      <w:pPr>
        <w:pStyle w:val="Caption"/>
        <w:numPr>
          <w:ilvl w:val="12"/>
          <w:numId w:val="0"/>
        </w:numPr>
        <w:ind w:left="851"/>
      </w:pPr>
      <w:bookmarkStart w:id="413" w:name="_Ref359423933"/>
      <w:bookmarkStart w:id="414" w:name="_Toc387309000"/>
      <w:r w:rsidRPr="00D33B70">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8</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10</w:t>
      </w:r>
      <w:r w:rsidR="00FF3C04" w:rsidRPr="00D33B70">
        <w:fldChar w:fldCharType="end"/>
      </w:r>
      <w:bookmarkEnd w:id="413"/>
      <w:r w:rsidRPr="00D33B70">
        <w:tab/>
        <w:t>Scheme Three BCR Summary</w:t>
      </w:r>
      <w:bookmarkEnd w:id="414"/>
    </w:p>
    <w:tbl>
      <w:tblPr>
        <w:tblW w:w="0" w:type="auto"/>
        <w:tblInd w:w="397" w:type="dxa"/>
        <w:tblLayout w:type="fixed"/>
        <w:tblCellMar>
          <w:left w:w="30" w:type="dxa"/>
          <w:right w:w="30" w:type="dxa"/>
        </w:tblCellMar>
        <w:tblLook w:val="0000" w:firstRow="0" w:lastRow="0" w:firstColumn="0" w:lastColumn="0" w:noHBand="0" w:noVBand="0"/>
      </w:tblPr>
      <w:tblGrid>
        <w:gridCol w:w="2468"/>
        <w:gridCol w:w="1843"/>
        <w:gridCol w:w="4477"/>
      </w:tblGrid>
      <w:tr w:rsidR="00D57D13" w:rsidRPr="00D33B70" w:rsidTr="00611733">
        <w:trPr>
          <w:trHeight w:val="247"/>
        </w:trPr>
        <w:tc>
          <w:tcPr>
            <w:tcW w:w="2468" w:type="dxa"/>
            <w:tcBorders>
              <w:top w:val="single" w:sz="6" w:space="0" w:color="auto"/>
              <w:left w:val="single" w:sz="6" w:space="0" w:color="auto"/>
              <w:bottom w:val="single" w:sz="6" w:space="0" w:color="auto"/>
              <w:right w:val="single" w:sz="6" w:space="0" w:color="auto"/>
            </w:tcBorders>
            <w:shd w:val="pct10" w:color="auto" w:fill="auto"/>
            <w:tcMar>
              <w:left w:w="113" w:type="dxa"/>
              <w:right w:w="113" w:type="dxa"/>
            </w:tcMar>
          </w:tcPr>
          <w:p w:rsidR="00D57D13" w:rsidRPr="00D33B70" w:rsidRDefault="00D57D13" w:rsidP="00CC5D90">
            <w:pPr>
              <w:numPr>
                <w:ilvl w:val="12"/>
                <w:numId w:val="0"/>
              </w:numPr>
              <w:spacing w:before="60" w:after="60"/>
              <w:jc w:val="left"/>
              <w:rPr>
                <w:b/>
                <w:color w:val="000000"/>
                <w:spacing w:val="0"/>
              </w:rPr>
            </w:pPr>
            <w:r w:rsidRPr="00D33B70">
              <w:rPr>
                <w:b/>
                <w:color w:val="000000"/>
                <w:spacing w:val="0"/>
              </w:rPr>
              <w:t>Item</w:t>
            </w:r>
          </w:p>
        </w:tc>
        <w:tc>
          <w:tcPr>
            <w:tcW w:w="1843" w:type="dxa"/>
            <w:tcBorders>
              <w:top w:val="single" w:sz="6" w:space="0" w:color="auto"/>
              <w:left w:val="single" w:sz="6" w:space="0" w:color="auto"/>
              <w:bottom w:val="single" w:sz="6" w:space="0" w:color="auto"/>
              <w:right w:val="single" w:sz="6" w:space="0" w:color="000000"/>
            </w:tcBorders>
            <w:shd w:val="pct10" w:color="auto" w:fill="auto"/>
          </w:tcPr>
          <w:p w:rsidR="00D57D13" w:rsidRPr="00D33B70" w:rsidRDefault="00D57D13" w:rsidP="00CC5D90">
            <w:pPr>
              <w:numPr>
                <w:ilvl w:val="12"/>
                <w:numId w:val="0"/>
              </w:numPr>
              <w:spacing w:before="60" w:after="60"/>
              <w:jc w:val="center"/>
              <w:rPr>
                <w:b/>
                <w:color w:val="000000"/>
                <w:spacing w:val="0"/>
              </w:rPr>
            </w:pPr>
            <w:r w:rsidRPr="00D33B70">
              <w:rPr>
                <w:b/>
                <w:color w:val="000000"/>
                <w:spacing w:val="0"/>
              </w:rPr>
              <w:t>Existing</w:t>
            </w:r>
          </w:p>
        </w:tc>
        <w:tc>
          <w:tcPr>
            <w:tcW w:w="4477" w:type="dxa"/>
            <w:tcBorders>
              <w:top w:val="single" w:sz="6" w:space="0" w:color="auto"/>
              <w:left w:val="single" w:sz="6" w:space="0" w:color="000000"/>
              <w:bottom w:val="single" w:sz="6" w:space="0" w:color="auto"/>
              <w:right w:val="single" w:sz="6" w:space="0" w:color="auto"/>
            </w:tcBorders>
            <w:shd w:val="pct10" w:color="auto" w:fill="auto"/>
          </w:tcPr>
          <w:p w:rsidR="00D57D13" w:rsidRPr="00D33B70" w:rsidRDefault="00D57D13" w:rsidP="00CC5D90">
            <w:pPr>
              <w:numPr>
                <w:ilvl w:val="12"/>
                <w:numId w:val="0"/>
              </w:numPr>
              <w:spacing w:before="60" w:after="60"/>
              <w:jc w:val="center"/>
              <w:rPr>
                <w:b/>
                <w:color w:val="000000"/>
                <w:spacing w:val="0"/>
              </w:rPr>
            </w:pPr>
            <w:r w:rsidRPr="00D33B70">
              <w:rPr>
                <w:b/>
                <w:color w:val="000000"/>
                <w:spacing w:val="0"/>
              </w:rPr>
              <w:t>Scheme Three</w:t>
            </w:r>
          </w:p>
        </w:tc>
      </w:tr>
      <w:tr w:rsidR="00392841" w:rsidRPr="00D33B70" w:rsidTr="00611733">
        <w:trPr>
          <w:trHeight w:val="247"/>
        </w:trPr>
        <w:tc>
          <w:tcPr>
            <w:tcW w:w="2468" w:type="dxa"/>
            <w:tcBorders>
              <w:top w:val="single" w:sz="6" w:space="0" w:color="auto"/>
              <w:left w:val="single" w:sz="6" w:space="0" w:color="auto"/>
              <w:bottom w:val="single" w:sz="6" w:space="0" w:color="auto"/>
              <w:right w:val="single" w:sz="6" w:space="0" w:color="auto"/>
            </w:tcBorders>
            <w:tcMar>
              <w:left w:w="113" w:type="dxa"/>
              <w:right w:w="113" w:type="dxa"/>
            </w:tcMar>
          </w:tcPr>
          <w:p w:rsidR="00392841" w:rsidRPr="00D33B70" w:rsidRDefault="00392841" w:rsidP="00CC5D90">
            <w:pPr>
              <w:numPr>
                <w:ilvl w:val="12"/>
                <w:numId w:val="0"/>
              </w:numPr>
              <w:spacing w:before="60" w:after="60"/>
              <w:jc w:val="left"/>
              <w:rPr>
                <w:color w:val="000000"/>
                <w:spacing w:val="0"/>
              </w:rPr>
            </w:pPr>
            <w:r w:rsidRPr="00D33B70">
              <w:rPr>
                <w:color w:val="000000"/>
                <w:spacing w:val="0"/>
              </w:rPr>
              <w:t>Damages (PA)</w:t>
            </w:r>
          </w:p>
        </w:tc>
        <w:tc>
          <w:tcPr>
            <w:tcW w:w="1843" w:type="dxa"/>
            <w:tcBorders>
              <w:top w:val="single" w:sz="6" w:space="0" w:color="auto"/>
              <w:left w:val="single" w:sz="6" w:space="0" w:color="auto"/>
              <w:bottom w:val="single" w:sz="6" w:space="0" w:color="auto"/>
              <w:right w:val="single" w:sz="6" w:space="0" w:color="auto"/>
            </w:tcBorders>
          </w:tcPr>
          <w:p w:rsidR="00392841" w:rsidRPr="00D33B70" w:rsidRDefault="00392841" w:rsidP="00CC5D90">
            <w:pPr>
              <w:numPr>
                <w:ilvl w:val="12"/>
                <w:numId w:val="0"/>
              </w:numPr>
              <w:spacing w:before="60" w:after="60"/>
              <w:jc w:val="center"/>
              <w:rPr>
                <w:color w:val="000000"/>
                <w:spacing w:val="0"/>
              </w:rPr>
            </w:pPr>
            <w:r w:rsidRPr="00D33B70">
              <w:rPr>
                <w:color w:val="000000"/>
                <w:spacing w:val="0"/>
              </w:rPr>
              <w:t>$389,000</w:t>
            </w:r>
          </w:p>
        </w:tc>
        <w:tc>
          <w:tcPr>
            <w:tcW w:w="4477" w:type="dxa"/>
            <w:tcBorders>
              <w:top w:val="single" w:sz="6" w:space="0" w:color="auto"/>
              <w:left w:val="single" w:sz="6" w:space="0" w:color="auto"/>
              <w:bottom w:val="single" w:sz="6" w:space="0" w:color="auto"/>
              <w:right w:val="single" w:sz="6" w:space="0" w:color="auto"/>
            </w:tcBorders>
            <w:vAlign w:val="bottom"/>
          </w:tcPr>
          <w:p w:rsidR="00392841" w:rsidRPr="00D33B70" w:rsidRDefault="00392841" w:rsidP="003F5B42">
            <w:pPr>
              <w:numPr>
                <w:ilvl w:val="12"/>
                <w:numId w:val="0"/>
              </w:numPr>
              <w:spacing w:before="60" w:after="60"/>
              <w:jc w:val="center"/>
              <w:rPr>
                <w:color w:val="000000"/>
                <w:spacing w:val="0"/>
              </w:rPr>
            </w:pPr>
            <w:r w:rsidRPr="00D33B70">
              <w:rPr>
                <w:color w:val="000000"/>
                <w:spacing w:val="0"/>
              </w:rPr>
              <w:t>$363,000</w:t>
            </w:r>
          </w:p>
        </w:tc>
      </w:tr>
      <w:tr w:rsidR="00392841" w:rsidRPr="00D33B70" w:rsidTr="00611733">
        <w:trPr>
          <w:trHeight w:val="247"/>
        </w:trPr>
        <w:tc>
          <w:tcPr>
            <w:tcW w:w="2468" w:type="dxa"/>
            <w:tcBorders>
              <w:top w:val="single" w:sz="6" w:space="0" w:color="auto"/>
              <w:left w:val="single" w:sz="6" w:space="0" w:color="auto"/>
              <w:bottom w:val="single" w:sz="6" w:space="0" w:color="auto"/>
              <w:right w:val="single" w:sz="6" w:space="0" w:color="auto"/>
            </w:tcBorders>
            <w:tcMar>
              <w:left w:w="113" w:type="dxa"/>
              <w:right w:w="113" w:type="dxa"/>
            </w:tcMar>
          </w:tcPr>
          <w:p w:rsidR="00392841" w:rsidRPr="00D33B70" w:rsidRDefault="00392841" w:rsidP="00CC5D90">
            <w:pPr>
              <w:numPr>
                <w:ilvl w:val="12"/>
                <w:numId w:val="0"/>
              </w:numPr>
              <w:spacing w:before="60" w:after="60"/>
              <w:jc w:val="left"/>
              <w:rPr>
                <w:color w:val="000000"/>
                <w:spacing w:val="0"/>
              </w:rPr>
            </w:pPr>
            <w:r w:rsidRPr="00D33B70">
              <w:rPr>
                <w:color w:val="000000"/>
                <w:spacing w:val="0"/>
              </w:rPr>
              <w:t>Benefit (PA)</w:t>
            </w:r>
          </w:p>
        </w:tc>
        <w:tc>
          <w:tcPr>
            <w:tcW w:w="1843" w:type="dxa"/>
            <w:tcBorders>
              <w:top w:val="single" w:sz="6" w:space="0" w:color="auto"/>
              <w:left w:val="single" w:sz="6" w:space="0" w:color="auto"/>
              <w:bottom w:val="single" w:sz="6" w:space="0" w:color="auto"/>
              <w:right w:val="single" w:sz="6" w:space="0" w:color="auto"/>
            </w:tcBorders>
          </w:tcPr>
          <w:p w:rsidR="00392841" w:rsidRPr="00D33B70" w:rsidRDefault="00392841" w:rsidP="00CC5D90">
            <w:pPr>
              <w:numPr>
                <w:ilvl w:val="12"/>
                <w:numId w:val="0"/>
              </w:numPr>
              <w:spacing w:before="60" w:after="60"/>
              <w:jc w:val="center"/>
              <w:rPr>
                <w:color w:val="000000"/>
                <w:spacing w:val="0"/>
              </w:rPr>
            </w:pPr>
          </w:p>
        </w:tc>
        <w:tc>
          <w:tcPr>
            <w:tcW w:w="4477" w:type="dxa"/>
            <w:tcBorders>
              <w:top w:val="single" w:sz="6" w:space="0" w:color="auto"/>
              <w:left w:val="single" w:sz="6" w:space="0" w:color="auto"/>
              <w:bottom w:val="single" w:sz="6" w:space="0" w:color="auto"/>
              <w:right w:val="single" w:sz="6" w:space="0" w:color="auto"/>
            </w:tcBorders>
            <w:vAlign w:val="bottom"/>
          </w:tcPr>
          <w:p w:rsidR="00392841" w:rsidRPr="00D33B70" w:rsidRDefault="00392841" w:rsidP="003F5B42">
            <w:pPr>
              <w:numPr>
                <w:ilvl w:val="12"/>
                <w:numId w:val="0"/>
              </w:numPr>
              <w:spacing w:before="60" w:after="60"/>
              <w:jc w:val="center"/>
              <w:rPr>
                <w:color w:val="000000"/>
                <w:spacing w:val="0"/>
              </w:rPr>
            </w:pPr>
            <w:r w:rsidRPr="00D33B70">
              <w:rPr>
                <w:color w:val="000000"/>
                <w:spacing w:val="0"/>
              </w:rPr>
              <w:t>$26,000</w:t>
            </w:r>
          </w:p>
        </w:tc>
      </w:tr>
      <w:tr w:rsidR="00392841" w:rsidRPr="00D33B70" w:rsidTr="00611733">
        <w:trPr>
          <w:trHeight w:val="247"/>
        </w:trPr>
        <w:tc>
          <w:tcPr>
            <w:tcW w:w="2468" w:type="dxa"/>
            <w:tcBorders>
              <w:top w:val="single" w:sz="6" w:space="0" w:color="auto"/>
              <w:left w:val="single" w:sz="6" w:space="0" w:color="auto"/>
              <w:bottom w:val="single" w:sz="6" w:space="0" w:color="auto"/>
              <w:right w:val="single" w:sz="6" w:space="0" w:color="auto"/>
            </w:tcBorders>
            <w:tcMar>
              <w:left w:w="113" w:type="dxa"/>
              <w:right w:w="113" w:type="dxa"/>
            </w:tcMar>
          </w:tcPr>
          <w:p w:rsidR="00392841" w:rsidRPr="00D33B70" w:rsidRDefault="00392841" w:rsidP="00CC5D90">
            <w:pPr>
              <w:numPr>
                <w:ilvl w:val="12"/>
                <w:numId w:val="0"/>
              </w:numPr>
              <w:spacing w:before="60" w:after="60"/>
              <w:jc w:val="left"/>
              <w:rPr>
                <w:color w:val="000000"/>
                <w:spacing w:val="0"/>
              </w:rPr>
            </w:pPr>
            <w:r w:rsidRPr="00D33B70">
              <w:rPr>
                <w:color w:val="000000"/>
                <w:spacing w:val="0"/>
              </w:rPr>
              <w:t>Benefit (NPV)</w:t>
            </w:r>
          </w:p>
        </w:tc>
        <w:tc>
          <w:tcPr>
            <w:tcW w:w="1843" w:type="dxa"/>
            <w:tcBorders>
              <w:top w:val="single" w:sz="6" w:space="0" w:color="auto"/>
              <w:left w:val="single" w:sz="6" w:space="0" w:color="auto"/>
              <w:bottom w:val="single" w:sz="6" w:space="0" w:color="auto"/>
              <w:right w:val="single" w:sz="6" w:space="0" w:color="auto"/>
            </w:tcBorders>
          </w:tcPr>
          <w:p w:rsidR="00392841" w:rsidRPr="00D33B70" w:rsidRDefault="00392841" w:rsidP="00CC5D90">
            <w:pPr>
              <w:numPr>
                <w:ilvl w:val="12"/>
                <w:numId w:val="0"/>
              </w:numPr>
              <w:spacing w:before="60" w:after="60"/>
              <w:jc w:val="center"/>
              <w:rPr>
                <w:color w:val="000000"/>
                <w:spacing w:val="0"/>
              </w:rPr>
            </w:pPr>
          </w:p>
        </w:tc>
        <w:tc>
          <w:tcPr>
            <w:tcW w:w="4477" w:type="dxa"/>
            <w:tcBorders>
              <w:top w:val="single" w:sz="6" w:space="0" w:color="auto"/>
              <w:left w:val="single" w:sz="6" w:space="0" w:color="auto"/>
              <w:bottom w:val="single" w:sz="6" w:space="0" w:color="auto"/>
              <w:right w:val="single" w:sz="6" w:space="0" w:color="auto"/>
            </w:tcBorders>
            <w:vAlign w:val="bottom"/>
          </w:tcPr>
          <w:p w:rsidR="00392841" w:rsidRPr="00D33B70" w:rsidRDefault="00392841" w:rsidP="003F5B42">
            <w:pPr>
              <w:numPr>
                <w:ilvl w:val="12"/>
                <w:numId w:val="0"/>
              </w:numPr>
              <w:spacing w:before="60" w:after="60"/>
              <w:jc w:val="center"/>
              <w:rPr>
                <w:color w:val="000000"/>
                <w:spacing w:val="0"/>
              </w:rPr>
            </w:pPr>
            <w:r w:rsidRPr="00D33B70">
              <w:rPr>
                <w:color w:val="000000"/>
                <w:spacing w:val="0"/>
              </w:rPr>
              <w:t>$323,000</w:t>
            </w:r>
          </w:p>
        </w:tc>
      </w:tr>
      <w:tr w:rsidR="00392841" w:rsidRPr="00D33B70" w:rsidTr="00611733">
        <w:trPr>
          <w:trHeight w:val="247"/>
        </w:trPr>
        <w:tc>
          <w:tcPr>
            <w:tcW w:w="2468" w:type="dxa"/>
            <w:tcBorders>
              <w:top w:val="single" w:sz="6" w:space="0" w:color="auto"/>
              <w:left w:val="single" w:sz="6" w:space="0" w:color="auto"/>
              <w:bottom w:val="single" w:sz="6" w:space="0" w:color="auto"/>
              <w:right w:val="single" w:sz="6" w:space="0" w:color="auto"/>
            </w:tcBorders>
            <w:tcMar>
              <w:left w:w="113" w:type="dxa"/>
              <w:right w:w="113" w:type="dxa"/>
            </w:tcMar>
          </w:tcPr>
          <w:p w:rsidR="00392841" w:rsidRPr="00D33B70" w:rsidRDefault="00392841" w:rsidP="00CC5D90">
            <w:pPr>
              <w:numPr>
                <w:ilvl w:val="12"/>
                <w:numId w:val="0"/>
              </w:numPr>
              <w:spacing w:before="60" w:after="60"/>
              <w:jc w:val="left"/>
              <w:rPr>
                <w:color w:val="000000"/>
                <w:spacing w:val="0"/>
              </w:rPr>
            </w:pPr>
            <w:r w:rsidRPr="00D33B70">
              <w:rPr>
                <w:color w:val="000000"/>
                <w:spacing w:val="0"/>
              </w:rPr>
              <w:t>Capital Cost</w:t>
            </w:r>
          </w:p>
        </w:tc>
        <w:tc>
          <w:tcPr>
            <w:tcW w:w="1843" w:type="dxa"/>
            <w:tcBorders>
              <w:top w:val="single" w:sz="6" w:space="0" w:color="auto"/>
              <w:left w:val="single" w:sz="6" w:space="0" w:color="auto"/>
              <w:bottom w:val="single" w:sz="6" w:space="0" w:color="auto"/>
              <w:right w:val="single" w:sz="6" w:space="0" w:color="auto"/>
            </w:tcBorders>
          </w:tcPr>
          <w:p w:rsidR="00392841" w:rsidRPr="00D33B70" w:rsidRDefault="00392841" w:rsidP="00CC5D90">
            <w:pPr>
              <w:numPr>
                <w:ilvl w:val="12"/>
                <w:numId w:val="0"/>
              </w:numPr>
              <w:spacing w:before="60" w:after="60"/>
              <w:jc w:val="center"/>
              <w:rPr>
                <w:color w:val="000000"/>
                <w:spacing w:val="0"/>
              </w:rPr>
            </w:pPr>
          </w:p>
        </w:tc>
        <w:tc>
          <w:tcPr>
            <w:tcW w:w="4477" w:type="dxa"/>
            <w:tcBorders>
              <w:top w:val="single" w:sz="6" w:space="0" w:color="auto"/>
              <w:left w:val="single" w:sz="6" w:space="0" w:color="auto"/>
              <w:bottom w:val="single" w:sz="6" w:space="0" w:color="auto"/>
              <w:right w:val="single" w:sz="6" w:space="0" w:color="auto"/>
            </w:tcBorders>
            <w:vAlign w:val="bottom"/>
          </w:tcPr>
          <w:p w:rsidR="00392841" w:rsidRPr="00D33B70" w:rsidRDefault="00392841" w:rsidP="00E71675">
            <w:pPr>
              <w:numPr>
                <w:ilvl w:val="12"/>
                <w:numId w:val="0"/>
              </w:numPr>
              <w:spacing w:before="60" w:after="60"/>
              <w:jc w:val="center"/>
              <w:rPr>
                <w:color w:val="000000"/>
                <w:spacing w:val="0"/>
              </w:rPr>
            </w:pPr>
            <w:r w:rsidRPr="00D33B70">
              <w:rPr>
                <w:color w:val="000000"/>
                <w:spacing w:val="0"/>
              </w:rPr>
              <w:t>$</w:t>
            </w:r>
            <w:r w:rsidR="00E71675" w:rsidRPr="00D33B70">
              <w:rPr>
                <w:color w:val="000000"/>
                <w:spacing w:val="0"/>
              </w:rPr>
              <w:t>27,252</w:t>
            </w:r>
            <w:r w:rsidRPr="00D33B70">
              <w:rPr>
                <w:color w:val="000000"/>
                <w:spacing w:val="0"/>
              </w:rPr>
              <w:t>,000</w:t>
            </w:r>
          </w:p>
        </w:tc>
      </w:tr>
      <w:tr w:rsidR="00392841" w:rsidRPr="00D33B70" w:rsidTr="00611733">
        <w:trPr>
          <w:trHeight w:val="247"/>
        </w:trPr>
        <w:tc>
          <w:tcPr>
            <w:tcW w:w="2468" w:type="dxa"/>
            <w:tcBorders>
              <w:top w:val="single" w:sz="6" w:space="0" w:color="auto"/>
              <w:left w:val="single" w:sz="6" w:space="0" w:color="auto"/>
              <w:bottom w:val="single" w:sz="6" w:space="0" w:color="auto"/>
              <w:right w:val="single" w:sz="6" w:space="0" w:color="auto"/>
            </w:tcBorders>
            <w:tcMar>
              <w:left w:w="113" w:type="dxa"/>
              <w:right w:w="113" w:type="dxa"/>
            </w:tcMar>
          </w:tcPr>
          <w:p w:rsidR="00392841" w:rsidRPr="00D33B70" w:rsidRDefault="00392841" w:rsidP="00CC5D90">
            <w:pPr>
              <w:numPr>
                <w:ilvl w:val="12"/>
                <w:numId w:val="0"/>
              </w:numPr>
              <w:spacing w:before="60" w:after="60"/>
              <w:jc w:val="left"/>
              <w:rPr>
                <w:color w:val="000000"/>
                <w:spacing w:val="0"/>
                <w:vertAlign w:val="superscript"/>
              </w:rPr>
            </w:pPr>
            <w:r w:rsidRPr="00D33B70">
              <w:rPr>
                <w:color w:val="000000"/>
                <w:spacing w:val="0"/>
              </w:rPr>
              <w:t>Maintenance (PA)</w:t>
            </w:r>
          </w:p>
        </w:tc>
        <w:tc>
          <w:tcPr>
            <w:tcW w:w="1843" w:type="dxa"/>
            <w:tcBorders>
              <w:top w:val="single" w:sz="6" w:space="0" w:color="auto"/>
              <w:left w:val="single" w:sz="6" w:space="0" w:color="auto"/>
              <w:bottom w:val="single" w:sz="6" w:space="0" w:color="auto"/>
              <w:right w:val="single" w:sz="6" w:space="0" w:color="auto"/>
            </w:tcBorders>
          </w:tcPr>
          <w:p w:rsidR="00392841" w:rsidRPr="00D33B70" w:rsidRDefault="00392841" w:rsidP="00CC5D90">
            <w:pPr>
              <w:numPr>
                <w:ilvl w:val="12"/>
                <w:numId w:val="0"/>
              </w:numPr>
              <w:spacing w:before="60" w:after="60"/>
              <w:jc w:val="center"/>
              <w:rPr>
                <w:color w:val="000000"/>
                <w:spacing w:val="0"/>
              </w:rPr>
            </w:pPr>
          </w:p>
        </w:tc>
        <w:tc>
          <w:tcPr>
            <w:tcW w:w="4477" w:type="dxa"/>
            <w:tcBorders>
              <w:top w:val="single" w:sz="6" w:space="0" w:color="auto"/>
              <w:left w:val="single" w:sz="6" w:space="0" w:color="auto"/>
              <w:bottom w:val="single" w:sz="6" w:space="0" w:color="auto"/>
              <w:right w:val="single" w:sz="6" w:space="0" w:color="auto"/>
            </w:tcBorders>
            <w:vAlign w:val="bottom"/>
          </w:tcPr>
          <w:p w:rsidR="00392841" w:rsidRPr="00D33B70" w:rsidRDefault="00392841" w:rsidP="00E71675">
            <w:pPr>
              <w:numPr>
                <w:ilvl w:val="12"/>
                <w:numId w:val="0"/>
              </w:numPr>
              <w:spacing w:before="60" w:after="60"/>
              <w:jc w:val="center"/>
              <w:rPr>
                <w:color w:val="000000"/>
                <w:spacing w:val="0"/>
              </w:rPr>
            </w:pPr>
            <w:r w:rsidRPr="00D33B70">
              <w:rPr>
                <w:color w:val="000000"/>
                <w:spacing w:val="0"/>
              </w:rPr>
              <w:t>$6</w:t>
            </w:r>
            <w:r w:rsidR="00E71675" w:rsidRPr="00D33B70">
              <w:rPr>
                <w:color w:val="000000"/>
                <w:spacing w:val="0"/>
              </w:rPr>
              <w:t>54</w:t>
            </w:r>
            <w:r w:rsidRPr="00D33B70">
              <w:rPr>
                <w:color w:val="000000"/>
                <w:spacing w:val="0"/>
              </w:rPr>
              <w:t>,000</w:t>
            </w:r>
          </w:p>
        </w:tc>
      </w:tr>
      <w:tr w:rsidR="00392841" w:rsidRPr="00D33B70" w:rsidTr="00611733">
        <w:trPr>
          <w:trHeight w:val="247"/>
        </w:trPr>
        <w:tc>
          <w:tcPr>
            <w:tcW w:w="2468" w:type="dxa"/>
            <w:tcBorders>
              <w:top w:val="single" w:sz="6" w:space="0" w:color="auto"/>
              <w:left w:val="single" w:sz="6" w:space="0" w:color="auto"/>
              <w:bottom w:val="single" w:sz="6" w:space="0" w:color="auto"/>
              <w:right w:val="single" w:sz="6" w:space="0" w:color="auto"/>
            </w:tcBorders>
            <w:tcMar>
              <w:left w:w="113" w:type="dxa"/>
              <w:right w:w="113" w:type="dxa"/>
            </w:tcMar>
          </w:tcPr>
          <w:p w:rsidR="00392841" w:rsidRPr="00D33B70" w:rsidRDefault="00392841" w:rsidP="00CC5D90">
            <w:pPr>
              <w:numPr>
                <w:ilvl w:val="12"/>
                <w:numId w:val="0"/>
              </w:numPr>
              <w:spacing w:before="60" w:after="60"/>
              <w:jc w:val="left"/>
              <w:rPr>
                <w:color w:val="000000"/>
                <w:spacing w:val="0"/>
                <w:vertAlign w:val="superscript"/>
              </w:rPr>
            </w:pPr>
            <w:r w:rsidRPr="00D33B70">
              <w:rPr>
                <w:color w:val="000000"/>
                <w:spacing w:val="0"/>
              </w:rPr>
              <w:t>Maintenance (NPV)</w:t>
            </w:r>
          </w:p>
        </w:tc>
        <w:tc>
          <w:tcPr>
            <w:tcW w:w="1843" w:type="dxa"/>
            <w:tcBorders>
              <w:top w:val="single" w:sz="6" w:space="0" w:color="auto"/>
              <w:left w:val="single" w:sz="6" w:space="0" w:color="auto"/>
              <w:bottom w:val="single" w:sz="6" w:space="0" w:color="auto"/>
              <w:right w:val="single" w:sz="6" w:space="0" w:color="auto"/>
            </w:tcBorders>
          </w:tcPr>
          <w:p w:rsidR="00392841" w:rsidRPr="00D33B70" w:rsidRDefault="00392841" w:rsidP="00CC5D90">
            <w:pPr>
              <w:numPr>
                <w:ilvl w:val="12"/>
                <w:numId w:val="0"/>
              </w:numPr>
              <w:spacing w:before="60" w:after="60"/>
              <w:jc w:val="center"/>
              <w:rPr>
                <w:color w:val="000000"/>
                <w:spacing w:val="0"/>
              </w:rPr>
            </w:pPr>
          </w:p>
        </w:tc>
        <w:tc>
          <w:tcPr>
            <w:tcW w:w="4477" w:type="dxa"/>
            <w:tcBorders>
              <w:top w:val="single" w:sz="6" w:space="0" w:color="auto"/>
              <w:left w:val="single" w:sz="6" w:space="0" w:color="auto"/>
              <w:bottom w:val="single" w:sz="6" w:space="0" w:color="auto"/>
              <w:right w:val="single" w:sz="6" w:space="0" w:color="auto"/>
            </w:tcBorders>
            <w:vAlign w:val="bottom"/>
          </w:tcPr>
          <w:p w:rsidR="00392841" w:rsidRPr="00D33B70" w:rsidRDefault="00392841" w:rsidP="00E71675">
            <w:pPr>
              <w:numPr>
                <w:ilvl w:val="12"/>
                <w:numId w:val="0"/>
              </w:numPr>
              <w:spacing w:before="60" w:after="60"/>
              <w:jc w:val="center"/>
              <w:rPr>
                <w:color w:val="000000"/>
                <w:spacing w:val="0"/>
              </w:rPr>
            </w:pPr>
            <w:r w:rsidRPr="00D33B70">
              <w:rPr>
                <w:color w:val="000000"/>
                <w:spacing w:val="0"/>
              </w:rPr>
              <w:t>$</w:t>
            </w:r>
            <w:r w:rsidR="00E71675" w:rsidRPr="00D33B70">
              <w:rPr>
                <w:color w:val="000000"/>
                <w:spacing w:val="0"/>
              </w:rPr>
              <w:t>8,116</w:t>
            </w:r>
            <w:r w:rsidRPr="00D33B70">
              <w:rPr>
                <w:color w:val="000000"/>
                <w:spacing w:val="0"/>
              </w:rPr>
              <w:t>,000</w:t>
            </w:r>
          </w:p>
        </w:tc>
      </w:tr>
      <w:tr w:rsidR="00392841" w:rsidRPr="00D33B70" w:rsidTr="00611733">
        <w:trPr>
          <w:trHeight w:val="262"/>
        </w:trPr>
        <w:tc>
          <w:tcPr>
            <w:tcW w:w="2468" w:type="dxa"/>
            <w:tcBorders>
              <w:top w:val="single" w:sz="6" w:space="0" w:color="auto"/>
              <w:left w:val="single" w:sz="6" w:space="0" w:color="auto"/>
              <w:bottom w:val="single" w:sz="6" w:space="0" w:color="auto"/>
              <w:right w:val="single" w:sz="6" w:space="0" w:color="auto"/>
            </w:tcBorders>
            <w:tcMar>
              <w:left w:w="113" w:type="dxa"/>
              <w:right w:w="113" w:type="dxa"/>
            </w:tcMar>
          </w:tcPr>
          <w:p w:rsidR="00392841" w:rsidRPr="00D33B70" w:rsidRDefault="00392841" w:rsidP="00CC5D90">
            <w:pPr>
              <w:numPr>
                <w:ilvl w:val="12"/>
                <w:numId w:val="0"/>
              </w:numPr>
              <w:spacing w:before="60" w:after="60"/>
              <w:jc w:val="left"/>
              <w:rPr>
                <w:color w:val="000000"/>
                <w:spacing w:val="0"/>
              </w:rPr>
            </w:pPr>
            <w:r w:rsidRPr="00D33B70">
              <w:rPr>
                <w:color w:val="000000"/>
                <w:spacing w:val="0"/>
              </w:rPr>
              <w:t>Total Option Cost</w:t>
            </w:r>
          </w:p>
        </w:tc>
        <w:tc>
          <w:tcPr>
            <w:tcW w:w="1843" w:type="dxa"/>
            <w:tcBorders>
              <w:top w:val="single" w:sz="6" w:space="0" w:color="auto"/>
              <w:left w:val="single" w:sz="6" w:space="0" w:color="auto"/>
              <w:bottom w:val="single" w:sz="6" w:space="0" w:color="auto"/>
              <w:right w:val="single" w:sz="6" w:space="0" w:color="auto"/>
            </w:tcBorders>
          </w:tcPr>
          <w:p w:rsidR="00392841" w:rsidRPr="00D33B70" w:rsidRDefault="00392841" w:rsidP="00CC5D90">
            <w:pPr>
              <w:numPr>
                <w:ilvl w:val="12"/>
                <w:numId w:val="0"/>
              </w:numPr>
              <w:spacing w:before="60" w:after="60"/>
              <w:jc w:val="center"/>
              <w:rPr>
                <w:color w:val="000000"/>
                <w:spacing w:val="0"/>
              </w:rPr>
            </w:pPr>
          </w:p>
        </w:tc>
        <w:tc>
          <w:tcPr>
            <w:tcW w:w="4477" w:type="dxa"/>
            <w:tcBorders>
              <w:top w:val="single" w:sz="6" w:space="0" w:color="auto"/>
              <w:left w:val="single" w:sz="6" w:space="0" w:color="auto"/>
              <w:bottom w:val="single" w:sz="6" w:space="0" w:color="auto"/>
              <w:right w:val="single" w:sz="6" w:space="0" w:color="auto"/>
            </w:tcBorders>
            <w:vAlign w:val="bottom"/>
          </w:tcPr>
          <w:p w:rsidR="00392841" w:rsidRPr="00D33B70" w:rsidRDefault="00392841" w:rsidP="00E71675">
            <w:pPr>
              <w:numPr>
                <w:ilvl w:val="12"/>
                <w:numId w:val="0"/>
              </w:numPr>
              <w:spacing w:before="60" w:after="60"/>
              <w:jc w:val="center"/>
              <w:rPr>
                <w:color w:val="000000"/>
                <w:spacing w:val="0"/>
              </w:rPr>
            </w:pPr>
            <w:r w:rsidRPr="00D33B70">
              <w:rPr>
                <w:color w:val="000000"/>
                <w:spacing w:val="0"/>
              </w:rPr>
              <w:t>$</w:t>
            </w:r>
            <w:r w:rsidR="00E71675" w:rsidRPr="00D33B70">
              <w:rPr>
                <w:color w:val="000000"/>
                <w:spacing w:val="0"/>
              </w:rPr>
              <w:t>35,368</w:t>
            </w:r>
            <w:r w:rsidRPr="00D33B70">
              <w:rPr>
                <w:color w:val="000000"/>
                <w:spacing w:val="0"/>
              </w:rPr>
              <w:t>,000</w:t>
            </w:r>
          </w:p>
        </w:tc>
      </w:tr>
      <w:tr w:rsidR="009B39B1" w:rsidRPr="00D33B70" w:rsidTr="00611733">
        <w:trPr>
          <w:trHeight w:val="270"/>
        </w:trPr>
        <w:tc>
          <w:tcPr>
            <w:tcW w:w="4311" w:type="dxa"/>
            <w:gridSpan w:val="2"/>
            <w:tcBorders>
              <w:top w:val="single" w:sz="6" w:space="0" w:color="auto"/>
              <w:left w:val="single" w:sz="6" w:space="0" w:color="auto"/>
              <w:bottom w:val="single" w:sz="6" w:space="0" w:color="auto"/>
              <w:right w:val="single" w:sz="6" w:space="0" w:color="auto"/>
            </w:tcBorders>
            <w:shd w:val="pct10" w:color="auto" w:fill="auto"/>
          </w:tcPr>
          <w:p w:rsidR="009B39B1" w:rsidRPr="00D33B70" w:rsidRDefault="009B39B1" w:rsidP="009B39B1">
            <w:pPr>
              <w:numPr>
                <w:ilvl w:val="12"/>
                <w:numId w:val="0"/>
              </w:numPr>
              <w:spacing w:before="60" w:after="60"/>
              <w:jc w:val="left"/>
              <w:rPr>
                <w:color w:val="000000"/>
                <w:spacing w:val="0"/>
              </w:rPr>
            </w:pPr>
            <w:r w:rsidRPr="00D33B70">
              <w:rPr>
                <w:b/>
                <w:color w:val="000000"/>
                <w:spacing w:val="0"/>
              </w:rPr>
              <w:t>BCR</w:t>
            </w:r>
          </w:p>
        </w:tc>
        <w:tc>
          <w:tcPr>
            <w:tcW w:w="4477" w:type="dxa"/>
            <w:tcBorders>
              <w:top w:val="single" w:sz="6" w:space="0" w:color="auto"/>
              <w:left w:val="single" w:sz="6" w:space="0" w:color="auto"/>
              <w:bottom w:val="single" w:sz="6" w:space="0" w:color="auto"/>
              <w:right w:val="single" w:sz="6" w:space="0" w:color="auto"/>
            </w:tcBorders>
            <w:shd w:val="pct10" w:color="auto" w:fill="auto"/>
            <w:vAlign w:val="center"/>
          </w:tcPr>
          <w:p w:rsidR="009B39B1" w:rsidRPr="00D33B70" w:rsidRDefault="009B39B1" w:rsidP="003F5B42">
            <w:pPr>
              <w:numPr>
                <w:ilvl w:val="12"/>
                <w:numId w:val="0"/>
              </w:numPr>
              <w:jc w:val="center"/>
              <w:rPr>
                <w:b/>
              </w:rPr>
            </w:pPr>
            <w:r w:rsidRPr="00D33B70">
              <w:rPr>
                <w:b/>
              </w:rPr>
              <w:t>0.01</w:t>
            </w:r>
          </w:p>
        </w:tc>
      </w:tr>
    </w:tbl>
    <w:p w:rsidR="00D57D13" w:rsidRPr="00D33B70" w:rsidRDefault="00D57D13" w:rsidP="00D57D13">
      <w:pPr>
        <w:pStyle w:val="Text"/>
        <w:numPr>
          <w:ilvl w:val="12"/>
          <w:numId w:val="0"/>
        </w:numPr>
        <w:ind w:left="851"/>
        <w:rPr>
          <w:highlight w:val="yellow"/>
        </w:rPr>
      </w:pPr>
    </w:p>
    <w:p w:rsidR="00D57D13" w:rsidRPr="00D33B70" w:rsidRDefault="00D57D13" w:rsidP="00D57D13">
      <w:pPr>
        <w:numPr>
          <w:ilvl w:val="12"/>
          <w:numId w:val="0"/>
        </w:numPr>
        <w:ind w:left="851"/>
        <w:jc w:val="left"/>
        <w:rPr>
          <w:b/>
          <w:sz w:val="18"/>
          <w:highlight w:val="yellow"/>
        </w:rPr>
      </w:pPr>
    </w:p>
    <w:p w:rsidR="00FF3C04" w:rsidRPr="00D33B70" w:rsidRDefault="00E964D6" w:rsidP="00AD174D">
      <w:pPr>
        <w:pStyle w:val="Text"/>
      </w:pPr>
      <w:bookmarkStart w:id="415" w:name="_Ref359423842"/>
      <w:r w:rsidRPr="00D33B70">
        <w:rPr>
          <w:noProof/>
          <w:lang w:eastAsia="en-AU"/>
        </w:rPr>
        <w:lastRenderedPageBreak/>
        <w:drawing>
          <wp:inline distT="0" distB="0" distL="0" distR="0" wp14:anchorId="284830E6" wp14:editId="7488B733">
            <wp:extent cx="5581403" cy="3645603"/>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584081" cy="3647352"/>
                    </a:xfrm>
                    <a:prstGeom prst="rect">
                      <a:avLst/>
                    </a:prstGeom>
                    <a:noFill/>
                  </pic:spPr>
                </pic:pic>
              </a:graphicData>
            </a:graphic>
          </wp:inline>
        </w:drawing>
      </w:r>
      <w:bookmarkEnd w:id="415"/>
    </w:p>
    <w:p w:rsidR="00D57D13" w:rsidRPr="00D33B70" w:rsidRDefault="00FF3C04" w:rsidP="00FF3C04">
      <w:pPr>
        <w:pStyle w:val="Caption"/>
        <w:rPr>
          <w:b w:val="0"/>
        </w:rPr>
      </w:pPr>
      <w:bookmarkStart w:id="416" w:name="_Ref367886911"/>
      <w:bookmarkStart w:id="417" w:name="_Toc387308971"/>
      <w:r w:rsidRPr="00D33B70">
        <w:t xml:space="preserve">Figure </w:t>
      </w:r>
      <w:r w:rsidRPr="00D33B70">
        <w:fldChar w:fldCharType="begin"/>
      </w:r>
      <w:r w:rsidRPr="00D33B70">
        <w:instrText xml:space="preserve"> STYLEREF 1 \s </w:instrText>
      </w:r>
      <w:r w:rsidRPr="00D33B70">
        <w:fldChar w:fldCharType="separate"/>
      </w:r>
      <w:r w:rsidR="00AC6986">
        <w:rPr>
          <w:noProof/>
        </w:rPr>
        <w:t>8</w:t>
      </w:r>
      <w:r w:rsidRPr="00D33B70">
        <w:fldChar w:fldCharType="end"/>
      </w:r>
      <w:r w:rsidRPr="00D33B70">
        <w:noBreakHyphen/>
      </w:r>
      <w:r w:rsidRPr="00D33B70">
        <w:fldChar w:fldCharType="begin"/>
      </w:r>
      <w:r w:rsidRPr="00D33B70">
        <w:instrText xml:space="preserve"> SEQ Figure \* ARABIC \s 1 </w:instrText>
      </w:r>
      <w:r w:rsidRPr="00D33B70">
        <w:fldChar w:fldCharType="separate"/>
      </w:r>
      <w:r w:rsidR="00AC6986">
        <w:rPr>
          <w:noProof/>
        </w:rPr>
        <w:t>3</w:t>
      </w:r>
      <w:r w:rsidRPr="00D33B70">
        <w:fldChar w:fldCharType="end"/>
      </w:r>
      <w:bookmarkEnd w:id="416"/>
      <w:r w:rsidRPr="00D33B70">
        <w:tab/>
        <w:t>Scheme Two Probability Damages Curve</w:t>
      </w:r>
      <w:bookmarkEnd w:id="417"/>
    </w:p>
    <w:p w:rsidR="00926DA9" w:rsidRPr="00D33B70" w:rsidRDefault="00926DA9" w:rsidP="00926DA9">
      <w:pPr>
        <w:pStyle w:val="Text"/>
        <w:rPr>
          <w:b/>
        </w:rPr>
      </w:pPr>
    </w:p>
    <w:p w:rsidR="00EA5B48" w:rsidRPr="00D33B70" w:rsidRDefault="00EA5B48" w:rsidP="00EF2A8B">
      <w:pPr>
        <w:pStyle w:val="Text"/>
        <w:sectPr w:rsidR="00EA5B48" w:rsidRPr="00D33B70" w:rsidSect="007018E6">
          <w:pgSz w:w="11907" w:h="16840"/>
          <w:pgMar w:top="1418" w:right="1134" w:bottom="1418" w:left="1134" w:header="851" w:footer="828" w:gutter="0"/>
          <w:pgNumType w:start="1" w:chapStyle="1"/>
          <w:cols w:space="720"/>
        </w:sectPr>
      </w:pPr>
    </w:p>
    <w:p w:rsidR="00EA5B48" w:rsidRPr="00D33B70" w:rsidRDefault="00EA5B48" w:rsidP="00B26EF8">
      <w:pPr>
        <w:pStyle w:val="Heading2"/>
      </w:pPr>
      <w:bookmarkStart w:id="418" w:name="_Toc280013951"/>
      <w:bookmarkStart w:id="419" w:name="_Toc295740275"/>
      <w:bookmarkStart w:id="420" w:name="_Toc387308921"/>
      <w:r w:rsidRPr="00D33B70">
        <w:lastRenderedPageBreak/>
        <w:t xml:space="preserve">Environmental </w:t>
      </w:r>
      <w:bookmarkStart w:id="421" w:name="_Toc507230367"/>
      <w:r w:rsidRPr="00D33B70">
        <w:t>Assessment</w:t>
      </w:r>
      <w:bookmarkEnd w:id="418"/>
      <w:bookmarkEnd w:id="419"/>
      <w:bookmarkEnd w:id="420"/>
    </w:p>
    <w:p w:rsidR="00EA5B48" w:rsidRPr="00D33B70" w:rsidRDefault="00EA5B48" w:rsidP="00EA5B48">
      <w:pPr>
        <w:pStyle w:val="Text"/>
        <w:numPr>
          <w:ilvl w:val="12"/>
          <w:numId w:val="0"/>
        </w:numPr>
        <w:ind w:left="851"/>
      </w:pPr>
      <w:r w:rsidRPr="00D33B70">
        <w:rPr>
          <w:color w:val="000000"/>
        </w:rPr>
        <w:t xml:space="preserve">Environmental impacts, associated with the construction and operation of each flood mitigation option, are discussed in this section.  </w:t>
      </w:r>
      <w:r w:rsidR="005533F8" w:rsidRPr="00D33B70">
        <w:rPr>
          <w:color w:val="000000"/>
        </w:rPr>
        <w:fldChar w:fldCharType="begin"/>
      </w:r>
      <w:r w:rsidR="005533F8" w:rsidRPr="00D33B70">
        <w:rPr>
          <w:color w:val="000000"/>
        </w:rPr>
        <w:instrText xml:space="preserve"> REF _Ref367885885 \h </w:instrText>
      </w:r>
      <w:r w:rsidR="005533F8" w:rsidRPr="00D33B70">
        <w:rPr>
          <w:color w:val="000000"/>
        </w:rPr>
      </w:r>
      <w:r w:rsidR="005533F8" w:rsidRPr="00D33B70">
        <w:rPr>
          <w:color w:val="000000"/>
        </w:rPr>
        <w:fldChar w:fldCharType="separate"/>
      </w:r>
      <w:r w:rsidR="00AC6986" w:rsidRPr="00D33B70">
        <w:t xml:space="preserve">Table </w:t>
      </w:r>
      <w:r w:rsidR="00AC6986">
        <w:rPr>
          <w:noProof/>
        </w:rPr>
        <w:t>8</w:t>
      </w:r>
      <w:r w:rsidR="00AC6986" w:rsidRPr="00D33B70">
        <w:noBreakHyphen/>
      </w:r>
      <w:r w:rsidR="00AC6986">
        <w:rPr>
          <w:noProof/>
        </w:rPr>
        <w:t>11</w:t>
      </w:r>
      <w:r w:rsidR="005533F8" w:rsidRPr="00D33B70">
        <w:rPr>
          <w:color w:val="000000"/>
        </w:rPr>
        <w:fldChar w:fldCharType="end"/>
      </w:r>
      <w:r w:rsidR="005533F8" w:rsidRPr="00D33B70">
        <w:rPr>
          <w:color w:val="000000"/>
        </w:rPr>
        <w:t xml:space="preserve"> </w:t>
      </w:r>
      <w:r w:rsidRPr="00D33B70">
        <w:rPr>
          <w:color w:val="000000"/>
        </w:rPr>
        <w:t xml:space="preserve">presents details regarding the environmental implications for each scheme in the </w:t>
      </w:r>
      <w:r w:rsidR="00572A68" w:rsidRPr="00D33B70">
        <w:t>study area</w:t>
      </w:r>
      <w:r w:rsidRPr="00D33B70">
        <w:rPr>
          <w:color w:val="000000"/>
        </w:rPr>
        <w:t xml:space="preserve">.  </w:t>
      </w:r>
      <w:r w:rsidRPr="00D33B70">
        <w:t>It is not anticipated that any of the schemes will have long-term environmental impacts.</w:t>
      </w:r>
    </w:p>
    <w:p w:rsidR="0091093C" w:rsidRPr="00D33B70" w:rsidRDefault="0091093C" w:rsidP="0091093C">
      <w:pPr>
        <w:pStyle w:val="Caption"/>
        <w:keepNext/>
      </w:pPr>
      <w:bookmarkStart w:id="422" w:name="_Ref367885885"/>
      <w:bookmarkStart w:id="423" w:name="_Toc387309001"/>
      <w:r w:rsidRPr="00D33B70">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8</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11</w:t>
      </w:r>
      <w:r w:rsidR="00FF3C04" w:rsidRPr="00D33B70">
        <w:fldChar w:fldCharType="end"/>
      </w:r>
      <w:bookmarkEnd w:id="422"/>
      <w:r w:rsidRPr="00D33B70">
        <w:tab/>
        <w:t>Environmental Indicators</w:t>
      </w:r>
      <w:bookmarkEnd w:id="423"/>
    </w:p>
    <w:tbl>
      <w:tblPr>
        <w:tblW w:w="14034" w:type="dxa"/>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701"/>
        <w:gridCol w:w="3496"/>
        <w:gridCol w:w="3497"/>
        <w:gridCol w:w="3497"/>
        <w:gridCol w:w="1843"/>
      </w:tblGrid>
      <w:tr w:rsidR="00237CBE" w:rsidRPr="00D33B70" w:rsidTr="001E2788">
        <w:trPr>
          <w:cantSplit/>
          <w:trHeight w:val="256"/>
          <w:tblHeader/>
        </w:trPr>
        <w:tc>
          <w:tcPr>
            <w:tcW w:w="1701" w:type="dxa"/>
            <w:tcBorders>
              <w:top w:val="single" w:sz="6" w:space="0" w:color="auto"/>
              <w:left w:val="single" w:sz="6" w:space="0" w:color="auto"/>
              <w:bottom w:val="single" w:sz="6" w:space="0" w:color="auto"/>
              <w:right w:val="single" w:sz="6" w:space="0" w:color="auto"/>
            </w:tcBorders>
            <w:shd w:val="pct10" w:color="auto" w:fill="auto"/>
            <w:vAlign w:val="center"/>
          </w:tcPr>
          <w:p w:rsidR="00237CBE" w:rsidRPr="00D33B70" w:rsidRDefault="00237CBE" w:rsidP="001E2788">
            <w:pPr>
              <w:pStyle w:val="ListContinue2"/>
              <w:numPr>
                <w:ilvl w:val="12"/>
                <w:numId w:val="0"/>
              </w:numPr>
              <w:tabs>
                <w:tab w:val="clear" w:pos="-720"/>
              </w:tabs>
              <w:suppressAutoHyphens w:val="0"/>
              <w:spacing w:before="60" w:after="60"/>
              <w:jc w:val="center"/>
              <w:rPr>
                <w:b/>
                <w:sz w:val="28"/>
                <w:szCs w:val="28"/>
              </w:rPr>
            </w:pPr>
            <w:r w:rsidRPr="00D33B70">
              <w:rPr>
                <w:b/>
                <w:sz w:val="28"/>
                <w:szCs w:val="28"/>
              </w:rPr>
              <w:t>I</w:t>
            </w:r>
            <w:r w:rsidR="001E2788" w:rsidRPr="00D33B70">
              <w:rPr>
                <w:b/>
                <w:sz w:val="28"/>
                <w:szCs w:val="28"/>
              </w:rPr>
              <w:t>ssue</w:t>
            </w:r>
          </w:p>
        </w:tc>
        <w:tc>
          <w:tcPr>
            <w:tcW w:w="12333" w:type="dxa"/>
            <w:gridSpan w:val="4"/>
            <w:tcBorders>
              <w:top w:val="single" w:sz="6" w:space="0" w:color="auto"/>
              <w:left w:val="single" w:sz="6" w:space="0" w:color="auto"/>
              <w:bottom w:val="single" w:sz="6" w:space="0" w:color="auto"/>
              <w:right w:val="single" w:sz="6" w:space="0" w:color="auto"/>
            </w:tcBorders>
            <w:shd w:val="pct10" w:color="auto" w:fill="auto"/>
            <w:vAlign w:val="center"/>
          </w:tcPr>
          <w:p w:rsidR="00237CBE" w:rsidRPr="00D33B70" w:rsidRDefault="00237CBE" w:rsidP="001E2788">
            <w:pPr>
              <w:numPr>
                <w:ilvl w:val="12"/>
                <w:numId w:val="0"/>
              </w:numPr>
              <w:jc w:val="center"/>
              <w:rPr>
                <w:b/>
                <w:sz w:val="28"/>
              </w:rPr>
            </w:pPr>
            <w:r w:rsidRPr="00D33B70">
              <w:rPr>
                <w:b/>
                <w:sz w:val="28"/>
              </w:rPr>
              <w:t>FLOOD MITIGATION SCHEMES</w:t>
            </w:r>
          </w:p>
        </w:tc>
      </w:tr>
      <w:tr w:rsidR="00237CBE" w:rsidRPr="00D33B70" w:rsidTr="001E2788">
        <w:trPr>
          <w:cantSplit/>
          <w:trHeight w:val="254"/>
          <w:tblHeader/>
        </w:trPr>
        <w:tc>
          <w:tcPr>
            <w:tcW w:w="1701" w:type="dxa"/>
            <w:tcBorders>
              <w:top w:val="single" w:sz="6" w:space="0" w:color="auto"/>
              <w:left w:val="single" w:sz="6" w:space="0" w:color="auto"/>
              <w:bottom w:val="single" w:sz="6" w:space="0" w:color="auto"/>
              <w:right w:val="single" w:sz="6" w:space="0" w:color="auto"/>
            </w:tcBorders>
            <w:shd w:val="pct10" w:color="auto" w:fill="auto"/>
            <w:vAlign w:val="center"/>
          </w:tcPr>
          <w:p w:rsidR="00237CBE" w:rsidRPr="00D33B70" w:rsidRDefault="00237CBE" w:rsidP="001E2788">
            <w:pPr>
              <w:numPr>
                <w:ilvl w:val="12"/>
                <w:numId w:val="0"/>
              </w:numPr>
              <w:spacing w:before="120"/>
              <w:jc w:val="center"/>
            </w:pPr>
          </w:p>
        </w:tc>
        <w:tc>
          <w:tcPr>
            <w:tcW w:w="3496" w:type="dxa"/>
            <w:tcBorders>
              <w:top w:val="single" w:sz="6" w:space="0" w:color="auto"/>
              <w:left w:val="single" w:sz="6" w:space="0" w:color="auto"/>
              <w:bottom w:val="single" w:sz="6" w:space="0" w:color="auto"/>
              <w:right w:val="single" w:sz="6" w:space="0" w:color="auto"/>
            </w:tcBorders>
            <w:shd w:val="pct10" w:color="auto" w:fill="auto"/>
            <w:vAlign w:val="center"/>
          </w:tcPr>
          <w:p w:rsidR="00237CBE" w:rsidRPr="00D33B70" w:rsidRDefault="00237CBE" w:rsidP="001E2788">
            <w:pPr>
              <w:numPr>
                <w:ilvl w:val="12"/>
                <w:numId w:val="0"/>
              </w:numPr>
              <w:spacing w:before="120"/>
              <w:jc w:val="center"/>
              <w:rPr>
                <w:b/>
                <w:sz w:val="22"/>
              </w:rPr>
            </w:pPr>
            <w:r w:rsidRPr="00D33B70">
              <w:rPr>
                <w:b/>
                <w:sz w:val="22"/>
              </w:rPr>
              <w:t>Scheme One</w:t>
            </w:r>
          </w:p>
        </w:tc>
        <w:tc>
          <w:tcPr>
            <w:tcW w:w="3497" w:type="dxa"/>
            <w:tcBorders>
              <w:top w:val="single" w:sz="6" w:space="0" w:color="auto"/>
              <w:left w:val="single" w:sz="6" w:space="0" w:color="auto"/>
              <w:bottom w:val="single" w:sz="6" w:space="0" w:color="auto"/>
              <w:right w:val="single" w:sz="6" w:space="0" w:color="auto"/>
            </w:tcBorders>
            <w:shd w:val="pct10" w:color="auto" w:fill="auto"/>
            <w:vAlign w:val="center"/>
          </w:tcPr>
          <w:p w:rsidR="00237CBE" w:rsidRPr="00D33B70" w:rsidRDefault="00237CBE" w:rsidP="001E2788">
            <w:pPr>
              <w:numPr>
                <w:ilvl w:val="12"/>
                <w:numId w:val="0"/>
              </w:numPr>
              <w:spacing w:before="120"/>
              <w:jc w:val="center"/>
              <w:rPr>
                <w:b/>
                <w:sz w:val="22"/>
              </w:rPr>
            </w:pPr>
            <w:r w:rsidRPr="00D33B70">
              <w:rPr>
                <w:b/>
                <w:sz w:val="22"/>
              </w:rPr>
              <w:t>Scheme Two</w:t>
            </w:r>
          </w:p>
        </w:tc>
        <w:tc>
          <w:tcPr>
            <w:tcW w:w="3497" w:type="dxa"/>
            <w:tcBorders>
              <w:top w:val="single" w:sz="6" w:space="0" w:color="auto"/>
              <w:left w:val="single" w:sz="6" w:space="0" w:color="auto"/>
              <w:bottom w:val="single" w:sz="6" w:space="0" w:color="auto"/>
              <w:right w:val="single" w:sz="6" w:space="0" w:color="auto"/>
            </w:tcBorders>
            <w:shd w:val="pct10" w:color="auto" w:fill="auto"/>
            <w:vAlign w:val="center"/>
          </w:tcPr>
          <w:p w:rsidR="00237CBE" w:rsidRPr="00D33B70" w:rsidRDefault="00237CBE" w:rsidP="001E2788">
            <w:pPr>
              <w:numPr>
                <w:ilvl w:val="12"/>
                <w:numId w:val="0"/>
              </w:numPr>
              <w:spacing w:before="120"/>
              <w:jc w:val="center"/>
              <w:rPr>
                <w:b/>
                <w:sz w:val="22"/>
              </w:rPr>
            </w:pPr>
            <w:r w:rsidRPr="00D33B70">
              <w:rPr>
                <w:b/>
                <w:sz w:val="22"/>
              </w:rPr>
              <w:t>Scheme Three</w:t>
            </w:r>
          </w:p>
        </w:tc>
        <w:tc>
          <w:tcPr>
            <w:tcW w:w="1843" w:type="dxa"/>
            <w:tcBorders>
              <w:top w:val="single" w:sz="6" w:space="0" w:color="auto"/>
              <w:left w:val="single" w:sz="6" w:space="0" w:color="auto"/>
              <w:bottom w:val="single" w:sz="6" w:space="0" w:color="auto"/>
              <w:right w:val="single" w:sz="6" w:space="0" w:color="auto"/>
            </w:tcBorders>
            <w:shd w:val="pct10" w:color="auto" w:fill="auto"/>
            <w:vAlign w:val="center"/>
          </w:tcPr>
          <w:p w:rsidR="00237CBE" w:rsidRPr="00D33B70" w:rsidRDefault="00237CBE" w:rsidP="001E2788">
            <w:pPr>
              <w:numPr>
                <w:ilvl w:val="12"/>
                <w:numId w:val="0"/>
              </w:numPr>
              <w:spacing w:before="120"/>
              <w:jc w:val="center"/>
              <w:rPr>
                <w:b/>
                <w:sz w:val="22"/>
              </w:rPr>
            </w:pPr>
            <w:r w:rsidRPr="00D33B70">
              <w:rPr>
                <w:b/>
                <w:sz w:val="22"/>
              </w:rPr>
              <w:t>Scheme Four</w:t>
            </w:r>
          </w:p>
          <w:p w:rsidR="00237CBE" w:rsidRPr="00D33B70" w:rsidRDefault="00237CBE" w:rsidP="00CB43CE">
            <w:pPr>
              <w:numPr>
                <w:ilvl w:val="12"/>
                <w:numId w:val="0"/>
              </w:numPr>
              <w:spacing w:before="120"/>
              <w:jc w:val="center"/>
              <w:rPr>
                <w:b/>
                <w:sz w:val="22"/>
              </w:rPr>
            </w:pPr>
            <w:r w:rsidRPr="00D33B70">
              <w:rPr>
                <w:b/>
                <w:sz w:val="22"/>
              </w:rPr>
              <w:t>“</w:t>
            </w:r>
            <w:r w:rsidR="00CB43CE" w:rsidRPr="00D33B70">
              <w:rPr>
                <w:b/>
                <w:sz w:val="22"/>
              </w:rPr>
              <w:t>No Structural Works</w:t>
            </w:r>
            <w:r w:rsidRPr="00D33B70">
              <w:rPr>
                <w:b/>
                <w:sz w:val="22"/>
              </w:rPr>
              <w:t>” (Existing Case)</w:t>
            </w:r>
          </w:p>
        </w:tc>
      </w:tr>
      <w:tr w:rsidR="00237CBE" w:rsidRPr="00D33B70" w:rsidTr="00237CBE">
        <w:trPr>
          <w:cantSplit/>
          <w:trHeight w:val="618"/>
        </w:trPr>
        <w:tc>
          <w:tcPr>
            <w:tcW w:w="1701" w:type="dxa"/>
            <w:tcBorders>
              <w:top w:val="single" w:sz="6" w:space="0" w:color="auto"/>
              <w:left w:val="single" w:sz="6" w:space="0" w:color="auto"/>
              <w:bottom w:val="single" w:sz="6" w:space="0" w:color="auto"/>
              <w:right w:val="single" w:sz="6" w:space="0" w:color="auto"/>
            </w:tcBorders>
          </w:tcPr>
          <w:p w:rsidR="00237CBE" w:rsidRPr="00D33B70" w:rsidRDefault="00237CBE" w:rsidP="008679D0">
            <w:pPr>
              <w:pStyle w:val="ListContinue2"/>
              <w:numPr>
                <w:ilvl w:val="12"/>
                <w:numId w:val="0"/>
              </w:numPr>
              <w:tabs>
                <w:tab w:val="clear" w:pos="-720"/>
              </w:tabs>
              <w:suppressAutoHyphens w:val="0"/>
              <w:spacing w:before="60" w:after="60"/>
            </w:pPr>
            <w:r w:rsidRPr="00D33B70">
              <w:t>Ecological impact.</w:t>
            </w:r>
          </w:p>
        </w:tc>
        <w:tc>
          <w:tcPr>
            <w:tcW w:w="3496" w:type="dxa"/>
            <w:tcBorders>
              <w:top w:val="single" w:sz="6" w:space="0" w:color="auto"/>
              <w:left w:val="single" w:sz="6" w:space="0" w:color="auto"/>
              <w:bottom w:val="single" w:sz="6" w:space="0" w:color="auto"/>
              <w:right w:val="single" w:sz="6" w:space="0" w:color="auto"/>
            </w:tcBorders>
          </w:tcPr>
          <w:p w:rsidR="00237CBE" w:rsidRPr="00D33B70" w:rsidRDefault="00237CBE" w:rsidP="001E2788">
            <w:pPr>
              <w:numPr>
                <w:ilvl w:val="12"/>
                <w:numId w:val="0"/>
              </w:numPr>
              <w:spacing w:before="60" w:after="60"/>
              <w:jc w:val="center"/>
            </w:pPr>
            <w:r w:rsidRPr="00D33B70">
              <w:t>No Change</w:t>
            </w:r>
          </w:p>
        </w:tc>
        <w:tc>
          <w:tcPr>
            <w:tcW w:w="3497" w:type="dxa"/>
            <w:tcBorders>
              <w:top w:val="single" w:sz="6" w:space="0" w:color="auto"/>
              <w:left w:val="single" w:sz="6" w:space="0" w:color="auto"/>
              <w:bottom w:val="single" w:sz="6" w:space="0" w:color="auto"/>
              <w:right w:val="single" w:sz="6" w:space="0" w:color="auto"/>
            </w:tcBorders>
          </w:tcPr>
          <w:p w:rsidR="00237CBE" w:rsidRPr="00D33B70" w:rsidRDefault="00237CBE" w:rsidP="001E2788">
            <w:pPr>
              <w:numPr>
                <w:ilvl w:val="12"/>
                <w:numId w:val="0"/>
              </w:numPr>
              <w:spacing w:before="60" w:after="60"/>
              <w:jc w:val="center"/>
            </w:pPr>
            <w:r w:rsidRPr="00D33B70">
              <w:t>No Change</w:t>
            </w:r>
          </w:p>
        </w:tc>
        <w:tc>
          <w:tcPr>
            <w:tcW w:w="3497" w:type="dxa"/>
            <w:tcBorders>
              <w:top w:val="single" w:sz="6" w:space="0" w:color="auto"/>
              <w:left w:val="single" w:sz="6" w:space="0" w:color="auto"/>
              <w:bottom w:val="single" w:sz="6" w:space="0" w:color="auto"/>
              <w:right w:val="single" w:sz="6" w:space="0" w:color="auto"/>
            </w:tcBorders>
          </w:tcPr>
          <w:p w:rsidR="00237CBE" w:rsidRPr="00D33B70" w:rsidRDefault="00237CBE" w:rsidP="008679D0">
            <w:pPr>
              <w:numPr>
                <w:ilvl w:val="12"/>
                <w:numId w:val="0"/>
              </w:numPr>
              <w:spacing w:before="60" w:after="60"/>
              <w:jc w:val="center"/>
            </w:pPr>
            <w:r w:rsidRPr="00D33B70">
              <w:t>No Change</w:t>
            </w:r>
          </w:p>
        </w:tc>
        <w:tc>
          <w:tcPr>
            <w:tcW w:w="1843" w:type="dxa"/>
            <w:tcBorders>
              <w:top w:val="single" w:sz="6" w:space="0" w:color="auto"/>
              <w:left w:val="single" w:sz="6" w:space="0" w:color="auto"/>
              <w:bottom w:val="single" w:sz="6" w:space="0" w:color="auto"/>
              <w:right w:val="single" w:sz="6" w:space="0" w:color="auto"/>
            </w:tcBorders>
          </w:tcPr>
          <w:p w:rsidR="00237CBE" w:rsidRPr="00D33B70" w:rsidRDefault="00237CBE" w:rsidP="008679D0">
            <w:pPr>
              <w:numPr>
                <w:ilvl w:val="12"/>
                <w:numId w:val="0"/>
              </w:numPr>
              <w:spacing w:before="60" w:after="60"/>
              <w:jc w:val="center"/>
            </w:pPr>
            <w:r w:rsidRPr="00D33B70">
              <w:t>No Change.</w:t>
            </w:r>
          </w:p>
        </w:tc>
      </w:tr>
      <w:tr w:rsidR="00237CBE" w:rsidRPr="00D33B70" w:rsidTr="001E2788">
        <w:trPr>
          <w:cantSplit/>
          <w:trHeight w:val="433"/>
        </w:trPr>
        <w:tc>
          <w:tcPr>
            <w:tcW w:w="1701" w:type="dxa"/>
            <w:tcBorders>
              <w:top w:val="single" w:sz="6" w:space="0" w:color="auto"/>
              <w:left w:val="single" w:sz="6" w:space="0" w:color="auto"/>
              <w:bottom w:val="single" w:sz="6" w:space="0" w:color="auto"/>
              <w:right w:val="single" w:sz="6" w:space="0" w:color="auto"/>
            </w:tcBorders>
          </w:tcPr>
          <w:p w:rsidR="00237CBE" w:rsidRPr="00D33B70" w:rsidRDefault="00237CBE" w:rsidP="001E2788">
            <w:pPr>
              <w:pStyle w:val="ListContinue2"/>
              <w:numPr>
                <w:ilvl w:val="12"/>
                <w:numId w:val="0"/>
              </w:numPr>
              <w:tabs>
                <w:tab w:val="clear" w:pos="-720"/>
              </w:tabs>
              <w:suppressAutoHyphens w:val="0"/>
              <w:spacing w:before="60" w:after="60"/>
            </w:pPr>
            <w:r w:rsidRPr="00D33B70">
              <w:t>Noise.</w:t>
            </w:r>
          </w:p>
        </w:tc>
        <w:tc>
          <w:tcPr>
            <w:tcW w:w="3496" w:type="dxa"/>
            <w:tcBorders>
              <w:top w:val="single" w:sz="6" w:space="0" w:color="auto"/>
              <w:left w:val="single" w:sz="6" w:space="0" w:color="auto"/>
              <w:bottom w:val="single" w:sz="6" w:space="0" w:color="auto"/>
              <w:right w:val="single" w:sz="6" w:space="0" w:color="auto"/>
            </w:tcBorders>
          </w:tcPr>
          <w:p w:rsidR="00237CBE" w:rsidRPr="00D33B70" w:rsidRDefault="00237CBE" w:rsidP="001E2788">
            <w:pPr>
              <w:numPr>
                <w:ilvl w:val="12"/>
                <w:numId w:val="0"/>
              </w:numPr>
              <w:spacing w:before="60" w:after="60"/>
              <w:jc w:val="center"/>
            </w:pPr>
            <w:r w:rsidRPr="00D33B70">
              <w:t>Minor impacts associated with the construction of the works.</w:t>
            </w:r>
          </w:p>
        </w:tc>
        <w:tc>
          <w:tcPr>
            <w:tcW w:w="3497" w:type="dxa"/>
            <w:tcBorders>
              <w:top w:val="single" w:sz="6" w:space="0" w:color="auto"/>
              <w:left w:val="single" w:sz="6" w:space="0" w:color="auto"/>
              <w:bottom w:val="single" w:sz="6" w:space="0" w:color="auto"/>
              <w:right w:val="single" w:sz="6" w:space="0" w:color="auto"/>
            </w:tcBorders>
          </w:tcPr>
          <w:p w:rsidR="00237CBE" w:rsidRPr="00D33B70" w:rsidRDefault="00237CBE" w:rsidP="001E2788">
            <w:pPr>
              <w:numPr>
                <w:ilvl w:val="12"/>
                <w:numId w:val="0"/>
              </w:numPr>
              <w:spacing w:before="60" w:after="60"/>
              <w:jc w:val="center"/>
            </w:pPr>
            <w:r w:rsidRPr="00D33B70">
              <w:t>Minor impacts associated with the construction of the works.</w:t>
            </w:r>
          </w:p>
        </w:tc>
        <w:tc>
          <w:tcPr>
            <w:tcW w:w="3497" w:type="dxa"/>
            <w:tcBorders>
              <w:top w:val="single" w:sz="6" w:space="0" w:color="auto"/>
              <w:left w:val="single" w:sz="6" w:space="0" w:color="auto"/>
              <w:bottom w:val="single" w:sz="6" w:space="0" w:color="auto"/>
              <w:right w:val="single" w:sz="6" w:space="0" w:color="auto"/>
            </w:tcBorders>
          </w:tcPr>
          <w:p w:rsidR="00237CBE" w:rsidRPr="00D33B70" w:rsidRDefault="001E2788" w:rsidP="001E2788">
            <w:pPr>
              <w:numPr>
                <w:ilvl w:val="12"/>
                <w:numId w:val="0"/>
              </w:numPr>
              <w:spacing w:before="60" w:after="60"/>
              <w:jc w:val="center"/>
            </w:pPr>
            <w:r w:rsidRPr="00D33B70">
              <w:t>Minor impacts associated with the construction of the works.</w:t>
            </w:r>
          </w:p>
        </w:tc>
        <w:tc>
          <w:tcPr>
            <w:tcW w:w="1843" w:type="dxa"/>
            <w:tcBorders>
              <w:top w:val="single" w:sz="6" w:space="0" w:color="auto"/>
              <w:left w:val="single" w:sz="6" w:space="0" w:color="auto"/>
              <w:bottom w:val="single" w:sz="6" w:space="0" w:color="auto"/>
              <w:right w:val="single" w:sz="6" w:space="0" w:color="auto"/>
            </w:tcBorders>
          </w:tcPr>
          <w:p w:rsidR="00237CBE" w:rsidRPr="00D33B70" w:rsidRDefault="00237CBE" w:rsidP="001E2788">
            <w:pPr>
              <w:numPr>
                <w:ilvl w:val="12"/>
                <w:numId w:val="0"/>
              </w:numPr>
              <w:spacing w:before="60" w:after="60"/>
              <w:jc w:val="center"/>
            </w:pPr>
            <w:r w:rsidRPr="00D33B70">
              <w:t>No Change.</w:t>
            </w:r>
          </w:p>
        </w:tc>
      </w:tr>
      <w:tr w:rsidR="00237CBE" w:rsidRPr="00D33B70" w:rsidTr="001E2788">
        <w:trPr>
          <w:cantSplit/>
          <w:trHeight w:val="77"/>
        </w:trPr>
        <w:tc>
          <w:tcPr>
            <w:tcW w:w="1701" w:type="dxa"/>
            <w:tcBorders>
              <w:top w:val="single" w:sz="6" w:space="0" w:color="auto"/>
              <w:left w:val="single" w:sz="6" w:space="0" w:color="auto"/>
              <w:bottom w:val="single" w:sz="6" w:space="0" w:color="auto"/>
              <w:right w:val="single" w:sz="6" w:space="0" w:color="auto"/>
            </w:tcBorders>
          </w:tcPr>
          <w:p w:rsidR="00237CBE" w:rsidRPr="00D33B70" w:rsidRDefault="00237CBE" w:rsidP="008679D0">
            <w:pPr>
              <w:pStyle w:val="ListContinue2"/>
              <w:numPr>
                <w:ilvl w:val="12"/>
                <w:numId w:val="0"/>
              </w:numPr>
              <w:tabs>
                <w:tab w:val="clear" w:pos="-720"/>
              </w:tabs>
              <w:suppressAutoHyphens w:val="0"/>
              <w:spacing w:before="60" w:after="60"/>
              <w:rPr>
                <w:highlight w:val="yellow"/>
              </w:rPr>
            </w:pPr>
            <w:r w:rsidRPr="00D33B70">
              <w:t>Receiving Water Quality.</w:t>
            </w:r>
          </w:p>
        </w:tc>
        <w:tc>
          <w:tcPr>
            <w:tcW w:w="3496" w:type="dxa"/>
            <w:tcBorders>
              <w:top w:val="single" w:sz="6" w:space="0" w:color="auto"/>
              <w:left w:val="single" w:sz="6" w:space="0" w:color="auto"/>
              <w:bottom w:val="single" w:sz="6" w:space="0" w:color="auto"/>
              <w:right w:val="single" w:sz="6" w:space="0" w:color="auto"/>
            </w:tcBorders>
            <w:vAlign w:val="center"/>
          </w:tcPr>
          <w:p w:rsidR="00237CBE" w:rsidRPr="00D33B70" w:rsidRDefault="002F701E" w:rsidP="001E2788">
            <w:pPr>
              <w:numPr>
                <w:ilvl w:val="12"/>
                <w:numId w:val="0"/>
              </w:numPr>
              <w:spacing w:before="60" w:after="60"/>
              <w:jc w:val="center"/>
            </w:pPr>
            <w:r w:rsidRPr="00D33B70">
              <w:t>No Change.</w:t>
            </w:r>
          </w:p>
        </w:tc>
        <w:tc>
          <w:tcPr>
            <w:tcW w:w="3497" w:type="dxa"/>
            <w:tcBorders>
              <w:top w:val="single" w:sz="6" w:space="0" w:color="auto"/>
              <w:left w:val="single" w:sz="6" w:space="0" w:color="auto"/>
              <w:bottom w:val="single" w:sz="6" w:space="0" w:color="auto"/>
              <w:right w:val="single" w:sz="6" w:space="0" w:color="auto"/>
            </w:tcBorders>
            <w:vAlign w:val="center"/>
          </w:tcPr>
          <w:p w:rsidR="002F701E" w:rsidRPr="00D33B70" w:rsidRDefault="002F701E" w:rsidP="002F701E">
            <w:pPr>
              <w:numPr>
                <w:ilvl w:val="12"/>
                <w:numId w:val="0"/>
              </w:numPr>
              <w:spacing w:before="60" w:after="60"/>
              <w:jc w:val="center"/>
            </w:pPr>
            <w:r w:rsidRPr="00A03D3E">
              <w:t>Increased</w:t>
            </w:r>
            <w:r w:rsidR="00332D3D" w:rsidRPr="00A03D3E">
              <w:t xml:space="preserve"> rate of</w:t>
            </w:r>
            <w:r w:rsidRPr="00A03D3E">
              <w:t xml:space="preserve"> runoff into the Barwon River from </w:t>
            </w:r>
            <w:r w:rsidR="00A03D3E">
              <w:t xml:space="preserve">the </w:t>
            </w:r>
            <w:r w:rsidRPr="00A03D3E">
              <w:t xml:space="preserve">Belle Vue Avenue bypass pipe.  </w:t>
            </w:r>
            <w:r w:rsidR="008847F7" w:rsidRPr="00A03D3E">
              <w:t xml:space="preserve">This piped runoff may contain a higher concentration of pollutants than previously due to the inherent treatment that occurred </w:t>
            </w:r>
            <w:r w:rsidR="00A03D3E">
              <w:t xml:space="preserve">previously </w:t>
            </w:r>
            <w:r w:rsidR="008847F7" w:rsidRPr="00A03D3E">
              <w:t xml:space="preserve">as the water flowed </w:t>
            </w:r>
            <w:r w:rsidR="00A03D3E">
              <w:t xml:space="preserve">overland </w:t>
            </w:r>
            <w:r w:rsidR="008847F7" w:rsidRPr="00A03D3E">
              <w:t>through vegetated properties</w:t>
            </w:r>
            <w:r w:rsidR="008847F7" w:rsidRPr="00D33B70">
              <w:t>.</w:t>
            </w:r>
          </w:p>
          <w:p w:rsidR="00237CBE" w:rsidRPr="00D33B70" w:rsidRDefault="002F701E" w:rsidP="002F701E">
            <w:pPr>
              <w:numPr>
                <w:ilvl w:val="12"/>
                <w:numId w:val="0"/>
              </w:numPr>
              <w:spacing w:before="60" w:after="60"/>
              <w:jc w:val="center"/>
            </w:pPr>
            <w:r w:rsidRPr="00D33B70">
              <w:t>Following further investigation stormwater water quality works may be required to mitigate environmental impacts and meet stormwater management legislation.</w:t>
            </w:r>
          </w:p>
        </w:tc>
        <w:tc>
          <w:tcPr>
            <w:tcW w:w="3497" w:type="dxa"/>
            <w:tcBorders>
              <w:top w:val="single" w:sz="6" w:space="0" w:color="auto"/>
              <w:left w:val="single" w:sz="6" w:space="0" w:color="auto"/>
              <w:bottom w:val="single" w:sz="6" w:space="0" w:color="auto"/>
              <w:right w:val="single" w:sz="6" w:space="0" w:color="auto"/>
            </w:tcBorders>
            <w:vAlign w:val="center"/>
          </w:tcPr>
          <w:p w:rsidR="00237CBE" w:rsidRPr="00D33B70" w:rsidRDefault="002F701E" w:rsidP="002F701E">
            <w:pPr>
              <w:numPr>
                <w:ilvl w:val="12"/>
                <w:numId w:val="0"/>
              </w:numPr>
              <w:spacing w:before="60" w:after="60"/>
              <w:jc w:val="center"/>
            </w:pPr>
            <w:r w:rsidRPr="00D33B70">
              <w:t>Same as Scheme Two.</w:t>
            </w:r>
          </w:p>
        </w:tc>
        <w:tc>
          <w:tcPr>
            <w:tcW w:w="1843" w:type="dxa"/>
            <w:tcBorders>
              <w:top w:val="single" w:sz="6" w:space="0" w:color="auto"/>
              <w:left w:val="single" w:sz="6" w:space="0" w:color="auto"/>
              <w:bottom w:val="single" w:sz="6" w:space="0" w:color="auto"/>
              <w:right w:val="single" w:sz="6" w:space="0" w:color="auto"/>
            </w:tcBorders>
            <w:vAlign w:val="center"/>
          </w:tcPr>
          <w:p w:rsidR="00237CBE" w:rsidRPr="00D33B70" w:rsidRDefault="00237CBE" w:rsidP="001E2788">
            <w:pPr>
              <w:numPr>
                <w:ilvl w:val="12"/>
                <w:numId w:val="0"/>
              </w:numPr>
              <w:spacing w:before="60" w:after="60"/>
              <w:jc w:val="center"/>
            </w:pPr>
            <w:r w:rsidRPr="00D33B70">
              <w:t>No Change.</w:t>
            </w:r>
          </w:p>
        </w:tc>
      </w:tr>
      <w:tr w:rsidR="00237CBE" w:rsidRPr="00D33B70" w:rsidTr="001E2788">
        <w:trPr>
          <w:cantSplit/>
          <w:trHeight w:val="77"/>
        </w:trPr>
        <w:tc>
          <w:tcPr>
            <w:tcW w:w="1701" w:type="dxa"/>
            <w:tcBorders>
              <w:top w:val="single" w:sz="6" w:space="0" w:color="auto"/>
              <w:left w:val="single" w:sz="6" w:space="0" w:color="auto"/>
              <w:bottom w:val="single" w:sz="6" w:space="0" w:color="auto"/>
              <w:right w:val="single" w:sz="6" w:space="0" w:color="auto"/>
            </w:tcBorders>
          </w:tcPr>
          <w:p w:rsidR="00237CBE" w:rsidRPr="00D33B70" w:rsidRDefault="00237CBE" w:rsidP="008679D0">
            <w:pPr>
              <w:pStyle w:val="ListContinue2"/>
              <w:numPr>
                <w:ilvl w:val="12"/>
                <w:numId w:val="0"/>
              </w:numPr>
              <w:tabs>
                <w:tab w:val="clear" w:pos="-720"/>
              </w:tabs>
              <w:suppressAutoHyphens w:val="0"/>
              <w:spacing w:before="60" w:after="60"/>
            </w:pPr>
            <w:r w:rsidRPr="00D33B70">
              <w:t>Air.</w:t>
            </w:r>
          </w:p>
        </w:tc>
        <w:tc>
          <w:tcPr>
            <w:tcW w:w="3496" w:type="dxa"/>
            <w:tcBorders>
              <w:top w:val="single" w:sz="6" w:space="0" w:color="auto"/>
              <w:left w:val="single" w:sz="6" w:space="0" w:color="auto"/>
              <w:bottom w:val="single" w:sz="6" w:space="0" w:color="auto"/>
              <w:right w:val="single" w:sz="6" w:space="0" w:color="auto"/>
            </w:tcBorders>
            <w:vAlign w:val="center"/>
          </w:tcPr>
          <w:p w:rsidR="00237CBE" w:rsidRPr="00D33B70" w:rsidRDefault="00237CBE" w:rsidP="001E2788">
            <w:pPr>
              <w:numPr>
                <w:ilvl w:val="12"/>
                <w:numId w:val="0"/>
              </w:numPr>
              <w:spacing w:before="60" w:after="60"/>
              <w:jc w:val="center"/>
            </w:pPr>
            <w:r w:rsidRPr="00D33B70">
              <w:t>Minimal impact.  Manage via construction management plan.</w:t>
            </w:r>
          </w:p>
        </w:tc>
        <w:tc>
          <w:tcPr>
            <w:tcW w:w="3497" w:type="dxa"/>
            <w:tcBorders>
              <w:top w:val="single" w:sz="6" w:space="0" w:color="auto"/>
              <w:left w:val="single" w:sz="6" w:space="0" w:color="auto"/>
              <w:bottom w:val="single" w:sz="6" w:space="0" w:color="auto"/>
              <w:right w:val="single" w:sz="6" w:space="0" w:color="auto"/>
            </w:tcBorders>
            <w:vAlign w:val="center"/>
          </w:tcPr>
          <w:p w:rsidR="00237CBE" w:rsidRPr="00D33B70" w:rsidRDefault="00237CBE" w:rsidP="001E2788">
            <w:pPr>
              <w:numPr>
                <w:ilvl w:val="12"/>
                <w:numId w:val="0"/>
              </w:numPr>
              <w:spacing w:before="60" w:after="60"/>
              <w:jc w:val="center"/>
            </w:pPr>
            <w:r w:rsidRPr="00D33B70">
              <w:t>Minimal impact.  Manage via construction management plan.</w:t>
            </w:r>
          </w:p>
        </w:tc>
        <w:tc>
          <w:tcPr>
            <w:tcW w:w="3497" w:type="dxa"/>
            <w:tcBorders>
              <w:top w:val="single" w:sz="6" w:space="0" w:color="auto"/>
              <w:left w:val="single" w:sz="6" w:space="0" w:color="auto"/>
              <w:bottom w:val="single" w:sz="6" w:space="0" w:color="auto"/>
              <w:right w:val="single" w:sz="6" w:space="0" w:color="auto"/>
            </w:tcBorders>
            <w:vAlign w:val="center"/>
          </w:tcPr>
          <w:p w:rsidR="00237CBE" w:rsidRPr="00D33B70" w:rsidRDefault="001E2788" w:rsidP="001E2788">
            <w:pPr>
              <w:numPr>
                <w:ilvl w:val="12"/>
                <w:numId w:val="0"/>
              </w:numPr>
              <w:spacing w:before="60" w:after="60"/>
              <w:jc w:val="center"/>
            </w:pPr>
            <w:r w:rsidRPr="00D33B70">
              <w:t>Minimal impact.  Manage via construction management plan.</w:t>
            </w:r>
          </w:p>
        </w:tc>
        <w:tc>
          <w:tcPr>
            <w:tcW w:w="1843" w:type="dxa"/>
            <w:tcBorders>
              <w:top w:val="single" w:sz="6" w:space="0" w:color="auto"/>
              <w:left w:val="single" w:sz="6" w:space="0" w:color="auto"/>
              <w:bottom w:val="single" w:sz="6" w:space="0" w:color="auto"/>
              <w:right w:val="single" w:sz="6" w:space="0" w:color="auto"/>
            </w:tcBorders>
            <w:vAlign w:val="center"/>
          </w:tcPr>
          <w:p w:rsidR="00237CBE" w:rsidRPr="00D33B70" w:rsidRDefault="00237CBE" w:rsidP="001E2788">
            <w:pPr>
              <w:numPr>
                <w:ilvl w:val="12"/>
                <w:numId w:val="0"/>
              </w:numPr>
              <w:spacing w:before="60" w:after="60"/>
              <w:jc w:val="center"/>
            </w:pPr>
            <w:r w:rsidRPr="00D33B70">
              <w:t>No Change.</w:t>
            </w:r>
          </w:p>
        </w:tc>
      </w:tr>
    </w:tbl>
    <w:p w:rsidR="00EA5B48" w:rsidRPr="00D33B70" w:rsidRDefault="00EA5B48" w:rsidP="00B26EF8">
      <w:pPr>
        <w:pStyle w:val="Heading2"/>
      </w:pPr>
      <w:bookmarkStart w:id="424" w:name="_Toc54070165"/>
      <w:bookmarkStart w:id="425" w:name="_Toc69118791"/>
      <w:bookmarkStart w:id="426" w:name="_Toc231362273"/>
      <w:r w:rsidRPr="00D33B70">
        <w:rPr>
          <w:highlight w:val="yellow"/>
        </w:rPr>
        <w:br w:type="page"/>
      </w:r>
      <w:bookmarkStart w:id="427" w:name="_Toc236814074"/>
      <w:bookmarkStart w:id="428" w:name="_Toc280013952"/>
      <w:bookmarkStart w:id="429" w:name="_Toc295740276"/>
      <w:bookmarkStart w:id="430" w:name="_Toc387308922"/>
      <w:r w:rsidRPr="00D33B70">
        <w:lastRenderedPageBreak/>
        <w:t>Social Assessment</w:t>
      </w:r>
      <w:bookmarkEnd w:id="424"/>
      <w:bookmarkEnd w:id="425"/>
      <w:bookmarkEnd w:id="426"/>
      <w:bookmarkEnd w:id="427"/>
      <w:bookmarkEnd w:id="428"/>
      <w:bookmarkEnd w:id="429"/>
      <w:bookmarkEnd w:id="430"/>
    </w:p>
    <w:p w:rsidR="00EA5B48" w:rsidRPr="00D33B70" w:rsidRDefault="005533F8" w:rsidP="00EA5B48">
      <w:pPr>
        <w:pStyle w:val="Text"/>
        <w:numPr>
          <w:ilvl w:val="12"/>
          <w:numId w:val="0"/>
        </w:numPr>
        <w:tabs>
          <w:tab w:val="left" w:pos="9639"/>
        </w:tabs>
        <w:ind w:left="851"/>
      </w:pPr>
      <w:r w:rsidRPr="00D33B70">
        <w:fldChar w:fldCharType="begin"/>
      </w:r>
      <w:r w:rsidRPr="00D33B70">
        <w:instrText xml:space="preserve"> REF _Ref367885895 \h </w:instrText>
      </w:r>
      <w:r w:rsidRPr="00D33B70">
        <w:fldChar w:fldCharType="separate"/>
      </w:r>
      <w:r w:rsidR="00AC6986" w:rsidRPr="00D33B70">
        <w:t xml:space="preserve">Table </w:t>
      </w:r>
      <w:r w:rsidR="00AC6986">
        <w:rPr>
          <w:noProof/>
        </w:rPr>
        <w:t>8</w:t>
      </w:r>
      <w:r w:rsidR="00AC6986" w:rsidRPr="00D33B70">
        <w:noBreakHyphen/>
      </w:r>
      <w:r w:rsidR="00AC6986">
        <w:rPr>
          <w:noProof/>
        </w:rPr>
        <w:t>12</w:t>
      </w:r>
      <w:r w:rsidRPr="00D33B70">
        <w:fldChar w:fldCharType="end"/>
      </w:r>
      <w:r w:rsidRPr="00D33B70">
        <w:t xml:space="preserve"> </w:t>
      </w:r>
      <w:r w:rsidR="00EA5B48" w:rsidRPr="00D33B70">
        <w:t xml:space="preserve">outlines the social implications related to each flood mitigation scheme proposed for the </w:t>
      </w:r>
      <w:r w:rsidR="00572A68" w:rsidRPr="00D33B70">
        <w:t>study area</w:t>
      </w:r>
      <w:r w:rsidR="00EA5B48" w:rsidRPr="00D33B70">
        <w:t>.</w:t>
      </w:r>
    </w:p>
    <w:p w:rsidR="0091093C" w:rsidRPr="00D33B70" w:rsidRDefault="0091093C" w:rsidP="0091093C">
      <w:pPr>
        <w:pStyle w:val="Caption"/>
        <w:keepNext/>
      </w:pPr>
      <w:bookmarkStart w:id="431" w:name="_Ref367885895"/>
      <w:bookmarkStart w:id="432" w:name="_Ref41454620"/>
      <w:bookmarkStart w:id="433" w:name="_Toc54070225"/>
      <w:bookmarkStart w:id="434" w:name="_Toc69118855"/>
      <w:bookmarkStart w:id="435" w:name="_Toc507230365"/>
      <w:bookmarkStart w:id="436" w:name="_Toc387309002"/>
      <w:r w:rsidRPr="00D33B70">
        <w:t xml:space="preserve">Table </w:t>
      </w:r>
      <w:r w:rsidR="00FF3C04" w:rsidRPr="00D33B70">
        <w:fldChar w:fldCharType="begin"/>
      </w:r>
      <w:r w:rsidR="00FF3C04" w:rsidRPr="00D33B70">
        <w:instrText xml:space="preserve"> STYLEREF 1 \s </w:instrText>
      </w:r>
      <w:r w:rsidR="00FF3C04" w:rsidRPr="00D33B70">
        <w:fldChar w:fldCharType="separate"/>
      </w:r>
      <w:r w:rsidR="00AC6986">
        <w:rPr>
          <w:noProof/>
        </w:rPr>
        <w:t>8</w:t>
      </w:r>
      <w:r w:rsidR="00FF3C04" w:rsidRPr="00D33B70">
        <w:fldChar w:fldCharType="end"/>
      </w:r>
      <w:r w:rsidR="00FF3C04" w:rsidRPr="00D33B70">
        <w:noBreakHyphen/>
      </w:r>
      <w:r w:rsidR="00FF3C04" w:rsidRPr="00D33B70">
        <w:fldChar w:fldCharType="begin"/>
      </w:r>
      <w:r w:rsidR="00FF3C04" w:rsidRPr="00D33B70">
        <w:instrText xml:space="preserve"> SEQ Table \* ARABIC \s 1 </w:instrText>
      </w:r>
      <w:r w:rsidR="00FF3C04" w:rsidRPr="00D33B70">
        <w:fldChar w:fldCharType="separate"/>
      </w:r>
      <w:r w:rsidR="00AC6986">
        <w:rPr>
          <w:noProof/>
        </w:rPr>
        <w:t>12</w:t>
      </w:r>
      <w:r w:rsidR="00FF3C04" w:rsidRPr="00D33B70">
        <w:fldChar w:fldCharType="end"/>
      </w:r>
      <w:bookmarkEnd w:id="431"/>
      <w:r w:rsidRPr="00D33B70">
        <w:tab/>
        <w:t>Social Indicators</w:t>
      </w:r>
      <w:bookmarkEnd w:id="436"/>
    </w:p>
    <w:tbl>
      <w:tblPr>
        <w:tblW w:w="14034" w:type="dxa"/>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701"/>
        <w:gridCol w:w="3496"/>
        <w:gridCol w:w="3497"/>
        <w:gridCol w:w="3497"/>
        <w:gridCol w:w="1843"/>
      </w:tblGrid>
      <w:tr w:rsidR="002F701E" w:rsidRPr="00D33B70" w:rsidTr="002F701E">
        <w:trPr>
          <w:cantSplit/>
          <w:trHeight w:val="405"/>
          <w:tblHeader/>
        </w:trPr>
        <w:tc>
          <w:tcPr>
            <w:tcW w:w="1701" w:type="dxa"/>
            <w:tcBorders>
              <w:top w:val="single" w:sz="6" w:space="0" w:color="auto"/>
              <w:left w:val="single" w:sz="6" w:space="0" w:color="auto"/>
              <w:bottom w:val="single" w:sz="6" w:space="0" w:color="auto"/>
              <w:right w:val="single" w:sz="6" w:space="0" w:color="auto"/>
            </w:tcBorders>
            <w:shd w:val="pct10" w:color="auto" w:fill="auto"/>
            <w:vAlign w:val="center"/>
          </w:tcPr>
          <w:p w:rsidR="002F701E" w:rsidRPr="00D33B70" w:rsidRDefault="002F701E" w:rsidP="002F701E">
            <w:pPr>
              <w:numPr>
                <w:ilvl w:val="12"/>
                <w:numId w:val="0"/>
              </w:numPr>
              <w:jc w:val="center"/>
              <w:rPr>
                <w:b/>
                <w:sz w:val="28"/>
                <w:szCs w:val="28"/>
              </w:rPr>
            </w:pPr>
            <w:r w:rsidRPr="00D33B70">
              <w:rPr>
                <w:b/>
                <w:sz w:val="28"/>
                <w:szCs w:val="28"/>
              </w:rPr>
              <w:t>Issue</w:t>
            </w:r>
          </w:p>
        </w:tc>
        <w:tc>
          <w:tcPr>
            <w:tcW w:w="12333" w:type="dxa"/>
            <w:gridSpan w:val="4"/>
            <w:tcBorders>
              <w:top w:val="single" w:sz="6" w:space="0" w:color="auto"/>
              <w:left w:val="single" w:sz="6" w:space="0" w:color="auto"/>
              <w:bottom w:val="single" w:sz="6" w:space="0" w:color="auto"/>
              <w:right w:val="single" w:sz="6" w:space="0" w:color="auto"/>
            </w:tcBorders>
            <w:shd w:val="pct10" w:color="auto" w:fill="auto"/>
            <w:vAlign w:val="center"/>
          </w:tcPr>
          <w:p w:rsidR="002F701E" w:rsidRPr="00D33B70" w:rsidRDefault="002F701E" w:rsidP="002F701E">
            <w:pPr>
              <w:numPr>
                <w:ilvl w:val="12"/>
                <w:numId w:val="0"/>
              </w:numPr>
              <w:jc w:val="center"/>
              <w:rPr>
                <w:b/>
                <w:sz w:val="28"/>
              </w:rPr>
            </w:pPr>
            <w:r w:rsidRPr="00D33B70">
              <w:rPr>
                <w:b/>
                <w:sz w:val="28"/>
              </w:rPr>
              <w:t>FLOOD MITIGATION SCHEMES</w:t>
            </w:r>
          </w:p>
        </w:tc>
      </w:tr>
      <w:tr w:rsidR="002F701E" w:rsidRPr="00D33B70" w:rsidTr="002F701E">
        <w:trPr>
          <w:cantSplit/>
          <w:trHeight w:val="254"/>
          <w:tblHeader/>
        </w:trPr>
        <w:tc>
          <w:tcPr>
            <w:tcW w:w="1701" w:type="dxa"/>
            <w:tcBorders>
              <w:top w:val="single" w:sz="6" w:space="0" w:color="auto"/>
              <w:left w:val="single" w:sz="6" w:space="0" w:color="auto"/>
              <w:bottom w:val="single" w:sz="6" w:space="0" w:color="auto"/>
              <w:right w:val="single" w:sz="6" w:space="0" w:color="auto"/>
            </w:tcBorders>
            <w:shd w:val="pct10" w:color="auto" w:fill="auto"/>
          </w:tcPr>
          <w:p w:rsidR="002F701E" w:rsidRPr="00D33B70" w:rsidRDefault="002F701E" w:rsidP="008679D0">
            <w:pPr>
              <w:numPr>
                <w:ilvl w:val="12"/>
                <w:numId w:val="0"/>
              </w:numPr>
              <w:spacing w:before="120"/>
              <w:jc w:val="center"/>
            </w:pPr>
          </w:p>
        </w:tc>
        <w:tc>
          <w:tcPr>
            <w:tcW w:w="3496" w:type="dxa"/>
            <w:tcBorders>
              <w:top w:val="single" w:sz="6" w:space="0" w:color="auto"/>
              <w:left w:val="single" w:sz="6" w:space="0" w:color="auto"/>
              <w:bottom w:val="single" w:sz="6" w:space="0" w:color="auto"/>
              <w:right w:val="single" w:sz="6" w:space="0" w:color="auto"/>
            </w:tcBorders>
            <w:shd w:val="pct10" w:color="auto" w:fill="auto"/>
            <w:vAlign w:val="center"/>
          </w:tcPr>
          <w:p w:rsidR="002F701E" w:rsidRPr="00D33B70" w:rsidRDefault="002F701E" w:rsidP="002F701E">
            <w:pPr>
              <w:numPr>
                <w:ilvl w:val="12"/>
                <w:numId w:val="0"/>
              </w:numPr>
              <w:spacing w:before="120"/>
              <w:jc w:val="center"/>
              <w:rPr>
                <w:b/>
                <w:sz w:val="22"/>
              </w:rPr>
            </w:pPr>
            <w:r w:rsidRPr="00D33B70">
              <w:rPr>
                <w:b/>
                <w:sz w:val="22"/>
              </w:rPr>
              <w:t>Scheme One</w:t>
            </w:r>
          </w:p>
        </w:tc>
        <w:tc>
          <w:tcPr>
            <w:tcW w:w="3497" w:type="dxa"/>
            <w:tcBorders>
              <w:top w:val="single" w:sz="6" w:space="0" w:color="auto"/>
              <w:left w:val="single" w:sz="6" w:space="0" w:color="auto"/>
              <w:bottom w:val="single" w:sz="6" w:space="0" w:color="auto"/>
              <w:right w:val="single" w:sz="6" w:space="0" w:color="auto"/>
            </w:tcBorders>
            <w:shd w:val="pct10" w:color="auto" w:fill="auto"/>
            <w:vAlign w:val="center"/>
          </w:tcPr>
          <w:p w:rsidR="002F701E" w:rsidRPr="00D33B70" w:rsidRDefault="002F701E" w:rsidP="002F701E">
            <w:pPr>
              <w:numPr>
                <w:ilvl w:val="12"/>
                <w:numId w:val="0"/>
              </w:numPr>
              <w:spacing w:before="120"/>
              <w:jc w:val="center"/>
              <w:rPr>
                <w:b/>
                <w:sz w:val="22"/>
              </w:rPr>
            </w:pPr>
            <w:r w:rsidRPr="00D33B70">
              <w:rPr>
                <w:b/>
                <w:sz w:val="22"/>
              </w:rPr>
              <w:t>Scheme Two</w:t>
            </w:r>
          </w:p>
        </w:tc>
        <w:tc>
          <w:tcPr>
            <w:tcW w:w="3497" w:type="dxa"/>
            <w:tcBorders>
              <w:top w:val="single" w:sz="6" w:space="0" w:color="auto"/>
              <w:left w:val="single" w:sz="6" w:space="0" w:color="auto"/>
              <w:bottom w:val="single" w:sz="6" w:space="0" w:color="auto"/>
              <w:right w:val="single" w:sz="6" w:space="0" w:color="auto"/>
            </w:tcBorders>
            <w:shd w:val="pct10" w:color="auto" w:fill="auto"/>
            <w:vAlign w:val="center"/>
          </w:tcPr>
          <w:p w:rsidR="002F701E" w:rsidRPr="00D33B70" w:rsidRDefault="002F701E" w:rsidP="002F701E">
            <w:pPr>
              <w:numPr>
                <w:ilvl w:val="12"/>
                <w:numId w:val="0"/>
              </w:numPr>
              <w:spacing w:before="120"/>
              <w:jc w:val="center"/>
              <w:rPr>
                <w:b/>
                <w:sz w:val="22"/>
              </w:rPr>
            </w:pPr>
            <w:r w:rsidRPr="00D33B70">
              <w:rPr>
                <w:b/>
                <w:sz w:val="22"/>
              </w:rPr>
              <w:t>Scheme Three</w:t>
            </w:r>
          </w:p>
        </w:tc>
        <w:tc>
          <w:tcPr>
            <w:tcW w:w="1843" w:type="dxa"/>
            <w:tcBorders>
              <w:top w:val="single" w:sz="6" w:space="0" w:color="auto"/>
              <w:left w:val="single" w:sz="6" w:space="0" w:color="auto"/>
              <w:bottom w:val="single" w:sz="6" w:space="0" w:color="auto"/>
              <w:right w:val="single" w:sz="6" w:space="0" w:color="auto"/>
            </w:tcBorders>
            <w:shd w:val="pct10" w:color="auto" w:fill="auto"/>
            <w:vAlign w:val="center"/>
          </w:tcPr>
          <w:p w:rsidR="00CB43CE" w:rsidRPr="00D33B70" w:rsidRDefault="00CB43CE" w:rsidP="00CB43CE">
            <w:pPr>
              <w:numPr>
                <w:ilvl w:val="12"/>
                <w:numId w:val="0"/>
              </w:numPr>
              <w:spacing w:before="120"/>
              <w:jc w:val="center"/>
              <w:rPr>
                <w:b/>
                <w:sz w:val="22"/>
              </w:rPr>
            </w:pPr>
            <w:r w:rsidRPr="00D33B70">
              <w:rPr>
                <w:b/>
                <w:sz w:val="22"/>
              </w:rPr>
              <w:t>Scheme Four</w:t>
            </w:r>
          </w:p>
          <w:p w:rsidR="002F701E" w:rsidRPr="00D33B70" w:rsidRDefault="00CB43CE" w:rsidP="00CB43CE">
            <w:pPr>
              <w:numPr>
                <w:ilvl w:val="12"/>
                <w:numId w:val="0"/>
              </w:numPr>
              <w:spacing w:before="120"/>
              <w:jc w:val="center"/>
              <w:rPr>
                <w:b/>
                <w:sz w:val="22"/>
              </w:rPr>
            </w:pPr>
            <w:r w:rsidRPr="00D33B70">
              <w:rPr>
                <w:b/>
                <w:sz w:val="22"/>
              </w:rPr>
              <w:t>“No Structural Works” (Existing Case)</w:t>
            </w:r>
          </w:p>
        </w:tc>
      </w:tr>
      <w:tr w:rsidR="002F701E" w:rsidRPr="006B1B72" w:rsidTr="004933AA">
        <w:trPr>
          <w:cantSplit/>
          <w:trHeight w:val="254"/>
          <w:tblHeader/>
        </w:trPr>
        <w:tc>
          <w:tcPr>
            <w:tcW w:w="1701" w:type="dxa"/>
            <w:tcBorders>
              <w:top w:val="single" w:sz="6" w:space="0" w:color="auto"/>
              <w:left w:val="single" w:sz="6" w:space="0" w:color="auto"/>
              <w:bottom w:val="single" w:sz="6" w:space="0" w:color="auto"/>
              <w:right w:val="single" w:sz="6" w:space="0" w:color="auto"/>
            </w:tcBorders>
          </w:tcPr>
          <w:p w:rsidR="002F701E" w:rsidRPr="00D33B70" w:rsidRDefault="002F701E" w:rsidP="008679D0">
            <w:pPr>
              <w:pStyle w:val="ListContinue2"/>
              <w:numPr>
                <w:ilvl w:val="12"/>
                <w:numId w:val="0"/>
              </w:numPr>
              <w:tabs>
                <w:tab w:val="clear" w:pos="-720"/>
              </w:tabs>
              <w:suppressAutoHyphens w:val="0"/>
              <w:spacing w:before="60" w:after="60"/>
            </w:pPr>
            <w:r w:rsidRPr="00D33B70">
              <w:t>Recreation and Aesthetic.</w:t>
            </w:r>
          </w:p>
        </w:tc>
        <w:tc>
          <w:tcPr>
            <w:tcW w:w="3496" w:type="dxa"/>
            <w:tcBorders>
              <w:top w:val="single" w:sz="6" w:space="0" w:color="auto"/>
              <w:left w:val="single" w:sz="6" w:space="0" w:color="auto"/>
              <w:bottom w:val="single" w:sz="6" w:space="0" w:color="auto"/>
              <w:right w:val="single" w:sz="6" w:space="0" w:color="auto"/>
            </w:tcBorders>
          </w:tcPr>
          <w:p w:rsidR="002F701E" w:rsidRPr="00D33B70" w:rsidRDefault="004933AA" w:rsidP="004933AA">
            <w:pPr>
              <w:numPr>
                <w:ilvl w:val="12"/>
                <w:numId w:val="0"/>
              </w:numPr>
              <w:spacing w:before="60" w:after="60"/>
              <w:jc w:val="center"/>
            </w:pPr>
            <w:r w:rsidRPr="00D33B70">
              <w:t>No Change.</w:t>
            </w:r>
          </w:p>
        </w:tc>
        <w:tc>
          <w:tcPr>
            <w:tcW w:w="3497" w:type="dxa"/>
            <w:tcBorders>
              <w:top w:val="single" w:sz="6" w:space="0" w:color="auto"/>
              <w:left w:val="single" w:sz="6" w:space="0" w:color="auto"/>
              <w:bottom w:val="single" w:sz="6" w:space="0" w:color="auto"/>
              <w:right w:val="single" w:sz="6" w:space="0" w:color="auto"/>
            </w:tcBorders>
          </w:tcPr>
          <w:p w:rsidR="004933AA" w:rsidRPr="00D33B70" w:rsidRDefault="004933AA" w:rsidP="004933AA">
            <w:pPr>
              <w:numPr>
                <w:ilvl w:val="12"/>
                <w:numId w:val="0"/>
              </w:numPr>
              <w:spacing w:before="60" w:after="60"/>
              <w:jc w:val="center"/>
            </w:pPr>
            <w:r w:rsidRPr="00D33B70">
              <w:t>The playing field within the Highton Recreation Reserve and associated sporting facilities will require re-configuration as a result of excavation and will become inundated when storage is initiated.</w:t>
            </w:r>
          </w:p>
          <w:p w:rsidR="004933AA" w:rsidRPr="00D33B70" w:rsidRDefault="004933AA" w:rsidP="009A0873">
            <w:pPr>
              <w:numPr>
                <w:ilvl w:val="12"/>
                <w:numId w:val="0"/>
              </w:numPr>
              <w:spacing w:before="60" w:after="60"/>
              <w:jc w:val="center"/>
            </w:pPr>
            <w:r w:rsidRPr="00D33B70">
              <w:t>Through appropriate design</w:t>
            </w:r>
            <w:r w:rsidR="00DA0034" w:rsidRPr="00D33B70">
              <w:t xml:space="preserve"> of </w:t>
            </w:r>
            <w:r w:rsidR="009A0873" w:rsidRPr="00D33B70">
              <w:t xml:space="preserve">the </w:t>
            </w:r>
            <w:r w:rsidR="00DA0034" w:rsidRPr="00D33B70">
              <w:t>retarding basin</w:t>
            </w:r>
            <w:r w:rsidRPr="00D33B70">
              <w:t>, including playing field drainage systems</w:t>
            </w:r>
            <w:r w:rsidR="00DA0034" w:rsidRPr="00D33B70">
              <w:t>,</w:t>
            </w:r>
            <w:r w:rsidRPr="00D33B70">
              <w:t xml:space="preserve"> the</w:t>
            </w:r>
            <w:r w:rsidR="00DA0034" w:rsidRPr="00D33B70">
              <w:t xml:space="preserve">re should not be </w:t>
            </w:r>
            <w:r w:rsidR="009A0873" w:rsidRPr="00D33B70">
              <w:t xml:space="preserve">a </w:t>
            </w:r>
            <w:r w:rsidR="00DA0034" w:rsidRPr="00D33B70">
              <w:t>significant</w:t>
            </w:r>
            <w:r w:rsidR="00337E28" w:rsidRPr="00D33B70">
              <w:t xml:space="preserve"> </w:t>
            </w:r>
            <w:r w:rsidR="00DA0034" w:rsidRPr="00D33B70">
              <w:t xml:space="preserve">impact </w:t>
            </w:r>
            <w:r w:rsidR="009A0873" w:rsidRPr="00D33B70">
              <w:t>on</w:t>
            </w:r>
            <w:r w:rsidR="00DA0034" w:rsidRPr="00D33B70">
              <w:t xml:space="preserve"> the community due to the presence of water on the playing fields.</w:t>
            </w:r>
          </w:p>
        </w:tc>
        <w:tc>
          <w:tcPr>
            <w:tcW w:w="3497" w:type="dxa"/>
            <w:tcBorders>
              <w:top w:val="single" w:sz="6" w:space="0" w:color="auto"/>
              <w:left w:val="single" w:sz="6" w:space="0" w:color="auto"/>
              <w:bottom w:val="single" w:sz="6" w:space="0" w:color="auto"/>
              <w:right w:val="single" w:sz="6" w:space="0" w:color="auto"/>
            </w:tcBorders>
          </w:tcPr>
          <w:p w:rsidR="002F701E" w:rsidRPr="006B1B72" w:rsidRDefault="00332D3D" w:rsidP="004933AA">
            <w:pPr>
              <w:numPr>
                <w:ilvl w:val="12"/>
                <w:numId w:val="0"/>
              </w:numPr>
              <w:spacing w:before="60" w:after="60"/>
              <w:jc w:val="center"/>
            </w:pPr>
            <w:r w:rsidRPr="006B1B72">
              <w:t>Same as Scheme Two</w:t>
            </w:r>
          </w:p>
        </w:tc>
        <w:tc>
          <w:tcPr>
            <w:tcW w:w="1843" w:type="dxa"/>
            <w:tcBorders>
              <w:top w:val="single" w:sz="6" w:space="0" w:color="auto"/>
              <w:left w:val="single" w:sz="6" w:space="0" w:color="auto"/>
              <w:bottom w:val="single" w:sz="6" w:space="0" w:color="auto"/>
              <w:right w:val="single" w:sz="6" w:space="0" w:color="auto"/>
            </w:tcBorders>
          </w:tcPr>
          <w:p w:rsidR="002F701E" w:rsidRPr="006B1B72" w:rsidRDefault="002F701E" w:rsidP="004933AA">
            <w:pPr>
              <w:numPr>
                <w:ilvl w:val="12"/>
                <w:numId w:val="0"/>
              </w:numPr>
              <w:spacing w:before="60" w:after="60"/>
              <w:jc w:val="center"/>
            </w:pPr>
            <w:r w:rsidRPr="006B1B72">
              <w:t>No Change.</w:t>
            </w:r>
          </w:p>
        </w:tc>
      </w:tr>
      <w:tr w:rsidR="002F701E" w:rsidRPr="006B1B72" w:rsidTr="004933AA">
        <w:trPr>
          <w:cantSplit/>
          <w:trHeight w:val="670"/>
        </w:trPr>
        <w:tc>
          <w:tcPr>
            <w:tcW w:w="1701" w:type="dxa"/>
            <w:tcBorders>
              <w:top w:val="single" w:sz="6" w:space="0" w:color="auto"/>
              <w:left w:val="single" w:sz="6" w:space="0" w:color="auto"/>
              <w:bottom w:val="single" w:sz="6" w:space="0" w:color="auto"/>
              <w:right w:val="single" w:sz="6" w:space="0" w:color="auto"/>
            </w:tcBorders>
          </w:tcPr>
          <w:p w:rsidR="002F701E" w:rsidRPr="006B1B72" w:rsidRDefault="002F701E" w:rsidP="008679D0">
            <w:pPr>
              <w:pStyle w:val="ListContinue2"/>
              <w:numPr>
                <w:ilvl w:val="12"/>
                <w:numId w:val="0"/>
              </w:numPr>
              <w:tabs>
                <w:tab w:val="clear" w:pos="-720"/>
              </w:tabs>
              <w:suppressAutoHyphens w:val="0"/>
              <w:spacing w:before="60" w:after="60"/>
            </w:pPr>
            <w:r w:rsidRPr="006B1B72">
              <w:t>Cultural Heritage.</w:t>
            </w:r>
          </w:p>
        </w:tc>
        <w:tc>
          <w:tcPr>
            <w:tcW w:w="3496" w:type="dxa"/>
            <w:tcBorders>
              <w:top w:val="single" w:sz="6" w:space="0" w:color="auto"/>
              <w:left w:val="single" w:sz="6" w:space="0" w:color="auto"/>
              <w:bottom w:val="single" w:sz="6" w:space="0" w:color="auto"/>
              <w:right w:val="single" w:sz="6" w:space="0" w:color="auto"/>
            </w:tcBorders>
          </w:tcPr>
          <w:p w:rsidR="002F701E" w:rsidRPr="006B1B72" w:rsidRDefault="002F701E" w:rsidP="004933AA">
            <w:pPr>
              <w:numPr>
                <w:ilvl w:val="12"/>
                <w:numId w:val="0"/>
              </w:numPr>
              <w:spacing w:before="60" w:after="60"/>
              <w:jc w:val="center"/>
            </w:pPr>
            <w:r w:rsidRPr="006B1B72">
              <w:t>Manage via Cultural Heritage Management Plan (if required).</w:t>
            </w:r>
          </w:p>
        </w:tc>
        <w:tc>
          <w:tcPr>
            <w:tcW w:w="3497" w:type="dxa"/>
            <w:tcBorders>
              <w:top w:val="single" w:sz="6" w:space="0" w:color="auto"/>
              <w:left w:val="single" w:sz="6" w:space="0" w:color="auto"/>
              <w:bottom w:val="single" w:sz="6" w:space="0" w:color="auto"/>
              <w:right w:val="single" w:sz="6" w:space="0" w:color="auto"/>
            </w:tcBorders>
          </w:tcPr>
          <w:p w:rsidR="002F701E" w:rsidRPr="006B1B72" w:rsidRDefault="002F701E" w:rsidP="004933AA">
            <w:pPr>
              <w:numPr>
                <w:ilvl w:val="12"/>
                <w:numId w:val="0"/>
              </w:numPr>
              <w:spacing w:before="60" w:after="60"/>
              <w:jc w:val="center"/>
            </w:pPr>
            <w:r w:rsidRPr="006B1B72">
              <w:t>Same as Scheme One.</w:t>
            </w:r>
          </w:p>
        </w:tc>
        <w:tc>
          <w:tcPr>
            <w:tcW w:w="3497" w:type="dxa"/>
            <w:tcBorders>
              <w:top w:val="single" w:sz="6" w:space="0" w:color="auto"/>
              <w:left w:val="single" w:sz="6" w:space="0" w:color="auto"/>
              <w:bottom w:val="single" w:sz="6" w:space="0" w:color="auto"/>
              <w:right w:val="single" w:sz="6" w:space="0" w:color="auto"/>
            </w:tcBorders>
          </w:tcPr>
          <w:p w:rsidR="002F701E" w:rsidRPr="006B1B72" w:rsidRDefault="002F701E" w:rsidP="004933AA">
            <w:pPr>
              <w:numPr>
                <w:ilvl w:val="12"/>
                <w:numId w:val="0"/>
              </w:numPr>
              <w:spacing w:before="60" w:after="60"/>
              <w:jc w:val="center"/>
            </w:pPr>
            <w:r w:rsidRPr="006B1B72">
              <w:t>Same as Scheme One.</w:t>
            </w:r>
          </w:p>
        </w:tc>
        <w:tc>
          <w:tcPr>
            <w:tcW w:w="1843" w:type="dxa"/>
            <w:tcBorders>
              <w:top w:val="single" w:sz="6" w:space="0" w:color="auto"/>
              <w:left w:val="single" w:sz="6" w:space="0" w:color="auto"/>
              <w:bottom w:val="single" w:sz="6" w:space="0" w:color="auto"/>
              <w:right w:val="single" w:sz="6" w:space="0" w:color="auto"/>
            </w:tcBorders>
          </w:tcPr>
          <w:p w:rsidR="002F701E" w:rsidRPr="006B1B72" w:rsidRDefault="002F701E" w:rsidP="004933AA">
            <w:pPr>
              <w:numPr>
                <w:ilvl w:val="12"/>
                <w:numId w:val="0"/>
              </w:numPr>
              <w:spacing w:before="60" w:after="60"/>
              <w:jc w:val="center"/>
            </w:pPr>
            <w:r w:rsidRPr="006B1B72">
              <w:t>No Change.</w:t>
            </w:r>
          </w:p>
        </w:tc>
      </w:tr>
      <w:tr w:rsidR="002F701E" w:rsidRPr="006B1B72" w:rsidTr="004933AA">
        <w:trPr>
          <w:cantSplit/>
          <w:trHeight w:val="433"/>
        </w:trPr>
        <w:tc>
          <w:tcPr>
            <w:tcW w:w="1701" w:type="dxa"/>
            <w:tcBorders>
              <w:top w:val="single" w:sz="6" w:space="0" w:color="auto"/>
              <w:left w:val="single" w:sz="6" w:space="0" w:color="auto"/>
              <w:bottom w:val="single" w:sz="6" w:space="0" w:color="auto"/>
              <w:right w:val="single" w:sz="6" w:space="0" w:color="auto"/>
            </w:tcBorders>
          </w:tcPr>
          <w:p w:rsidR="002F701E" w:rsidRPr="006B1B72" w:rsidRDefault="002F701E" w:rsidP="008679D0">
            <w:pPr>
              <w:pStyle w:val="ListContinue2"/>
              <w:numPr>
                <w:ilvl w:val="12"/>
                <w:numId w:val="0"/>
              </w:numPr>
              <w:tabs>
                <w:tab w:val="clear" w:pos="-720"/>
              </w:tabs>
              <w:suppressAutoHyphens w:val="0"/>
              <w:spacing w:before="60" w:after="60"/>
            </w:pPr>
            <w:r w:rsidRPr="006B1B72">
              <w:t>Public Safety.</w:t>
            </w:r>
          </w:p>
        </w:tc>
        <w:tc>
          <w:tcPr>
            <w:tcW w:w="3496" w:type="dxa"/>
            <w:tcBorders>
              <w:top w:val="single" w:sz="6" w:space="0" w:color="auto"/>
              <w:left w:val="single" w:sz="6" w:space="0" w:color="auto"/>
              <w:bottom w:val="single" w:sz="6" w:space="0" w:color="auto"/>
              <w:right w:val="single" w:sz="6" w:space="0" w:color="auto"/>
            </w:tcBorders>
          </w:tcPr>
          <w:p w:rsidR="002F701E" w:rsidRPr="006B1B72" w:rsidRDefault="002F701E" w:rsidP="004933AA">
            <w:pPr>
              <w:numPr>
                <w:ilvl w:val="12"/>
                <w:numId w:val="0"/>
              </w:numPr>
              <w:spacing w:before="60" w:after="60"/>
              <w:jc w:val="center"/>
            </w:pPr>
            <w:r w:rsidRPr="006B1B72">
              <w:t>Moderate risk due to potentially deep excavation.  Manage risk with appropriate construction phase management plans as applicable.</w:t>
            </w:r>
          </w:p>
          <w:p w:rsidR="002F701E" w:rsidRPr="006B1B72" w:rsidRDefault="002F701E" w:rsidP="004933AA">
            <w:pPr>
              <w:numPr>
                <w:ilvl w:val="12"/>
                <w:numId w:val="0"/>
              </w:numPr>
              <w:spacing w:before="60" w:after="60"/>
              <w:jc w:val="center"/>
            </w:pPr>
            <w:r w:rsidRPr="006B1B72">
              <w:t>Some potential risk from large drainage structures.  Manage with best practice design.</w:t>
            </w:r>
          </w:p>
        </w:tc>
        <w:tc>
          <w:tcPr>
            <w:tcW w:w="3497" w:type="dxa"/>
            <w:tcBorders>
              <w:top w:val="single" w:sz="6" w:space="0" w:color="auto"/>
              <w:left w:val="single" w:sz="6" w:space="0" w:color="auto"/>
              <w:bottom w:val="single" w:sz="6" w:space="0" w:color="auto"/>
              <w:right w:val="single" w:sz="6" w:space="0" w:color="auto"/>
            </w:tcBorders>
          </w:tcPr>
          <w:p w:rsidR="002F701E" w:rsidRPr="006B1B72" w:rsidRDefault="002F701E" w:rsidP="004933AA">
            <w:pPr>
              <w:numPr>
                <w:ilvl w:val="12"/>
                <w:numId w:val="0"/>
              </w:numPr>
              <w:spacing w:before="60" w:after="60"/>
              <w:jc w:val="center"/>
            </w:pPr>
            <w:r w:rsidRPr="006B1B72">
              <w:t>Same as Scheme One.</w:t>
            </w:r>
          </w:p>
        </w:tc>
        <w:tc>
          <w:tcPr>
            <w:tcW w:w="3497" w:type="dxa"/>
            <w:tcBorders>
              <w:top w:val="single" w:sz="6" w:space="0" w:color="auto"/>
              <w:left w:val="single" w:sz="6" w:space="0" w:color="auto"/>
              <w:bottom w:val="single" w:sz="6" w:space="0" w:color="auto"/>
              <w:right w:val="single" w:sz="6" w:space="0" w:color="auto"/>
            </w:tcBorders>
          </w:tcPr>
          <w:p w:rsidR="002F701E" w:rsidRPr="006B1B72" w:rsidRDefault="002F701E" w:rsidP="004933AA">
            <w:pPr>
              <w:numPr>
                <w:ilvl w:val="12"/>
                <w:numId w:val="0"/>
              </w:numPr>
              <w:spacing w:before="60" w:after="60"/>
              <w:jc w:val="center"/>
            </w:pPr>
            <w:r w:rsidRPr="006B1B72">
              <w:t>Same as Scheme One.</w:t>
            </w:r>
          </w:p>
        </w:tc>
        <w:tc>
          <w:tcPr>
            <w:tcW w:w="1843" w:type="dxa"/>
            <w:tcBorders>
              <w:top w:val="single" w:sz="6" w:space="0" w:color="auto"/>
              <w:left w:val="single" w:sz="6" w:space="0" w:color="auto"/>
              <w:bottom w:val="single" w:sz="6" w:space="0" w:color="auto"/>
              <w:right w:val="single" w:sz="6" w:space="0" w:color="auto"/>
            </w:tcBorders>
          </w:tcPr>
          <w:p w:rsidR="002F701E" w:rsidRPr="006B1B72" w:rsidRDefault="002F701E" w:rsidP="004933AA">
            <w:pPr>
              <w:numPr>
                <w:ilvl w:val="12"/>
                <w:numId w:val="0"/>
              </w:numPr>
              <w:spacing w:before="60" w:after="60"/>
              <w:jc w:val="center"/>
            </w:pPr>
            <w:r w:rsidRPr="006B1B72">
              <w:t>No Change.  Areas of unsafe flooding would remain.</w:t>
            </w:r>
          </w:p>
        </w:tc>
      </w:tr>
    </w:tbl>
    <w:p w:rsidR="00EA5B48" w:rsidRPr="006B1B72" w:rsidRDefault="00EA5B48" w:rsidP="00B26EF8">
      <w:pPr>
        <w:pStyle w:val="Heading2"/>
      </w:pPr>
      <w:r w:rsidRPr="006B1B72">
        <w:rPr>
          <w:highlight w:val="yellow"/>
        </w:rPr>
        <w:br w:type="page"/>
      </w:r>
      <w:bookmarkStart w:id="437" w:name="_Toc231362274"/>
      <w:bookmarkStart w:id="438" w:name="_Toc236814075"/>
      <w:bookmarkStart w:id="439" w:name="_Toc280013953"/>
      <w:bookmarkStart w:id="440" w:name="_Toc295740277"/>
      <w:bookmarkStart w:id="441" w:name="_Toc387308923"/>
      <w:r w:rsidRPr="006B1B72">
        <w:lastRenderedPageBreak/>
        <w:t>Feasibility and Performance Indicators</w:t>
      </w:r>
      <w:bookmarkEnd w:id="437"/>
      <w:bookmarkEnd w:id="438"/>
      <w:bookmarkEnd w:id="439"/>
      <w:bookmarkEnd w:id="440"/>
      <w:bookmarkEnd w:id="441"/>
    </w:p>
    <w:p w:rsidR="00EA5B48" w:rsidRPr="006B1B72" w:rsidRDefault="00EA5B48" w:rsidP="00EA5B48">
      <w:pPr>
        <w:pStyle w:val="Text"/>
        <w:numPr>
          <w:ilvl w:val="12"/>
          <w:numId w:val="0"/>
        </w:numPr>
        <w:ind w:left="851"/>
      </w:pPr>
      <w:r w:rsidRPr="006B1B72">
        <w:fldChar w:fldCharType="begin"/>
      </w:r>
      <w:r w:rsidRPr="006B1B72">
        <w:instrText xml:space="preserve"> REF _Ref230930136 \h  \* MERGEFORMAT </w:instrText>
      </w:r>
      <w:r w:rsidRPr="006B1B72">
        <w:fldChar w:fldCharType="separate"/>
      </w:r>
      <w:r w:rsidR="00AC6986" w:rsidRPr="006B1B72">
        <w:t xml:space="preserve">Table </w:t>
      </w:r>
      <w:r w:rsidR="00AC6986">
        <w:t>8</w:t>
      </w:r>
      <w:r w:rsidR="00AC6986" w:rsidRPr="006B1B72">
        <w:noBreakHyphen/>
      </w:r>
      <w:r w:rsidR="00AC6986">
        <w:t>13</w:t>
      </w:r>
      <w:r w:rsidRPr="006B1B72">
        <w:fldChar w:fldCharType="end"/>
      </w:r>
      <w:r w:rsidRPr="006B1B72">
        <w:t xml:space="preserve"> presents the feasibility and performance indicators for the </w:t>
      </w:r>
      <w:r w:rsidR="00572A68" w:rsidRPr="006B1B72">
        <w:t>study area</w:t>
      </w:r>
      <w:r w:rsidRPr="006B1B72">
        <w:t>.  The main inhibitors to both schemes are the capital costs and relatively low BCR values; however Scheme One is more favourable than Scheme Two for these two indicators.</w:t>
      </w:r>
    </w:p>
    <w:p w:rsidR="00EA5B48" w:rsidRPr="006B1B72" w:rsidRDefault="00EA5B48" w:rsidP="00EA5B48">
      <w:pPr>
        <w:pStyle w:val="Caption"/>
        <w:numPr>
          <w:ilvl w:val="12"/>
          <w:numId w:val="0"/>
        </w:numPr>
        <w:ind w:left="851"/>
      </w:pPr>
      <w:bookmarkStart w:id="442" w:name="_Ref230930136"/>
      <w:bookmarkStart w:id="443" w:name="_Toc231362356"/>
      <w:bookmarkStart w:id="444" w:name="_Toc236553398"/>
      <w:bookmarkStart w:id="445" w:name="_Toc280014025"/>
      <w:bookmarkStart w:id="446" w:name="_Toc295475246"/>
      <w:bookmarkStart w:id="447" w:name="_Toc295914245"/>
      <w:bookmarkStart w:id="448" w:name="_Toc387309003"/>
      <w:bookmarkEnd w:id="432"/>
      <w:r w:rsidRPr="006B1B72">
        <w:t xml:space="preserve">Table </w:t>
      </w:r>
      <w:r w:rsidR="00FF3C04" w:rsidRPr="006B1B72">
        <w:fldChar w:fldCharType="begin"/>
      </w:r>
      <w:r w:rsidR="00FF3C04" w:rsidRPr="006B1B72">
        <w:instrText xml:space="preserve"> STYLEREF 1 \s </w:instrText>
      </w:r>
      <w:r w:rsidR="00FF3C04" w:rsidRPr="006B1B72">
        <w:fldChar w:fldCharType="separate"/>
      </w:r>
      <w:r w:rsidR="00AC6986">
        <w:rPr>
          <w:noProof/>
        </w:rPr>
        <w:t>8</w:t>
      </w:r>
      <w:r w:rsidR="00FF3C04" w:rsidRPr="006B1B72">
        <w:fldChar w:fldCharType="end"/>
      </w:r>
      <w:r w:rsidR="00FF3C04" w:rsidRPr="006B1B72">
        <w:noBreakHyphen/>
      </w:r>
      <w:r w:rsidR="00FF3C04" w:rsidRPr="006B1B72">
        <w:fldChar w:fldCharType="begin"/>
      </w:r>
      <w:r w:rsidR="00FF3C04" w:rsidRPr="006B1B72">
        <w:instrText xml:space="preserve"> SEQ Table \* ARABIC \s 1 </w:instrText>
      </w:r>
      <w:r w:rsidR="00FF3C04" w:rsidRPr="006B1B72">
        <w:fldChar w:fldCharType="separate"/>
      </w:r>
      <w:r w:rsidR="00AC6986">
        <w:rPr>
          <w:noProof/>
        </w:rPr>
        <w:t>13</w:t>
      </w:r>
      <w:r w:rsidR="00FF3C04" w:rsidRPr="006B1B72">
        <w:fldChar w:fldCharType="end"/>
      </w:r>
      <w:bookmarkEnd w:id="442"/>
      <w:r w:rsidRPr="006B1B72">
        <w:tab/>
        <w:t>Feasibility and Performance Indicators</w:t>
      </w:r>
      <w:bookmarkEnd w:id="433"/>
      <w:bookmarkEnd w:id="434"/>
      <w:bookmarkEnd w:id="443"/>
      <w:bookmarkEnd w:id="444"/>
      <w:bookmarkEnd w:id="445"/>
      <w:bookmarkEnd w:id="446"/>
      <w:bookmarkEnd w:id="447"/>
      <w:bookmarkEnd w:id="448"/>
    </w:p>
    <w:tbl>
      <w:tblPr>
        <w:tblW w:w="14034" w:type="dxa"/>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pct10" w:color="auto" w:fill="auto"/>
        <w:tblLayout w:type="fixed"/>
        <w:tblCellMar>
          <w:left w:w="115" w:type="dxa"/>
          <w:right w:w="115" w:type="dxa"/>
        </w:tblCellMar>
        <w:tblLook w:val="0020" w:firstRow="1" w:lastRow="0" w:firstColumn="0" w:lastColumn="0" w:noHBand="0" w:noVBand="0"/>
      </w:tblPr>
      <w:tblGrid>
        <w:gridCol w:w="1701"/>
        <w:gridCol w:w="3083"/>
        <w:gridCol w:w="3083"/>
        <w:gridCol w:w="3083"/>
        <w:gridCol w:w="3084"/>
      </w:tblGrid>
      <w:tr w:rsidR="004933AA" w:rsidRPr="006B1B72" w:rsidTr="00611733">
        <w:trPr>
          <w:cantSplit/>
          <w:trHeight w:val="371"/>
          <w:tblHeader/>
        </w:trPr>
        <w:tc>
          <w:tcPr>
            <w:tcW w:w="1701" w:type="dxa"/>
            <w:shd w:val="pct10" w:color="auto" w:fill="auto"/>
            <w:vAlign w:val="center"/>
          </w:tcPr>
          <w:p w:rsidR="004933AA" w:rsidRPr="006B1B72" w:rsidRDefault="004933AA" w:rsidP="00611733">
            <w:pPr>
              <w:numPr>
                <w:ilvl w:val="12"/>
                <w:numId w:val="0"/>
              </w:numPr>
              <w:spacing w:before="80"/>
              <w:jc w:val="center"/>
              <w:rPr>
                <w:sz w:val="28"/>
                <w:szCs w:val="28"/>
              </w:rPr>
            </w:pPr>
            <w:r w:rsidRPr="006B1B72">
              <w:br w:type="page"/>
            </w:r>
            <w:r w:rsidRPr="006B1B72">
              <w:rPr>
                <w:b/>
                <w:sz w:val="28"/>
                <w:szCs w:val="28"/>
              </w:rPr>
              <w:t>I</w:t>
            </w:r>
            <w:r w:rsidR="00677AF5" w:rsidRPr="006B1B72">
              <w:rPr>
                <w:b/>
                <w:sz w:val="28"/>
                <w:szCs w:val="28"/>
              </w:rPr>
              <w:t>ssue</w:t>
            </w:r>
          </w:p>
        </w:tc>
        <w:tc>
          <w:tcPr>
            <w:tcW w:w="12333" w:type="dxa"/>
            <w:gridSpan w:val="4"/>
            <w:shd w:val="pct10" w:color="auto" w:fill="auto"/>
            <w:vAlign w:val="center"/>
          </w:tcPr>
          <w:p w:rsidR="004933AA" w:rsidRPr="006B1B72" w:rsidRDefault="004933AA" w:rsidP="00611733">
            <w:pPr>
              <w:numPr>
                <w:ilvl w:val="12"/>
                <w:numId w:val="0"/>
              </w:numPr>
              <w:spacing w:before="80"/>
              <w:jc w:val="center"/>
              <w:rPr>
                <w:b/>
                <w:sz w:val="28"/>
              </w:rPr>
            </w:pPr>
            <w:r w:rsidRPr="006B1B72">
              <w:rPr>
                <w:b/>
                <w:sz w:val="28"/>
              </w:rPr>
              <w:t>FLOOD MITIGATION SCHEMES</w:t>
            </w:r>
          </w:p>
        </w:tc>
      </w:tr>
      <w:tr w:rsidR="00677AF5" w:rsidRPr="006B1B72" w:rsidTr="00611733">
        <w:trPr>
          <w:cantSplit/>
          <w:trHeight w:val="567"/>
          <w:tblHeader/>
        </w:trPr>
        <w:tc>
          <w:tcPr>
            <w:tcW w:w="1701" w:type="dxa"/>
            <w:tcBorders>
              <w:bottom w:val="single" w:sz="6" w:space="0" w:color="auto"/>
            </w:tcBorders>
            <w:shd w:val="pct10" w:color="auto" w:fill="auto"/>
          </w:tcPr>
          <w:p w:rsidR="00677AF5" w:rsidRPr="006B1B72" w:rsidRDefault="00677AF5" w:rsidP="00611733">
            <w:pPr>
              <w:numPr>
                <w:ilvl w:val="12"/>
                <w:numId w:val="0"/>
              </w:numPr>
              <w:spacing w:before="80"/>
              <w:jc w:val="center"/>
              <w:rPr>
                <w:highlight w:val="yellow"/>
              </w:rPr>
            </w:pPr>
          </w:p>
        </w:tc>
        <w:tc>
          <w:tcPr>
            <w:tcW w:w="3083" w:type="dxa"/>
            <w:tcBorders>
              <w:bottom w:val="single" w:sz="6" w:space="0" w:color="auto"/>
            </w:tcBorders>
            <w:shd w:val="pct10" w:color="auto" w:fill="auto"/>
            <w:vAlign w:val="center"/>
          </w:tcPr>
          <w:p w:rsidR="00677AF5" w:rsidRPr="006B1B72" w:rsidRDefault="00677AF5" w:rsidP="00611733">
            <w:pPr>
              <w:numPr>
                <w:ilvl w:val="12"/>
                <w:numId w:val="0"/>
              </w:numPr>
              <w:spacing w:before="80"/>
              <w:jc w:val="center"/>
              <w:rPr>
                <w:b/>
                <w:sz w:val="22"/>
              </w:rPr>
            </w:pPr>
            <w:r w:rsidRPr="006B1B72">
              <w:rPr>
                <w:b/>
                <w:sz w:val="22"/>
              </w:rPr>
              <w:t>Scheme One</w:t>
            </w:r>
          </w:p>
        </w:tc>
        <w:tc>
          <w:tcPr>
            <w:tcW w:w="3083" w:type="dxa"/>
            <w:tcBorders>
              <w:bottom w:val="single" w:sz="6" w:space="0" w:color="auto"/>
            </w:tcBorders>
            <w:shd w:val="pct10" w:color="auto" w:fill="auto"/>
            <w:vAlign w:val="center"/>
          </w:tcPr>
          <w:p w:rsidR="00677AF5" w:rsidRPr="006B1B72" w:rsidRDefault="00677AF5" w:rsidP="00611733">
            <w:pPr>
              <w:numPr>
                <w:ilvl w:val="12"/>
                <w:numId w:val="0"/>
              </w:numPr>
              <w:spacing w:before="80"/>
              <w:jc w:val="center"/>
              <w:rPr>
                <w:b/>
                <w:sz w:val="22"/>
              </w:rPr>
            </w:pPr>
            <w:r w:rsidRPr="006B1B72">
              <w:rPr>
                <w:b/>
                <w:sz w:val="22"/>
              </w:rPr>
              <w:t>Scheme Two</w:t>
            </w:r>
          </w:p>
        </w:tc>
        <w:tc>
          <w:tcPr>
            <w:tcW w:w="3083" w:type="dxa"/>
            <w:tcBorders>
              <w:bottom w:val="single" w:sz="6" w:space="0" w:color="auto"/>
            </w:tcBorders>
            <w:shd w:val="pct10" w:color="auto" w:fill="auto"/>
            <w:vAlign w:val="center"/>
          </w:tcPr>
          <w:p w:rsidR="00677AF5" w:rsidRPr="006B1B72" w:rsidRDefault="00677AF5" w:rsidP="00611733">
            <w:pPr>
              <w:numPr>
                <w:ilvl w:val="12"/>
                <w:numId w:val="0"/>
              </w:numPr>
              <w:spacing w:before="80"/>
              <w:jc w:val="center"/>
              <w:rPr>
                <w:b/>
                <w:sz w:val="22"/>
              </w:rPr>
            </w:pPr>
            <w:r w:rsidRPr="006B1B72">
              <w:rPr>
                <w:b/>
                <w:sz w:val="22"/>
              </w:rPr>
              <w:t>Scheme Three</w:t>
            </w:r>
          </w:p>
        </w:tc>
        <w:tc>
          <w:tcPr>
            <w:tcW w:w="3084" w:type="dxa"/>
            <w:tcBorders>
              <w:bottom w:val="single" w:sz="6" w:space="0" w:color="auto"/>
            </w:tcBorders>
            <w:shd w:val="pct10" w:color="auto" w:fill="auto"/>
            <w:vAlign w:val="center"/>
          </w:tcPr>
          <w:p w:rsidR="00677AF5" w:rsidRPr="006B1B72" w:rsidRDefault="00CB43CE" w:rsidP="00611733">
            <w:pPr>
              <w:numPr>
                <w:ilvl w:val="12"/>
                <w:numId w:val="0"/>
              </w:numPr>
              <w:spacing w:before="80"/>
              <w:jc w:val="center"/>
              <w:rPr>
                <w:b/>
                <w:sz w:val="22"/>
              </w:rPr>
            </w:pPr>
            <w:r w:rsidRPr="006B1B72">
              <w:rPr>
                <w:b/>
                <w:sz w:val="22"/>
              </w:rPr>
              <w:t>Scheme Four</w:t>
            </w:r>
            <w:r w:rsidR="00611733" w:rsidRPr="006B1B72">
              <w:rPr>
                <w:b/>
                <w:sz w:val="22"/>
              </w:rPr>
              <w:br/>
            </w:r>
            <w:r w:rsidRPr="006B1B72">
              <w:rPr>
                <w:b/>
                <w:sz w:val="22"/>
              </w:rPr>
              <w:t>“No Structural Works” (Existing Case)</w:t>
            </w:r>
          </w:p>
        </w:tc>
      </w:tr>
      <w:tr w:rsidR="00677AF5" w:rsidRPr="006B1B72" w:rsidTr="00611733">
        <w:trPr>
          <w:cantSplit/>
          <w:trHeight w:val="567"/>
        </w:trPr>
        <w:tc>
          <w:tcPr>
            <w:tcW w:w="1701" w:type="dxa"/>
            <w:shd w:val="clear" w:color="auto" w:fill="auto"/>
          </w:tcPr>
          <w:p w:rsidR="00677AF5" w:rsidRPr="006B1B72" w:rsidRDefault="00677AF5" w:rsidP="00611733">
            <w:pPr>
              <w:pStyle w:val="ListContinue2"/>
              <w:numPr>
                <w:ilvl w:val="12"/>
                <w:numId w:val="0"/>
              </w:numPr>
              <w:tabs>
                <w:tab w:val="clear" w:pos="-720"/>
              </w:tabs>
              <w:suppressAutoHyphens w:val="0"/>
              <w:spacing w:before="80" w:after="60"/>
            </w:pPr>
            <w:r w:rsidRPr="006B1B72">
              <w:t>Maintenance costs.</w:t>
            </w:r>
          </w:p>
        </w:tc>
        <w:tc>
          <w:tcPr>
            <w:tcW w:w="3083" w:type="dxa"/>
            <w:shd w:val="clear" w:color="auto" w:fill="auto"/>
          </w:tcPr>
          <w:p w:rsidR="00611733" w:rsidRPr="006B1B72" w:rsidRDefault="00982DF2" w:rsidP="00611733">
            <w:pPr>
              <w:numPr>
                <w:ilvl w:val="12"/>
                <w:numId w:val="0"/>
              </w:numPr>
              <w:spacing w:before="80"/>
              <w:jc w:val="center"/>
            </w:pPr>
            <w:r w:rsidRPr="006B1B72">
              <w:t>Limited increase in annual maintenance cost as proposed pipe would only make up a small percentage of the drainage infrastructure within the study area.</w:t>
            </w:r>
          </w:p>
          <w:p w:rsidR="00677AF5" w:rsidRPr="006B1B72" w:rsidRDefault="00982DF2" w:rsidP="00611733">
            <w:pPr>
              <w:numPr>
                <w:ilvl w:val="12"/>
                <w:numId w:val="0"/>
              </w:numPr>
              <w:spacing w:before="80"/>
              <w:jc w:val="center"/>
              <w:rPr>
                <w:b/>
                <w:sz w:val="22"/>
              </w:rPr>
            </w:pPr>
            <w:r w:rsidRPr="006B1B72">
              <w:t>Retarding basin works are located in existing reserves that are already maintained in the required manner by council.</w:t>
            </w:r>
          </w:p>
        </w:tc>
        <w:tc>
          <w:tcPr>
            <w:tcW w:w="3083" w:type="dxa"/>
            <w:shd w:val="clear" w:color="auto" w:fill="auto"/>
          </w:tcPr>
          <w:p w:rsidR="00677AF5" w:rsidRPr="006B1B72" w:rsidRDefault="00982DF2" w:rsidP="00611733">
            <w:pPr>
              <w:numPr>
                <w:ilvl w:val="12"/>
                <w:numId w:val="0"/>
              </w:numPr>
              <w:spacing w:before="80"/>
              <w:jc w:val="center"/>
            </w:pPr>
            <w:r w:rsidRPr="006B1B72">
              <w:t>Same as Scheme One.</w:t>
            </w:r>
          </w:p>
        </w:tc>
        <w:tc>
          <w:tcPr>
            <w:tcW w:w="3083" w:type="dxa"/>
            <w:shd w:val="clear" w:color="auto" w:fill="auto"/>
          </w:tcPr>
          <w:p w:rsidR="00677AF5" w:rsidRPr="006B1B72" w:rsidRDefault="00982DF2" w:rsidP="00611733">
            <w:pPr>
              <w:numPr>
                <w:ilvl w:val="12"/>
                <w:numId w:val="0"/>
              </w:numPr>
              <w:spacing w:before="80"/>
              <w:jc w:val="center"/>
            </w:pPr>
            <w:r w:rsidRPr="006B1B72">
              <w:t>Same as Scheme One.</w:t>
            </w:r>
          </w:p>
        </w:tc>
        <w:tc>
          <w:tcPr>
            <w:tcW w:w="3084" w:type="dxa"/>
            <w:shd w:val="clear" w:color="auto" w:fill="auto"/>
          </w:tcPr>
          <w:p w:rsidR="00677AF5" w:rsidRPr="006B1B72" w:rsidRDefault="00677AF5" w:rsidP="00611733">
            <w:pPr>
              <w:numPr>
                <w:ilvl w:val="12"/>
                <w:numId w:val="0"/>
              </w:numPr>
              <w:spacing w:before="80" w:after="60"/>
              <w:jc w:val="center"/>
            </w:pPr>
            <w:r w:rsidRPr="006B1B72">
              <w:t>No Change</w:t>
            </w:r>
          </w:p>
        </w:tc>
      </w:tr>
      <w:tr w:rsidR="00677AF5" w:rsidRPr="006B1B72" w:rsidTr="00611733">
        <w:trPr>
          <w:cantSplit/>
          <w:trHeight w:val="567"/>
        </w:trPr>
        <w:tc>
          <w:tcPr>
            <w:tcW w:w="1701" w:type="dxa"/>
            <w:shd w:val="clear" w:color="auto" w:fill="auto"/>
          </w:tcPr>
          <w:p w:rsidR="00677AF5" w:rsidRPr="006B1B72" w:rsidRDefault="00677AF5" w:rsidP="00611733">
            <w:pPr>
              <w:numPr>
                <w:ilvl w:val="12"/>
                <w:numId w:val="0"/>
              </w:numPr>
              <w:spacing w:before="80" w:after="60"/>
              <w:jc w:val="left"/>
            </w:pPr>
            <w:r w:rsidRPr="006B1B72">
              <w:lastRenderedPageBreak/>
              <w:t>Ease of Construction</w:t>
            </w:r>
          </w:p>
        </w:tc>
        <w:tc>
          <w:tcPr>
            <w:tcW w:w="3083" w:type="dxa"/>
            <w:shd w:val="clear" w:color="auto" w:fill="auto"/>
          </w:tcPr>
          <w:p w:rsidR="00677AF5" w:rsidRPr="006B1B72" w:rsidRDefault="00AB3905" w:rsidP="00611733">
            <w:pPr>
              <w:numPr>
                <w:ilvl w:val="12"/>
                <w:numId w:val="0"/>
              </w:numPr>
              <w:spacing w:before="80"/>
              <w:jc w:val="center"/>
            </w:pPr>
            <w:r w:rsidRPr="006B1B72">
              <w:t xml:space="preserve">Difficulties associated with the laying of new pipes, particularly under Mount </w:t>
            </w:r>
            <w:r w:rsidR="00337E28" w:rsidRPr="006B1B72">
              <w:t>Pleasant</w:t>
            </w:r>
            <w:r w:rsidRPr="006B1B72">
              <w:t xml:space="preserve"> Road</w:t>
            </w:r>
            <w:r w:rsidR="00337E28" w:rsidRPr="006B1B72">
              <w:t>,</w:t>
            </w:r>
            <w:r w:rsidRPr="006B1B72">
              <w:t xml:space="preserve"> whilst minimising disruption to traffic flow.</w:t>
            </w:r>
          </w:p>
          <w:p w:rsidR="00AB3905" w:rsidRPr="006B1B72" w:rsidRDefault="00AB3905" w:rsidP="00611733">
            <w:pPr>
              <w:numPr>
                <w:ilvl w:val="12"/>
                <w:numId w:val="0"/>
              </w:numPr>
              <w:spacing w:before="80"/>
              <w:jc w:val="center"/>
            </w:pPr>
            <w:r w:rsidRPr="006B1B72">
              <w:t>Unknown geology of excavation area may pose difficulties in construction and increase costs.</w:t>
            </w:r>
          </w:p>
          <w:p w:rsidR="00AB3905" w:rsidRPr="006B1B72" w:rsidRDefault="00AB3905" w:rsidP="00611733">
            <w:pPr>
              <w:numPr>
                <w:ilvl w:val="12"/>
                <w:numId w:val="0"/>
              </w:numPr>
              <w:spacing w:before="80"/>
              <w:jc w:val="center"/>
              <w:rPr>
                <w:sz w:val="22"/>
              </w:rPr>
            </w:pPr>
            <w:r w:rsidRPr="006B1B72">
              <w:t>Potential for other utilities such as sewerage, potable water and gas to be located within the area.</w:t>
            </w:r>
          </w:p>
        </w:tc>
        <w:tc>
          <w:tcPr>
            <w:tcW w:w="3083" w:type="dxa"/>
            <w:shd w:val="clear" w:color="auto" w:fill="auto"/>
          </w:tcPr>
          <w:p w:rsidR="00B9301C" w:rsidRPr="006B1B72" w:rsidRDefault="00B9301C" w:rsidP="00611733">
            <w:pPr>
              <w:numPr>
                <w:ilvl w:val="12"/>
                <w:numId w:val="0"/>
              </w:numPr>
              <w:spacing w:before="80"/>
              <w:jc w:val="center"/>
            </w:pPr>
            <w:r w:rsidRPr="006B1B72">
              <w:t xml:space="preserve">Difficulties associated with the </w:t>
            </w:r>
            <w:r w:rsidR="002D1D0F" w:rsidRPr="006B1B72">
              <w:t>laying of new pipes, particularly under Barrabool Road and Belle Vue Avenue</w:t>
            </w:r>
            <w:r w:rsidRPr="006B1B72">
              <w:t>, whilst minimising disruption to traffic flow.</w:t>
            </w:r>
          </w:p>
          <w:p w:rsidR="00B9301C" w:rsidRPr="006B1B72" w:rsidRDefault="00B9301C" w:rsidP="00611733">
            <w:pPr>
              <w:numPr>
                <w:ilvl w:val="12"/>
                <w:numId w:val="0"/>
              </w:numPr>
              <w:spacing w:before="80"/>
              <w:jc w:val="center"/>
            </w:pPr>
            <w:r w:rsidRPr="006B1B72">
              <w:t>Difficulties associated with retro-fitting new pit and connector pipe configuration with already established development/drainage network.</w:t>
            </w:r>
          </w:p>
          <w:p w:rsidR="002D1D0F" w:rsidRPr="006B1B72" w:rsidRDefault="002D1D0F" w:rsidP="00611733">
            <w:pPr>
              <w:numPr>
                <w:ilvl w:val="12"/>
                <w:numId w:val="0"/>
              </w:numPr>
              <w:spacing w:before="80"/>
              <w:jc w:val="center"/>
            </w:pPr>
            <w:r w:rsidRPr="006B1B72">
              <w:t>Unknown geology of excavation area</w:t>
            </w:r>
            <w:r w:rsidR="00AB3905" w:rsidRPr="006B1B72">
              <w:t>s</w:t>
            </w:r>
            <w:r w:rsidRPr="006B1B72">
              <w:t xml:space="preserve"> may </w:t>
            </w:r>
            <w:r w:rsidR="00AB3905" w:rsidRPr="006B1B72">
              <w:t>pose difficulties in construction and increase costs.</w:t>
            </w:r>
          </w:p>
          <w:p w:rsidR="00677AF5" w:rsidRPr="006B1B72" w:rsidRDefault="00B9301C" w:rsidP="00611733">
            <w:pPr>
              <w:numPr>
                <w:ilvl w:val="12"/>
                <w:numId w:val="0"/>
              </w:numPr>
              <w:spacing w:before="80"/>
              <w:jc w:val="center"/>
            </w:pPr>
            <w:r w:rsidRPr="006B1B72">
              <w:t>Potential for other utilities such as sewerage, potable water and gas to be located within the area.</w:t>
            </w:r>
          </w:p>
        </w:tc>
        <w:tc>
          <w:tcPr>
            <w:tcW w:w="3083" w:type="dxa"/>
            <w:shd w:val="clear" w:color="auto" w:fill="auto"/>
          </w:tcPr>
          <w:p w:rsidR="00677AF5" w:rsidRPr="006B1B72" w:rsidRDefault="00AB3905" w:rsidP="00611733">
            <w:pPr>
              <w:numPr>
                <w:ilvl w:val="12"/>
                <w:numId w:val="0"/>
              </w:numPr>
              <w:spacing w:before="80"/>
              <w:jc w:val="center"/>
            </w:pPr>
            <w:r w:rsidRPr="006B1B72">
              <w:t>Same as Scheme Two.</w:t>
            </w:r>
          </w:p>
        </w:tc>
        <w:tc>
          <w:tcPr>
            <w:tcW w:w="3084" w:type="dxa"/>
            <w:shd w:val="clear" w:color="auto" w:fill="auto"/>
          </w:tcPr>
          <w:p w:rsidR="00677AF5" w:rsidRPr="006B1B72" w:rsidRDefault="00677AF5" w:rsidP="00611733">
            <w:pPr>
              <w:numPr>
                <w:ilvl w:val="12"/>
                <w:numId w:val="0"/>
              </w:numPr>
              <w:spacing w:before="80" w:after="60"/>
              <w:jc w:val="center"/>
            </w:pPr>
            <w:r w:rsidRPr="006B1B72">
              <w:t>Not applicable.</w:t>
            </w:r>
          </w:p>
        </w:tc>
      </w:tr>
      <w:tr w:rsidR="00677AF5" w:rsidRPr="006B1B72" w:rsidTr="00611733">
        <w:trPr>
          <w:cantSplit/>
          <w:trHeight w:val="567"/>
        </w:trPr>
        <w:tc>
          <w:tcPr>
            <w:tcW w:w="1701" w:type="dxa"/>
            <w:shd w:val="clear" w:color="auto" w:fill="auto"/>
          </w:tcPr>
          <w:p w:rsidR="00677AF5" w:rsidRPr="006B1B72" w:rsidRDefault="00677AF5" w:rsidP="00611733">
            <w:pPr>
              <w:numPr>
                <w:ilvl w:val="12"/>
                <w:numId w:val="0"/>
              </w:numPr>
              <w:spacing w:before="80"/>
              <w:jc w:val="left"/>
            </w:pPr>
            <w:r w:rsidRPr="006B1B72">
              <w:t>Funding and feasibility.</w:t>
            </w:r>
          </w:p>
        </w:tc>
        <w:tc>
          <w:tcPr>
            <w:tcW w:w="3083" w:type="dxa"/>
            <w:shd w:val="clear" w:color="auto" w:fill="auto"/>
          </w:tcPr>
          <w:p w:rsidR="003B6902" w:rsidRPr="006B1B72" w:rsidRDefault="003B6902" w:rsidP="00611733">
            <w:pPr>
              <w:pStyle w:val="Default"/>
              <w:spacing w:before="80"/>
              <w:jc w:val="center"/>
              <w:rPr>
                <w:sz w:val="20"/>
                <w:szCs w:val="20"/>
              </w:rPr>
            </w:pPr>
            <w:r w:rsidRPr="006B1B72">
              <w:rPr>
                <w:sz w:val="20"/>
                <w:szCs w:val="20"/>
              </w:rPr>
              <w:t>Very high capital cost and a low BCR of 0.01 would make funding difficult.</w:t>
            </w:r>
          </w:p>
          <w:p w:rsidR="00677AF5" w:rsidRPr="006B1B72" w:rsidRDefault="003B6902" w:rsidP="00611733">
            <w:pPr>
              <w:numPr>
                <w:ilvl w:val="12"/>
                <w:numId w:val="0"/>
              </w:numPr>
              <w:spacing w:before="80"/>
              <w:jc w:val="center"/>
              <w:rPr>
                <w:b/>
                <w:sz w:val="22"/>
              </w:rPr>
            </w:pPr>
            <w:r w:rsidRPr="006B1B72">
              <w:t>Capital cost of Scheme per property floor saved from flooding during a 1% AEP flood event is $3,347,000.</w:t>
            </w:r>
          </w:p>
        </w:tc>
        <w:tc>
          <w:tcPr>
            <w:tcW w:w="3083" w:type="dxa"/>
            <w:shd w:val="clear" w:color="auto" w:fill="auto"/>
          </w:tcPr>
          <w:p w:rsidR="003B6902" w:rsidRPr="006B1B72" w:rsidRDefault="003B6902" w:rsidP="00611733">
            <w:pPr>
              <w:pStyle w:val="Default"/>
              <w:spacing w:before="80"/>
              <w:jc w:val="center"/>
              <w:rPr>
                <w:sz w:val="20"/>
                <w:szCs w:val="20"/>
              </w:rPr>
            </w:pPr>
            <w:r w:rsidRPr="006B1B72">
              <w:rPr>
                <w:sz w:val="20"/>
                <w:szCs w:val="20"/>
              </w:rPr>
              <w:t>Very high capital cost and a low BCR of 0.01 would make funding difficult.</w:t>
            </w:r>
          </w:p>
          <w:p w:rsidR="00677AF5" w:rsidRPr="006B1B72" w:rsidRDefault="003B6902" w:rsidP="00611733">
            <w:pPr>
              <w:numPr>
                <w:ilvl w:val="12"/>
                <w:numId w:val="0"/>
              </w:numPr>
              <w:spacing w:before="80"/>
              <w:jc w:val="center"/>
              <w:rPr>
                <w:b/>
                <w:sz w:val="22"/>
              </w:rPr>
            </w:pPr>
            <w:r w:rsidRPr="006B1B72">
              <w:t>Capital cost of Scheme per property floor saved from flooding during a 1% AEP flood event is $4,220,000.</w:t>
            </w:r>
          </w:p>
        </w:tc>
        <w:tc>
          <w:tcPr>
            <w:tcW w:w="3083" w:type="dxa"/>
            <w:shd w:val="clear" w:color="auto" w:fill="auto"/>
          </w:tcPr>
          <w:p w:rsidR="003B6902" w:rsidRPr="006B1B72" w:rsidRDefault="003B6902" w:rsidP="00611733">
            <w:pPr>
              <w:pStyle w:val="Default"/>
              <w:spacing w:before="80"/>
              <w:jc w:val="center"/>
              <w:rPr>
                <w:sz w:val="20"/>
                <w:szCs w:val="20"/>
              </w:rPr>
            </w:pPr>
            <w:r w:rsidRPr="006B1B72">
              <w:rPr>
                <w:sz w:val="20"/>
                <w:szCs w:val="20"/>
              </w:rPr>
              <w:t>Very high capital cost and a low BCR of 0.01 would make funding difficult.</w:t>
            </w:r>
          </w:p>
          <w:p w:rsidR="00677AF5" w:rsidRPr="006B1B72" w:rsidRDefault="003B6902" w:rsidP="00611733">
            <w:pPr>
              <w:numPr>
                <w:ilvl w:val="12"/>
                <w:numId w:val="0"/>
              </w:numPr>
              <w:spacing w:before="80"/>
              <w:jc w:val="center"/>
              <w:rPr>
                <w:b/>
                <w:sz w:val="22"/>
              </w:rPr>
            </w:pPr>
            <w:r w:rsidRPr="006B1B72">
              <w:t>Capital cost of Scheme per property floor saved from flooding during a 1% AEP flood event is $4,</w:t>
            </w:r>
            <w:r w:rsidR="00E71675" w:rsidRPr="006B1B72">
              <w:t>542</w:t>
            </w:r>
            <w:r w:rsidRPr="006B1B72">
              <w:t>,000.</w:t>
            </w:r>
          </w:p>
        </w:tc>
        <w:tc>
          <w:tcPr>
            <w:tcW w:w="3084" w:type="dxa"/>
            <w:shd w:val="clear" w:color="auto" w:fill="auto"/>
          </w:tcPr>
          <w:p w:rsidR="00677AF5" w:rsidRPr="006B1B72" w:rsidRDefault="00677AF5" w:rsidP="00611733">
            <w:pPr>
              <w:numPr>
                <w:ilvl w:val="12"/>
                <w:numId w:val="0"/>
              </w:numPr>
              <w:spacing w:before="80" w:after="60"/>
              <w:jc w:val="center"/>
            </w:pPr>
            <w:r w:rsidRPr="006B1B72">
              <w:t>Not applicable.</w:t>
            </w:r>
          </w:p>
        </w:tc>
      </w:tr>
      <w:tr w:rsidR="00677AF5" w:rsidRPr="006B1B72" w:rsidTr="00611733">
        <w:trPr>
          <w:cantSplit/>
          <w:trHeight w:val="567"/>
        </w:trPr>
        <w:tc>
          <w:tcPr>
            <w:tcW w:w="1701" w:type="dxa"/>
            <w:shd w:val="clear" w:color="auto" w:fill="auto"/>
          </w:tcPr>
          <w:p w:rsidR="00677AF5" w:rsidRPr="006B1B72" w:rsidRDefault="00677AF5" w:rsidP="00611733">
            <w:pPr>
              <w:numPr>
                <w:ilvl w:val="12"/>
                <w:numId w:val="0"/>
              </w:numPr>
              <w:spacing w:before="80"/>
              <w:jc w:val="left"/>
            </w:pPr>
            <w:r w:rsidRPr="006B1B72">
              <w:lastRenderedPageBreak/>
              <w:t>Public acceptability.</w:t>
            </w:r>
          </w:p>
        </w:tc>
        <w:tc>
          <w:tcPr>
            <w:tcW w:w="3083" w:type="dxa"/>
            <w:shd w:val="clear" w:color="auto" w:fill="auto"/>
          </w:tcPr>
          <w:p w:rsidR="00677AF5" w:rsidRPr="006B1B72" w:rsidRDefault="007B70F8" w:rsidP="00611733">
            <w:pPr>
              <w:numPr>
                <w:ilvl w:val="12"/>
                <w:numId w:val="0"/>
              </w:numPr>
              <w:spacing w:before="80"/>
              <w:jc w:val="center"/>
            </w:pPr>
            <w:r w:rsidRPr="006B1B72">
              <w:t>There would be issues related to this scheme as works are proposed to be undertaken on existing road infrastructure disturbing transportation.</w:t>
            </w:r>
          </w:p>
        </w:tc>
        <w:tc>
          <w:tcPr>
            <w:tcW w:w="3083" w:type="dxa"/>
            <w:shd w:val="clear" w:color="auto" w:fill="auto"/>
          </w:tcPr>
          <w:p w:rsidR="00677AF5" w:rsidRPr="006B1B72" w:rsidRDefault="007B70F8" w:rsidP="00611733">
            <w:pPr>
              <w:numPr>
                <w:ilvl w:val="12"/>
                <w:numId w:val="0"/>
              </w:numPr>
              <w:spacing w:before="80"/>
              <w:jc w:val="center"/>
            </w:pPr>
            <w:r w:rsidRPr="006B1B72">
              <w:t>There would be issues related to this scheme as works are proposed to be undertaken on existing road infrastructure disturbing transportation.</w:t>
            </w:r>
          </w:p>
          <w:p w:rsidR="007B70F8" w:rsidRPr="006B1B72" w:rsidRDefault="005174BC" w:rsidP="00611733">
            <w:pPr>
              <w:numPr>
                <w:ilvl w:val="12"/>
                <w:numId w:val="0"/>
              </w:numPr>
              <w:spacing w:before="80"/>
              <w:jc w:val="center"/>
            </w:pPr>
            <w:r w:rsidRPr="006B1B72">
              <w:t>There may be issues related to loss of access to Highton Recreation Reserve during construction and the layout post construction.</w:t>
            </w:r>
          </w:p>
        </w:tc>
        <w:tc>
          <w:tcPr>
            <w:tcW w:w="3083" w:type="dxa"/>
            <w:shd w:val="clear" w:color="auto" w:fill="auto"/>
          </w:tcPr>
          <w:p w:rsidR="00677AF5" w:rsidRPr="006B1B72" w:rsidRDefault="007B70F8" w:rsidP="00611733">
            <w:pPr>
              <w:numPr>
                <w:ilvl w:val="12"/>
                <w:numId w:val="0"/>
              </w:numPr>
              <w:spacing w:before="80"/>
              <w:jc w:val="center"/>
              <w:rPr>
                <w:sz w:val="22"/>
              </w:rPr>
            </w:pPr>
            <w:r w:rsidRPr="006B1B72">
              <w:t>Same as Scheme Two.</w:t>
            </w:r>
          </w:p>
        </w:tc>
        <w:tc>
          <w:tcPr>
            <w:tcW w:w="3084" w:type="dxa"/>
            <w:shd w:val="clear" w:color="auto" w:fill="auto"/>
          </w:tcPr>
          <w:p w:rsidR="00677AF5" w:rsidRPr="006B1B72" w:rsidRDefault="00677AF5" w:rsidP="00611733">
            <w:pPr>
              <w:pStyle w:val="ListContinue2"/>
              <w:numPr>
                <w:ilvl w:val="12"/>
                <w:numId w:val="0"/>
              </w:numPr>
              <w:tabs>
                <w:tab w:val="clear" w:pos="-720"/>
              </w:tabs>
              <w:suppressAutoHyphens w:val="0"/>
              <w:spacing w:before="80" w:after="60"/>
              <w:jc w:val="center"/>
            </w:pPr>
            <w:r w:rsidRPr="006B1B72">
              <w:t>Issues relating to Council being seen to be doing nothing structurally about the problem.</w:t>
            </w:r>
          </w:p>
          <w:p w:rsidR="00677AF5" w:rsidRPr="006B1B72" w:rsidRDefault="00677AF5" w:rsidP="00611733">
            <w:pPr>
              <w:pStyle w:val="ListContinue2"/>
              <w:numPr>
                <w:ilvl w:val="12"/>
                <w:numId w:val="0"/>
              </w:numPr>
              <w:tabs>
                <w:tab w:val="clear" w:pos="-720"/>
              </w:tabs>
              <w:suppressAutoHyphens w:val="0"/>
              <w:spacing w:before="80" w:after="60"/>
              <w:jc w:val="center"/>
            </w:pPr>
          </w:p>
        </w:tc>
      </w:tr>
    </w:tbl>
    <w:bookmarkEnd w:id="421"/>
    <w:bookmarkEnd w:id="435"/>
    <w:p w:rsidR="00E62157" w:rsidRPr="006B1B72" w:rsidRDefault="00E62157" w:rsidP="00E86295">
      <w:pPr>
        <w:pStyle w:val="Text"/>
        <w:sectPr w:rsidR="00E62157" w:rsidRPr="006B1B72" w:rsidSect="00EA5B48">
          <w:headerReference w:type="default" r:id="rId38"/>
          <w:footerReference w:type="default" r:id="rId39"/>
          <w:pgSz w:w="16840" w:h="11907" w:orient="landscape"/>
          <w:pgMar w:top="1134" w:right="1418" w:bottom="1134" w:left="1418" w:header="851" w:footer="828" w:gutter="0"/>
          <w:pgNumType w:chapStyle="1"/>
          <w:cols w:space="720"/>
          <w:docGrid w:linePitch="272"/>
        </w:sectPr>
      </w:pPr>
      <w:r w:rsidRPr="006B1B72">
        <w:t>.</w:t>
      </w:r>
    </w:p>
    <w:p w:rsidR="001D61DC" w:rsidRPr="006B1B72" w:rsidRDefault="001D61DC" w:rsidP="00E62157">
      <w:pPr>
        <w:pStyle w:val="Heading1"/>
      </w:pPr>
      <w:bookmarkStart w:id="449" w:name="_Toc387308924"/>
      <w:r w:rsidRPr="006B1B72">
        <w:lastRenderedPageBreak/>
        <w:t>Preferred Mitigation Scheme</w:t>
      </w:r>
      <w:bookmarkEnd w:id="449"/>
    </w:p>
    <w:p w:rsidR="001D61DC" w:rsidRPr="006B1B72" w:rsidRDefault="001D61DC" w:rsidP="00B26EF8">
      <w:pPr>
        <w:pStyle w:val="Heading2"/>
      </w:pPr>
      <w:bookmarkStart w:id="450" w:name="_Toc236814077"/>
      <w:bookmarkStart w:id="451" w:name="_Toc280013955"/>
      <w:bookmarkStart w:id="452" w:name="_Toc295740279"/>
      <w:bookmarkStart w:id="453" w:name="_Toc387308925"/>
      <w:r w:rsidRPr="006B1B72">
        <w:t>Description of Preferred Scheme</w:t>
      </w:r>
      <w:bookmarkEnd w:id="450"/>
      <w:bookmarkEnd w:id="451"/>
      <w:bookmarkEnd w:id="452"/>
      <w:bookmarkEnd w:id="453"/>
    </w:p>
    <w:p w:rsidR="006E0A04" w:rsidRPr="006B1B72" w:rsidRDefault="006E0A04" w:rsidP="00656C55">
      <w:pPr>
        <w:pStyle w:val="Text"/>
      </w:pPr>
      <w:r w:rsidRPr="006B1B72">
        <w:t>Scheme Four “</w:t>
      </w:r>
      <w:r w:rsidR="00B91691" w:rsidRPr="006B1B72">
        <w:t>No Structural Works</w:t>
      </w:r>
      <w:r w:rsidRPr="006B1B72">
        <w:t>”</w:t>
      </w:r>
      <w:r w:rsidR="001D61DC" w:rsidRPr="006B1B72">
        <w:t xml:space="preserve"> is the preferred mitigation scheme for the </w:t>
      </w:r>
      <w:r w:rsidR="008679D0" w:rsidRPr="006B1B72">
        <w:t>study area</w:t>
      </w:r>
      <w:r w:rsidR="001D61DC" w:rsidRPr="006B1B72">
        <w:t xml:space="preserve">.  Through consultation with the CoGG, the preferred scheme was selected as </w:t>
      </w:r>
      <w:r w:rsidRPr="006B1B72">
        <w:t xml:space="preserve">the mitigation works adopted in Schemes One to Three have very low benefit cost ratios (BCRs).  As documented in previous sections, and summarised below in </w:t>
      </w:r>
      <w:r w:rsidRPr="006B1B72">
        <w:fldChar w:fldCharType="begin"/>
      </w:r>
      <w:r w:rsidRPr="006B1B72">
        <w:instrText xml:space="preserve"> REF _Ref233454470 \h  \* MERGEFORMAT </w:instrText>
      </w:r>
      <w:r w:rsidRPr="006B1B72">
        <w:fldChar w:fldCharType="separate"/>
      </w:r>
      <w:r w:rsidR="00AC6986" w:rsidRPr="006B1B72">
        <w:t xml:space="preserve">Table </w:t>
      </w:r>
      <w:r w:rsidR="00AC6986">
        <w:rPr>
          <w:noProof/>
        </w:rPr>
        <w:t>9</w:t>
      </w:r>
      <w:r w:rsidR="00AC6986" w:rsidRPr="006B1B72">
        <w:rPr>
          <w:noProof/>
        </w:rPr>
        <w:noBreakHyphen/>
      </w:r>
      <w:r w:rsidR="00AC6986">
        <w:rPr>
          <w:noProof/>
        </w:rPr>
        <w:t>1</w:t>
      </w:r>
      <w:r w:rsidRPr="006B1B72">
        <w:fldChar w:fldCharType="end"/>
      </w:r>
      <w:r w:rsidRPr="006B1B72">
        <w:t xml:space="preserve">, the very low BCRs </w:t>
      </w:r>
      <w:r w:rsidR="0037773C" w:rsidRPr="006B1B72">
        <w:t xml:space="preserve">reflect the </w:t>
      </w:r>
      <w:r w:rsidRPr="006B1B72">
        <w:t xml:space="preserve">high capital costs per floor level saved, to the order of </w:t>
      </w:r>
      <w:r w:rsidR="00656C55" w:rsidRPr="006B1B72">
        <w:t>$4M in capital cost.</w:t>
      </w:r>
    </w:p>
    <w:p w:rsidR="006E0A04" w:rsidRPr="006B1B72" w:rsidRDefault="006E0A04" w:rsidP="00656C55">
      <w:pPr>
        <w:pStyle w:val="Text"/>
        <w:rPr>
          <w:highlight w:val="yellow"/>
        </w:rPr>
      </w:pPr>
      <w:r w:rsidRPr="006B1B72">
        <w:t>Whilst each of the schemes delivers benefits in reducing the above floor flooding, the nature of the flooding within the catchment has meant that large numbers of properties are still inundated during the modelled flood events. The bulk of the calculated flood damages are a result of property inundation rather than above floor flooding, and consequently despite reductions in the above floor flooding, commensurate reductions in the calculated AAD have not been realised.</w:t>
      </w:r>
    </w:p>
    <w:p w:rsidR="001D61DC" w:rsidRPr="006B1B72" w:rsidRDefault="001D61DC" w:rsidP="001D61DC">
      <w:pPr>
        <w:pStyle w:val="Caption"/>
      </w:pPr>
      <w:bookmarkStart w:id="454" w:name="_Ref233454470"/>
      <w:bookmarkStart w:id="455" w:name="_Toc236553399"/>
      <w:bookmarkStart w:id="456" w:name="_Toc280014026"/>
      <w:bookmarkStart w:id="457" w:name="_Toc295475247"/>
      <w:bookmarkStart w:id="458" w:name="_Toc295914246"/>
      <w:bookmarkStart w:id="459" w:name="_Toc387309004"/>
      <w:r w:rsidRPr="006B1B72">
        <w:t xml:space="preserve">Table </w:t>
      </w:r>
      <w:r w:rsidR="00FF3C04" w:rsidRPr="006B1B72">
        <w:fldChar w:fldCharType="begin"/>
      </w:r>
      <w:r w:rsidR="00FF3C04" w:rsidRPr="006B1B72">
        <w:instrText xml:space="preserve"> STYLEREF 1 \s </w:instrText>
      </w:r>
      <w:r w:rsidR="00FF3C04" w:rsidRPr="006B1B72">
        <w:fldChar w:fldCharType="separate"/>
      </w:r>
      <w:r w:rsidR="00AC6986">
        <w:rPr>
          <w:noProof/>
        </w:rPr>
        <w:t>9</w:t>
      </w:r>
      <w:r w:rsidR="00FF3C04" w:rsidRPr="006B1B72">
        <w:fldChar w:fldCharType="end"/>
      </w:r>
      <w:r w:rsidR="00FF3C04" w:rsidRPr="006B1B72">
        <w:noBreakHyphen/>
      </w:r>
      <w:r w:rsidR="00FF3C04" w:rsidRPr="006B1B72">
        <w:fldChar w:fldCharType="begin"/>
      </w:r>
      <w:r w:rsidR="00FF3C04" w:rsidRPr="006B1B72">
        <w:instrText xml:space="preserve"> SEQ Table \* ARABIC \s 1 </w:instrText>
      </w:r>
      <w:r w:rsidR="00FF3C04" w:rsidRPr="006B1B72">
        <w:fldChar w:fldCharType="separate"/>
      </w:r>
      <w:r w:rsidR="00AC6986">
        <w:rPr>
          <w:noProof/>
        </w:rPr>
        <w:t>1</w:t>
      </w:r>
      <w:r w:rsidR="00FF3C04" w:rsidRPr="006B1B72">
        <w:fldChar w:fldCharType="end"/>
      </w:r>
      <w:bookmarkEnd w:id="454"/>
      <w:r w:rsidRPr="006B1B72">
        <w:tab/>
        <w:t>Comparison of Scheme One and Scheme Two</w:t>
      </w:r>
      <w:bookmarkEnd w:id="455"/>
      <w:bookmarkEnd w:id="456"/>
      <w:bookmarkEnd w:id="457"/>
      <w:bookmarkEnd w:id="458"/>
      <w:bookmarkEnd w:id="459"/>
    </w:p>
    <w:tbl>
      <w:tblPr>
        <w:tblW w:w="8788" w:type="dxa"/>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417"/>
        <w:gridCol w:w="1134"/>
        <w:gridCol w:w="1418"/>
        <w:gridCol w:w="850"/>
        <w:gridCol w:w="1985"/>
        <w:gridCol w:w="1984"/>
      </w:tblGrid>
      <w:tr w:rsidR="003B6902" w:rsidRPr="006B1B72" w:rsidTr="006E0A04">
        <w:trPr>
          <w:trHeight w:val="247"/>
        </w:trPr>
        <w:tc>
          <w:tcPr>
            <w:tcW w:w="1417" w:type="dxa"/>
            <w:shd w:val="pct10" w:color="auto" w:fill="auto"/>
            <w:vAlign w:val="center"/>
          </w:tcPr>
          <w:p w:rsidR="003B6902" w:rsidRPr="006B1B72" w:rsidRDefault="003B6902" w:rsidP="006E0A04">
            <w:pPr>
              <w:overflowPunct/>
              <w:spacing w:before="60" w:after="60"/>
              <w:jc w:val="left"/>
              <w:textAlignment w:val="auto"/>
              <w:rPr>
                <w:rFonts w:cs="Arial"/>
                <w:b/>
                <w:bCs/>
                <w:color w:val="000000"/>
                <w:spacing w:val="0"/>
              </w:rPr>
            </w:pPr>
            <w:r w:rsidRPr="006B1B72">
              <w:rPr>
                <w:rFonts w:cs="Arial"/>
                <w:b/>
                <w:bCs/>
                <w:color w:val="000000"/>
                <w:spacing w:val="0"/>
              </w:rPr>
              <w:t>Scheme</w:t>
            </w:r>
          </w:p>
        </w:tc>
        <w:tc>
          <w:tcPr>
            <w:tcW w:w="1134" w:type="dxa"/>
            <w:shd w:val="pct10" w:color="auto" w:fill="auto"/>
            <w:vAlign w:val="center"/>
          </w:tcPr>
          <w:p w:rsidR="003B6902" w:rsidRPr="006B1B72" w:rsidRDefault="003B6902" w:rsidP="006E0A04">
            <w:pPr>
              <w:overflowPunct/>
              <w:spacing w:before="60" w:after="60"/>
              <w:jc w:val="center"/>
              <w:textAlignment w:val="auto"/>
              <w:rPr>
                <w:rFonts w:cs="Arial"/>
                <w:b/>
                <w:bCs/>
                <w:color w:val="000000"/>
                <w:spacing w:val="0"/>
              </w:rPr>
            </w:pPr>
            <w:r w:rsidRPr="006B1B72">
              <w:rPr>
                <w:rFonts w:cs="Arial"/>
                <w:b/>
                <w:bCs/>
                <w:color w:val="000000"/>
                <w:spacing w:val="0"/>
              </w:rPr>
              <w:t>AAD</w:t>
            </w:r>
          </w:p>
        </w:tc>
        <w:tc>
          <w:tcPr>
            <w:tcW w:w="1418" w:type="dxa"/>
            <w:shd w:val="pct10" w:color="auto" w:fill="auto"/>
            <w:vAlign w:val="center"/>
          </w:tcPr>
          <w:p w:rsidR="003B6902" w:rsidRPr="006B1B72" w:rsidRDefault="003B6902" w:rsidP="006E0A04">
            <w:pPr>
              <w:overflowPunct/>
              <w:spacing w:before="60" w:after="60"/>
              <w:jc w:val="center"/>
              <w:textAlignment w:val="auto"/>
              <w:rPr>
                <w:rFonts w:cs="Arial"/>
                <w:b/>
                <w:bCs/>
                <w:color w:val="000000"/>
                <w:spacing w:val="0"/>
              </w:rPr>
            </w:pPr>
            <w:r w:rsidRPr="006B1B72">
              <w:rPr>
                <w:rFonts w:cs="Arial"/>
                <w:b/>
                <w:bCs/>
                <w:color w:val="000000"/>
                <w:spacing w:val="0"/>
              </w:rPr>
              <w:t>Capital Cost</w:t>
            </w:r>
          </w:p>
        </w:tc>
        <w:tc>
          <w:tcPr>
            <w:tcW w:w="850" w:type="dxa"/>
            <w:shd w:val="pct10" w:color="auto" w:fill="auto"/>
            <w:vAlign w:val="center"/>
          </w:tcPr>
          <w:p w:rsidR="003B6902" w:rsidRPr="006B1B72" w:rsidRDefault="003B6902" w:rsidP="006E0A04">
            <w:pPr>
              <w:overflowPunct/>
              <w:spacing w:before="60" w:after="60"/>
              <w:jc w:val="center"/>
              <w:textAlignment w:val="auto"/>
              <w:rPr>
                <w:rFonts w:cs="Arial"/>
                <w:b/>
                <w:bCs/>
                <w:color w:val="000000"/>
                <w:spacing w:val="0"/>
              </w:rPr>
            </w:pPr>
            <w:r w:rsidRPr="006B1B72">
              <w:rPr>
                <w:rFonts w:cs="Arial"/>
                <w:b/>
                <w:bCs/>
                <w:color w:val="000000"/>
                <w:spacing w:val="0"/>
              </w:rPr>
              <w:t>BCR</w:t>
            </w:r>
          </w:p>
        </w:tc>
        <w:tc>
          <w:tcPr>
            <w:tcW w:w="1985" w:type="dxa"/>
            <w:shd w:val="pct10" w:color="auto" w:fill="auto"/>
            <w:vAlign w:val="center"/>
          </w:tcPr>
          <w:p w:rsidR="003B6902" w:rsidRPr="006B1B72" w:rsidRDefault="003B6902" w:rsidP="006E0A04">
            <w:pPr>
              <w:overflowPunct/>
              <w:spacing w:before="60" w:after="60"/>
              <w:jc w:val="center"/>
              <w:textAlignment w:val="auto"/>
              <w:rPr>
                <w:rFonts w:cs="Arial"/>
                <w:b/>
                <w:bCs/>
                <w:color w:val="000000"/>
                <w:spacing w:val="0"/>
              </w:rPr>
            </w:pPr>
            <w:r w:rsidRPr="006B1B72">
              <w:rPr>
                <w:rFonts w:cs="Arial"/>
                <w:b/>
                <w:bCs/>
                <w:color w:val="000000"/>
                <w:spacing w:val="0"/>
              </w:rPr>
              <w:t>Flooded Floors Saved in 1% AEP Flood Event*</w:t>
            </w:r>
          </w:p>
        </w:tc>
        <w:tc>
          <w:tcPr>
            <w:tcW w:w="1984" w:type="dxa"/>
            <w:shd w:val="pct10" w:color="auto" w:fill="auto"/>
            <w:vAlign w:val="center"/>
          </w:tcPr>
          <w:p w:rsidR="003B6902" w:rsidRPr="006B1B72" w:rsidRDefault="003B6902" w:rsidP="006E0A04">
            <w:pPr>
              <w:overflowPunct/>
              <w:spacing w:before="60" w:after="60"/>
              <w:jc w:val="center"/>
              <w:textAlignment w:val="auto"/>
              <w:rPr>
                <w:rFonts w:cs="Arial"/>
                <w:b/>
                <w:bCs/>
                <w:color w:val="000000"/>
                <w:spacing w:val="0"/>
              </w:rPr>
            </w:pPr>
            <w:r w:rsidRPr="006B1B72">
              <w:rPr>
                <w:rFonts w:cs="Arial"/>
                <w:b/>
                <w:bCs/>
                <w:color w:val="000000"/>
                <w:spacing w:val="0"/>
              </w:rPr>
              <w:t>Capital Cost per floor saved (1% AEP Flood Event)</w:t>
            </w:r>
          </w:p>
        </w:tc>
      </w:tr>
      <w:tr w:rsidR="003B6902" w:rsidRPr="006B1B72" w:rsidTr="006E0A04">
        <w:trPr>
          <w:trHeight w:val="305"/>
        </w:trPr>
        <w:tc>
          <w:tcPr>
            <w:tcW w:w="1417" w:type="dxa"/>
            <w:shd w:val="clear" w:color="auto" w:fill="auto"/>
            <w:vAlign w:val="center"/>
          </w:tcPr>
          <w:p w:rsidR="003B6902" w:rsidRPr="006B1B72" w:rsidRDefault="003B6902" w:rsidP="006E0A04">
            <w:pPr>
              <w:overflowPunct/>
              <w:spacing w:before="60" w:after="60"/>
              <w:ind w:right="150" w:firstLine="150"/>
              <w:jc w:val="left"/>
              <w:textAlignment w:val="auto"/>
              <w:rPr>
                <w:rFonts w:cs="Arial"/>
                <w:color w:val="000000"/>
                <w:spacing w:val="0"/>
              </w:rPr>
            </w:pPr>
            <w:r w:rsidRPr="006B1B72">
              <w:rPr>
                <w:rFonts w:cs="Arial"/>
                <w:color w:val="000000"/>
                <w:spacing w:val="0"/>
              </w:rPr>
              <w:t>One</w:t>
            </w:r>
          </w:p>
        </w:tc>
        <w:tc>
          <w:tcPr>
            <w:tcW w:w="1134" w:type="dxa"/>
            <w:vAlign w:val="center"/>
          </w:tcPr>
          <w:p w:rsidR="003B6902" w:rsidRPr="006B1B72" w:rsidRDefault="006E0A04" w:rsidP="006E0A04">
            <w:pPr>
              <w:overflowPunct/>
              <w:spacing w:before="60" w:after="60"/>
              <w:jc w:val="center"/>
              <w:textAlignment w:val="auto"/>
              <w:rPr>
                <w:rFonts w:cs="Arial"/>
                <w:color w:val="000000"/>
                <w:spacing w:val="0"/>
              </w:rPr>
            </w:pPr>
            <w:r w:rsidRPr="006B1B72">
              <w:rPr>
                <w:rFonts w:cs="Arial"/>
                <w:color w:val="000000"/>
                <w:spacing w:val="0"/>
              </w:rPr>
              <w:t>$381,000</w:t>
            </w:r>
          </w:p>
        </w:tc>
        <w:tc>
          <w:tcPr>
            <w:tcW w:w="1418" w:type="dxa"/>
            <w:shd w:val="clear" w:color="auto" w:fill="auto"/>
            <w:vAlign w:val="center"/>
          </w:tcPr>
          <w:p w:rsidR="003B6902" w:rsidRPr="006B1B72" w:rsidRDefault="006E0A04" w:rsidP="006E0A04">
            <w:pPr>
              <w:overflowPunct/>
              <w:spacing w:before="60" w:after="60"/>
              <w:jc w:val="center"/>
              <w:textAlignment w:val="auto"/>
              <w:rPr>
                <w:rFonts w:cs="Arial"/>
                <w:color w:val="000000"/>
                <w:spacing w:val="0"/>
              </w:rPr>
            </w:pPr>
            <w:r w:rsidRPr="006B1B72">
              <w:rPr>
                <w:rFonts w:cs="Arial"/>
                <w:color w:val="000000"/>
                <w:spacing w:val="0"/>
              </w:rPr>
              <w:t>$6,694</w:t>
            </w:r>
            <w:r w:rsidR="003B6902" w:rsidRPr="006B1B72">
              <w:rPr>
                <w:rFonts w:cs="Arial"/>
                <w:color w:val="000000"/>
                <w:spacing w:val="0"/>
              </w:rPr>
              <w:t>,00</w:t>
            </w:r>
          </w:p>
        </w:tc>
        <w:tc>
          <w:tcPr>
            <w:tcW w:w="850" w:type="dxa"/>
            <w:shd w:val="clear" w:color="auto" w:fill="auto"/>
            <w:vAlign w:val="center"/>
          </w:tcPr>
          <w:p w:rsidR="003B6902" w:rsidRPr="006B1B72" w:rsidRDefault="006E0A04" w:rsidP="006E0A04">
            <w:pPr>
              <w:overflowPunct/>
              <w:spacing w:before="60" w:after="60"/>
              <w:jc w:val="center"/>
              <w:textAlignment w:val="auto"/>
              <w:rPr>
                <w:rFonts w:cs="Arial"/>
                <w:color w:val="000000"/>
                <w:spacing w:val="0"/>
              </w:rPr>
            </w:pPr>
            <w:r w:rsidRPr="006B1B72">
              <w:rPr>
                <w:rFonts w:cs="Arial"/>
                <w:color w:val="000000"/>
                <w:spacing w:val="0"/>
              </w:rPr>
              <w:t>0.01</w:t>
            </w:r>
          </w:p>
        </w:tc>
        <w:tc>
          <w:tcPr>
            <w:tcW w:w="1985" w:type="dxa"/>
            <w:shd w:val="clear" w:color="auto" w:fill="auto"/>
            <w:vAlign w:val="center"/>
          </w:tcPr>
          <w:p w:rsidR="003B6902" w:rsidRPr="006B1B72" w:rsidRDefault="006E0A04" w:rsidP="006E0A04">
            <w:pPr>
              <w:overflowPunct/>
              <w:spacing w:before="60" w:after="60"/>
              <w:jc w:val="center"/>
              <w:textAlignment w:val="auto"/>
              <w:rPr>
                <w:rFonts w:cs="Arial"/>
                <w:color w:val="000000"/>
                <w:spacing w:val="0"/>
              </w:rPr>
            </w:pPr>
            <w:r w:rsidRPr="006B1B72">
              <w:rPr>
                <w:rFonts w:cs="Arial"/>
                <w:color w:val="000000"/>
                <w:spacing w:val="0"/>
              </w:rPr>
              <w:t>2</w:t>
            </w:r>
          </w:p>
        </w:tc>
        <w:tc>
          <w:tcPr>
            <w:tcW w:w="1984" w:type="dxa"/>
            <w:shd w:val="clear" w:color="auto" w:fill="auto"/>
            <w:vAlign w:val="center"/>
          </w:tcPr>
          <w:p w:rsidR="003B6902" w:rsidRPr="006B1B72" w:rsidRDefault="006E0A04" w:rsidP="006E0A04">
            <w:pPr>
              <w:overflowPunct/>
              <w:spacing w:before="60" w:after="60"/>
              <w:jc w:val="center"/>
              <w:textAlignment w:val="auto"/>
              <w:rPr>
                <w:rFonts w:cs="Arial"/>
                <w:color w:val="000000"/>
                <w:spacing w:val="0"/>
              </w:rPr>
            </w:pPr>
            <w:r w:rsidRPr="006B1B72">
              <w:rPr>
                <w:rFonts w:cs="Arial"/>
                <w:color w:val="000000"/>
                <w:spacing w:val="0"/>
              </w:rPr>
              <w:t>$3,347</w:t>
            </w:r>
            <w:r w:rsidR="003B6902" w:rsidRPr="006B1B72">
              <w:rPr>
                <w:rFonts w:cs="Arial"/>
                <w:color w:val="000000"/>
                <w:spacing w:val="0"/>
              </w:rPr>
              <w:t>,000</w:t>
            </w:r>
          </w:p>
        </w:tc>
      </w:tr>
      <w:tr w:rsidR="003B6902" w:rsidRPr="006B1B72" w:rsidTr="006E0A04">
        <w:trPr>
          <w:trHeight w:val="247"/>
        </w:trPr>
        <w:tc>
          <w:tcPr>
            <w:tcW w:w="1417" w:type="dxa"/>
            <w:shd w:val="clear" w:color="auto" w:fill="auto"/>
            <w:vAlign w:val="center"/>
          </w:tcPr>
          <w:p w:rsidR="003B6902" w:rsidRPr="006B1B72" w:rsidRDefault="003B6902" w:rsidP="006E0A04">
            <w:pPr>
              <w:overflowPunct/>
              <w:spacing w:before="60" w:after="60"/>
              <w:ind w:right="150" w:firstLine="150"/>
              <w:jc w:val="left"/>
              <w:textAlignment w:val="auto"/>
              <w:rPr>
                <w:rFonts w:cs="Arial"/>
                <w:color w:val="000000"/>
                <w:spacing w:val="0"/>
              </w:rPr>
            </w:pPr>
            <w:r w:rsidRPr="006B1B72">
              <w:rPr>
                <w:rFonts w:cs="Arial"/>
                <w:color w:val="000000"/>
                <w:spacing w:val="0"/>
              </w:rPr>
              <w:t>Two</w:t>
            </w:r>
          </w:p>
        </w:tc>
        <w:tc>
          <w:tcPr>
            <w:tcW w:w="1134" w:type="dxa"/>
            <w:vAlign w:val="center"/>
          </w:tcPr>
          <w:p w:rsidR="003B6902" w:rsidRPr="006B1B72" w:rsidRDefault="006E0A04" w:rsidP="006E0A04">
            <w:pPr>
              <w:overflowPunct/>
              <w:spacing w:before="60" w:after="60"/>
              <w:jc w:val="center"/>
              <w:textAlignment w:val="auto"/>
              <w:rPr>
                <w:rFonts w:cs="Arial"/>
                <w:color w:val="000000"/>
                <w:spacing w:val="0"/>
              </w:rPr>
            </w:pPr>
            <w:r w:rsidRPr="006B1B72">
              <w:rPr>
                <w:rFonts w:cs="Arial"/>
                <w:color w:val="000000"/>
                <w:spacing w:val="0"/>
              </w:rPr>
              <w:t>$362,000</w:t>
            </w:r>
          </w:p>
        </w:tc>
        <w:tc>
          <w:tcPr>
            <w:tcW w:w="1418" w:type="dxa"/>
            <w:shd w:val="clear" w:color="auto" w:fill="auto"/>
            <w:vAlign w:val="center"/>
          </w:tcPr>
          <w:p w:rsidR="003B6902" w:rsidRPr="006B1B72" w:rsidRDefault="006E0A04" w:rsidP="006E0A04">
            <w:pPr>
              <w:overflowPunct/>
              <w:spacing w:before="60" w:after="60"/>
              <w:jc w:val="center"/>
              <w:textAlignment w:val="auto"/>
              <w:rPr>
                <w:rFonts w:cs="Arial"/>
                <w:color w:val="000000"/>
                <w:spacing w:val="0"/>
              </w:rPr>
            </w:pPr>
            <w:r w:rsidRPr="006B1B72">
              <w:rPr>
                <w:rFonts w:cs="Arial"/>
                <w:color w:val="000000"/>
                <w:spacing w:val="0"/>
              </w:rPr>
              <w:t>$21,102</w:t>
            </w:r>
            <w:r w:rsidR="003B6902" w:rsidRPr="006B1B72">
              <w:rPr>
                <w:rFonts w:cs="Arial"/>
                <w:color w:val="000000"/>
                <w:spacing w:val="0"/>
              </w:rPr>
              <w:t>,000</w:t>
            </w:r>
          </w:p>
        </w:tc>
        <w:tc>
          <w:tcPr>
            <w:tcW w:w="850" w:type="dxa"/>
            <w:shd w:val="clear" w:color="auto" w:fill="auto"/>
            <w:vAlign w:val="center"/>
          </w:tcPr>
          <w:p w:rsidR="003B6902" w:rsidRPr="006B1B72" w:rsidRDefault="003B6902" w:rsidP="006E0A04">
            <w:pPr>
              <w:overflowPunct/>
              <w:spacing w:before="60" w:after="60"/>
              <w:jc w:val="center"/>
              <w:textAlignment w:val="auto"/>
              <w:rPr>
                <w:rFonts w:cs="Arial"/>
                <w:color w:val="000000"/>
                <w:spacing w:val="0"/>
              </w:rPr>
            </w:pPr>
            <w:r w:rsidRPr="006B1B72">
              <w:rPr>
                <w:rFonts w:cs="Arial"/>
                <w:color w:val="000000"/>
                <w:spacing w:val="0"/>
              </w:rPr>
              <w:t>0.01</w:t>
            </w:r>
          </w:p>
        </w:tc>
        <w:tc>
          <w:tcPr>
            <w:tcW w:w="1985" w:type="dxa"/>
            <w:shd w:val="clear" w:color="auto" w:fill="auto"/>
            <w:vAlign w:val="center"/>
          </w:tcPr>
          <w:p w:rsidR="003B6902" w:rsidRPr="006B1B72" w:rsidRDefault="006E0A04" w:rsidP="006E0A04">
            <w:pPr>
              <w:overflowPunct/>
              <w:spacing w:before="60" w:after="60"/>
              <w:jc w:val="center"/>
              <w:textAlignment w:val="auto"/>
              <w:rPr>
                <w:rFonts w:cs="Arial"/>
                <w:color w:val="000000"/>
                <w:spacing w:val="0"/>
              </w:rPr>
            </w:pPr>
            <w:r w:rsidRPr="006B1B72">
              <w:rPr>
                <w:rFonts w:cs="Arial"/>
                <w:color w:val="000000"/>
                <w:spacing w:val="0"/>
              </w:rPr>
              <w:t>5</w:t>
            </w:r>
          </w:p>
        </w:tc>
        <w:tc>
          <w:tcPr>
            <w:tcW w:w="1984" w:type="dxa"/>
            <w:shd w:val="clear" w:color="auto" w:fill="auto"/>
            <w:vAlign w:val="center"/>
          </w:tcPr>
          <w:p w:rsidR="003B6902" w:rsidRPr="006B1B72" w:rsidRDefault="006E0A04" w:rsidP="006E0A04">
            <w:pPr>
              <w:overflowPunct/>
              <w:spacing w:before="60" w:after="60"/>
              <w:jc w:val="center"/>
              <w:textAlignment w:val="auto"/>
              <w:rPr>
                <w:rFonts w:cs="Arial"/>
                <w:color w:val="000000"/>
                <w:spacing w:val="0"/>
              </w:rPr>
            </w:pPr>
            <w:r w:rsidRPr="006B1B72">
              <w:rPr>
                <w:rFonts w:cs="Arial"/>
                <w:color w:val="000000"/>
                <w:spacing w:val="0"/>
              </w:rPr>
              <w:t>$4,220</w:t>
            </w:r>
            <w:r w:rsidR="003B6902" w:rsidRPr="006B1B72">
              <w:rPr>
                <w:rFonts w:cs="Arial"/>
                <w:color w:val="000000"/>
                <w:spacing w:val="0"/>
              </w:rPr>
              <w:t>,000</w:t>
            </w:r>
          </w:p>
        </w:tc>
      </w:tr>
      <w:tr w:rsidR="003B6902" w:rsidRPr="006B1B72" w:rsidTr="006E0A04">
        <w:trPr>
          <w:trHeight w:val="247"/>
        </w:trPr>
        <w:tc>
          <w:tcPr>
            <w:tcW w:w="1417" w:type="dxa"/>
            <w:shd w:val="clear" w:color="auto" w:fill="auto"/>
            <w:vAlign w:val="center"/>
          </w:tcPr>
          <w:p w:rsidR="003B6902" w:rsidRPr="006B1B72" w:rsidRDefault="003B6902" w:rsidP="006E0A04">
            <w:pPr>
              <w:overflowPunct/>
              <w:spacing w:before="60" w:after="60"/>
              <w:ind w:right="150" w:firstLine="150"/>
              <w:jc w:val="left"/>
              <w:textAlignment w:val="auto"/>
              <w:rPr>
                <w:rFonts w:cs="Arial"/>
                <w:color w:val="000000"/>
                <w:spacing w:val="0"/>
              </w:rPr>
            </w:pPr>
            <w:r w:rsidRPr="006B1B72">
              <w:rPr>
                <w:rFonts w:cs="Arial"/>
                <w:color w:val="000000"/>
                <w:spacing w:val="0"/>
              </w:rPr>
              <w:t>Three</w:t>
            </w:r>
          </w:p>
        </w:tc>
        <w:tc>
          <w:tcPr>
            <w:tcW w:w="1134" w:type="dxa"/>
            <w:vAlign w:val="center"/>
          </w:tcPr>
          <w:p w:rsidR="003B6902" w:rsidRPr="006B1B72" w:rsidRDefault="006E0A04" w:rsidP="006E0A04">
            <w:pPr>
              <w:overflowPunct/>
              <w:spacing w:before="60" w:after="60"/>
              <w:jc w:val="center"/>
              <w:textAlignment w:val="auto"/>
              <w:rPr>
                <w:rFonts w:cs="Arial"/>
                <w:color w:val="000000"/>
                <w:spacing w:val="0"/>
              </w:rPr>
            </w:pPr>
            <w:r w:rsidRPr="006B1B72">
              <w:rPr>
                <w:rFonts w:cs="Arial"/>
                <w:color w:val="000000"/>
                <w:spacing w:val="0"/>
              </w:rPr>
              <w:t>$363,000</w:t>
            </w:r>
          </w:p>
        </w:tc>
        <w:tc>
          <w:tcPr>
            <w:tcW w:w="1418" w:type="dxa"/>
            <w:shd w:val="clear" w:color="auto" w:fill="auto"/>
            <w:vAlign w:val="center"/>
          </w:tcPr>
          <w:p w:rsidR="003B6902" w:rsidRPr="006B1B72" w:rsidRDefault="006E0A04" w:rsidP="006E0A04">
            <w:pPr>
              <w:overflowPunct/>
              <w:spacing w:before="60" w:after="60"/>
              <w:jc w:val="center"/>
              <w:textAlignment w:val="auto"/>
              <w:rPr>
                <w:rFonts w:cs="Arial"/>
                <w:color w:val="000000"/>
                <w:spacing w:val="0"/>
              </w:rPr>
            </w:pPr>
            <w:r w:rsidRPr="006B1B72">
              <w:rPr>
                <w:rFonts w:cs="Arial"/>
                <w:color w:val="000000"/>
                <w:spacing w:val="0"/>
              </w:rPr>
              <w:t>$27,252,000</w:t>
            </w:r>
          </w:p>
        </w:tc>
        <w:tc>
          <w:tcPr>
            <w:tcW w:w="850" w:type="dxa"/>
            <w:shd w:val="clear" w:color="auto" w:fill="auto"/>
            <w:vAlign w:val="center"/>
          </w:tcPr>
          <w:p w:rsidR="003B6902" w:rsidRPr="006B1B72" w:rsidRDefault="006E0A04" w:rsidP="006E0A04">
            <w:pPr>
              <w:overflowPunct/>
              <w:spacing w:before="60" w:after="60"/>
              <w:jc w:val="center"/>
              <w:textAlignment w:val="auto"/>
              <w:rPr>
                <w:rFonts w:cs="Arial"/>
                <w:color w:val="000000"/>
                <w:spacing w:val="0"/>
              </w:rPr>
            </w:pPr>
            <w:r w:rsidRPr="006B1B72">
              <w:rPr>
                <w:rFonts w:cs="Arial"/>
                <w:color w:val="000000"/>
                <w:spacing w:val="0"/>
              </w:rPr>
              <w:t>0.01</w:t>
            </w:r>
          </w:p>
        </w:tc>
        <w:tc>
          <w:tcPr>
            <w:tcW w:w="1985" w:type="dxa"/>
            <w:shd w:val="clear" w:color="auto" w:fill="auto"/>
            <w:vAlign w:val="center"/>
          </w:tcPr>
          <w:p w:rsidR="003B6902" w:rsidRPr="006B1B72" w:rsidRDefault="006E0A04" w:rsidP="006E0A04">
            <w:pPr>
              <w:overflowPunct/>
              <w:spacing w:before="60" w:after="60"/>
              <w:jc w:val="center"/>
              <w:textAlignment w:val="auto"/>
              <w:rPr>
                <w:rFonts w:cs="Arial"/>
                <w:color w:val="000000"/>
                <w:spacing w:val="0"/>
              </w:rPr>
            </w:pPr>
            <w:r w:rsidRPr="006B1B72">
              <w:rPr>
                <w:rFonts w:cs="Arial"/>
                <w:color w:val="000000"/>
                <w:spacing w:val="0"/>
              </w:rPr>
              <w:t>6</w:t>
            </w:r>
          </w:p>
        </w:tc>
        <w:tc>
          <w:tcPr>
            <w:tcW w:w="1984" w:type="dxa"/>
            <w:shd w:val="clear" w:color="auto" w:fill="auto"/>
            <w:vAlign w:val="center"/>
          </w:tcPr>
          <w:p w:rsidR="003B6902" w:rsidRPr="006B1B72" w:rsidRDefault="006E0A04" w:rsidP="00E71675">
            <w:pPr>
              <w:overflowPunct/>
              <w:spacing w:before="60" w:after="60"/>
              <w:jc w:val="center"/>
              <w:textAlignment w:val="auto"/>
              <w:rPr>
                <w:rFonts w:cs="Arial"/>
                <w:color w:val="000000"/>
                <w:spacing w:val="0"/>
              </w:rPr>
            </w:pPr>
            <w:r w:rsidRPr="006B1B72">
              <w:rPr>
                <w:rFonts w:cs="Arial"/>
                <w:color w:val="000000"/>
                <w:spacing w:val="0"/>
              </w:rPr>
              <w:t>$4,</w:t>
            </w:r>
            <w:r w:rsidR="00E71675" w:rsidRPr="006B1B72">
              <w:rPr>
                <w:rFonts w:cs="Arial"/>
                <w:color w:val="000000"/>
                <w:spacing w:val="0"/>
              </w:rPr>
              <w:t>542</w:t>
            </w:r>
            <w:r w:rsidRPr="006B1B72">
              <w:rPr>
                <w:rFonts w:cs="Arial"/>
                <w:color w:val="000000"/>
                <w:spacing w:val="0"/>
              </w:rPr>
              <w:t>,000</w:t>
            </w:r>
          </w:p>
        </w:tc>
      </w:tr>
      <w:tr w:rsidR="003B6902" w:rsidRPr="006B1B72" w:rsidTr="006E0A04">
        <w:trPr>
          <w:trHeight w:val="247"/>
        </w:trPr>
        <w:tc>
          <w:tcPr>
            <w:tcW w:w="1417" w:type="dxa"/>
            <w:shd w:val="clear" w:color="auto" w:fill="auto"/>
            <w:vAlign w:val="center"/>
          </w:tcPr>
          <w:p w:rsidR="003B6902" w:rsidRPr="006B1B72" w:rsidRDefault="003B6902" w:rsidP="006E0A04">
            <w:pPr>
              <w:overflowPunct/>
              <w:spacing w:before="60" w:after="60"/>
              <w:ind w:right="150" w:firstLine="150"/>
              <w:jc w:val="left"/>
              <w:textAlignment w:val="auto"/>
              <w:rPr>
                <w:rFonts w:cs="Arial"/>
                <w:color w:val="000000"/>
                <w:spacing w:val="0"/>
              </w:rPr>
            </w:pPr>
            <w:r w:rsidRPr="006B1B72">
              <w:rPr>
                <w:rFonts w:cs="Arial"/>
                <w:color w:val="000000"/>
                <w:spacing w:val="0"/>
              </w:rPr>
              <w:t xml:space="preserve">Four </w:t>
            </w:r>
          </w:p>
        </w:tc>
        <w:tc>
          <w:tcPr>
            <w:tcW w:w="1134" w:type="dxa"/>
            <w:vAlign w:val="center"/>
          </w:tcPr>
          <w:p w:rsidR="003B6902" w:rsidRPr="006B1B72" w:rsidRDefault="003B6902" w:rsidP="006E0A04">
            <w:pPr>
              <w:overflowPunct/>
              <w:spacing w:before="60" w:after="60"/>
              <w:jc w:val="center"/>
              <w:textAlignment w:val="auto"/>
              <w:rPr>
                <w:rFonts w:cs="Arial"/>
                <w:color w:val="000000"/>
                <w:spacing w:val="0"/>
              </w:rPr>
            </w:pPr>
            <w:r w:rsidRPr="006B1B72">
              <w:rPr>
                <w:rFonts w:cs="Arial"/>
                <w:color w:val="000000"/>
                <w:spacing w:val="0"/>
              </w:rPr>
              <w:t>$389,000</w:t>
            </w:r>
          </w:p>
        </w:tc>
        <w:tc>
          <w:tcPr>
            <w:tcW w:w="1418" w:type="dxa"/>
            <w:shd w:val="clear" w:color="auto" w:fill="auto"/>
            <w:vAlign w:val="center"/>
          </w:tcPr>
          <w:p w:rsidR="003B6902" w:rsidRPr="006B1B72" w:rsidRDefault="006E0A04" w:rsidP="006E0A04">
            <w:pPr>
              <w:overflowPunct/>
              <w:spacing w:before="60" w:after="60"/>
              <w:jc w:val="center"/>
              <w:textAlignment w:val="auto"/>
              <w:rPr>
                <w:rFonts w:cs="Arial"/>
                <w:color w:val="000000"/>
                <w:spacing w:val="0"/>
              </w:rPr>
            </w:pPr>
            <w:r w:rsidRPr="006B1B72">
              <w:rPr>
                <w:rFonts w:cs="Arial"/>
                <w:color w:val="000000"/>
                <w:spacing w:val="0"/>
              </w:rPr>
              <w:t>-</w:t>
            </w:r>
          </w:p>
        </w:tc>
        <w:tc>
          <w:tcPr>
            <w:tcW w:w="850" w:type="dxa"/>
            <w:shd w:val="clear" w:color="auto" w:fill="auto"/>
            <w:vAlign w:val="center"/>
          </w:tcPr>
          <w:p w:rsidR="003B6902" w:rsidRPr="006B1B72" w:rsidRDefault="006E0A04" w:rsidP="006E0A04">
            <w:pPr>
              <w:overflowPunct/>
              <w:spacing w:before="60" w:after="60"/>
              <w:jc w:val="center"/>
              <w:textAlignment w:val="auto"/>
              <w:rPr>
                <w:rFonts w:cs="Arial"/>
                <w:color w:val="000000"/>
                <w:spacing w:val="0"/>
              </w:rPr>
            </w:pPr>
            <w:r w:rsidRPr="006B1B72">
              <w:rPr>
                <w:rFonts w:cs="Arial"/>
                <w:color w:val="000000"/>
                <w:spacing w:val="0"/>
              </w:rPr>
              <w:t>-</w:t>
            </w:r>
          </w:p>
        </w:tc>
        <w:tc>
          <w:tcPr>
            <w:tcW w:w="1985" w:type="dxa"/>
            <w:shd w:val="clear" w:color="auto" w:fill="auto"/>
            <w:vAlign w:val="center"/>
          </w:tcPr>
          <w:p w:rsidR="003B6902" w:rsidRPr="006B1B72" w:rsidRDefault="006E0A04" w:rsidP="006E0A04">
            <w:pPr>
              <w:overflowPunct/>
              <w:spacing w:before="60" w:after="60"/>
              <w:jc w:val="center"/>
              <w:textAlignment w:val="auto"/>
              <w:rPr>
                <w:rFonts w:cs="Arial"/>
                <w:color w:val="000000"/>
                <w:spacing w:val="0"/>
              </w:rPr>
            </w:pPr>
            <w:r w:rsidRPr="006B1B72">
              <w:rPr>
                <w:rFonts w:cs="Arial"/>
                <w:color w:val="000000"/>
                <w:spacing w:val="0"/>
              </w:rPr>
              <w:t>-</w:t>
            </w:r>
          </w:p>
        </w:tc>
        <w:tc>
          <w:tcPr>
            <w:tcW w:w="1984" w:type="dxa"/>
            <w:shd w:val="clear" w:color="auto" w:fill="auto"/>
            <w:vAlign w:val="center"/>
          </w:tcPr>
          <w:p w:rsidR="003B6902" w:rsidRPr="006B1B72" w:rsidRDefault="006E0A04" w:rsidP="006E0A04">
            <w:pPr>
              <w:overflowPunct/>
              <w:spacing w:before="60" w:after="60"/>
              <w:jc w:val="center"/>
              <w:textAlignment w:val="auto"/>
              <w:rPr>
                <w:rFonts w:cs="Arial"/>
                <w:color w:val="000000"/>
                <w:spacing w:val="0"/>
              </w:rPr>
            </w:pPr>
            <w:r w:rsidRPr="006B1B72">
              <w:rPr>
                <w:rFonts w:cs="Arial"/>
                <w:color w:val="000000"/>
                <w:spacing w:val="0"/>
              </w:rPr>
              <w:t>-</w:t>
            </w:r>
          </w:p>
        </w:tc>
      </w:tr>
    </w:tbl>
    <w:p w:rsidR="003B6902" w:rsidRPr="006B1B72" w:rsidRDefault="001D61DC" w:rsidP="00656C55">
      <w:pPr>
        <w:spacing w:before="60" w:after="60"/>
        <w:ind w:left="993"/>
        <w:rPr>
          <w:sz w:val="16"/>
        </w:rPr>
      </w:pPr>
      <w:r w:rsidRPr="006B1B72">
        <w:rPr>
          <w:sz w:val="16"/>
        </w:rPr>
        <w:t>*  Results based on properties surveyed by CoGG.</w:t>
      </w:r>
    </w:p>
    <w:p w:rsidR="002247D2" w:rsidRPr="006B1B72" w:rsidRDefault="002247D2" w:rsidP="002247D2">
      <w:pPr>
        <w:pStyle w:val="Text"/>
      </w:pPr>
      <w:r w:rsidRPr="006B1B72">
        <w:t xml:space="preserve">In response to the preferred scheme being “No Structural Works”, CoGG will continue to investigate a number of flood mitigation options ‘in-house’ to assess whether options can be implemented that will result in a reduction to the flooding and flood damages experienced by the Highton community. </w:t>
      </w:r>
      <w:r w:rsidR="00FE6E6E" w:rsidRPr="006B1B72">
        <w:t xml:space="preserve">Additionally, </w:t>
      </w:r>
      <w:r w:rsidRPr="006B1B72">
        <w:t>CoGG will implement a number of non-structural mitigation measures within the catchment, including</w:t>
      </w:r>
      <w:r w:rsidR="00C434C1" w:rsidRPr="006B1B72">
        <w:t>:</w:t>
      </w:r>
    </w:p>
    <w:p w:rsidR="00C434C1" w:rsidRPr="006B1B72" w:rsidRDefault="00C434C1" w:rsidP="00C434C1">
      <w:pPr>
        <w:numPr>
          <w:ilvl w:val="0"/>
          <w:numId w:val="21"/>
        </w:numPr>
        <w:overflowPunct/>
        <w:autoSpaceDE/>
        <w:autoSpaceDN/>
        <w:adjustRightInd/>
        <w:spacing w:before="220" w:line="300" w:lineRule="atLeast"/>
        <w:ind w:left="1276"/>
        <w:textAlignment w:val="auto"/>
      </w:pPr>
      <w:r w:rsidRPr="006B1B72">
        <w:t>Further investigation into the feasibility of localised flood mitigation measures, such as lifting footpaths and/or underground drainage augmentation, in order to reduce the flood risk for properties that have been the subject of previous drainage/flooding requests for service that have identified capacity deficiencies rather than blockages.  These investigations would be undertaken in accordance with the priority ranking established by applying the City's prioritisation method for drainage investigation/design work.</w:t>
      </w:r>
    </w:p>
    <w:p w:rsidR="00C434C1" w:rsidRPr="006B1B72" w:rsidRDefault="00C434C1" w:rsidP="00C434C1">
      <w:pPr>
        <w:numPr>
          <w:ilvl w:val="0"/>
          <w:numId w:val="21"/>
        </w:numPr>
        <w:overflowPunct/>
        <w:autoSpaceDE/>
        <w:autoSpaceDN/>
        <w:adjustRightInd/>
        <w:spacing w:before="220" w:after="160" w:line="300" w:lineRule="atLeast"/>
        <w:ind w:left="1276"/>
        <w:textAlignment w:val="auto"/>
        <w:rPr>
          <w:rFonts w:cs="Arial"/>
          <w:szCs w:val="22"/>
        </w:rPr>
      </w:pPr>
      <w:r w:rsidRPr="006B1B72">
        <w:t>Further investigation into the feasibility of property-specific measures to manage flood risk.  Potential measures include flood-proofing of individual or groups of buildings/properties by landowners, and property</w:t>
      </w:r>
      <w:r w:rsidRPr="00D33B70">
        <w:rPr>
          <w:rFonts w:cs="Arial"/>
          <w:szCs w:val="22"/>
        </w:rPr>
        <w:t xml:space="preserve"> buy-back with on-sell following modifications (where feasible) with conditions known to purchaser</w:t>
      </w:r>
      <w:r w:rsidRPr="006B1B72">
        <w:rPr>
          <w:rFonts w:cs="Arial"/>
          <w:szCs w:val="22"/>
        </w:rPr>
        <w:t>.</w:t>
      </w:r>
    </w:p>
    <w:p w:rsidR="00C434C1" w:rsidRPr="006B1B72" w:rsidRDefault="00C434C1" w:rsidP="00C434C1">
      <w:pPr>
        <w:numPr>
          <w:ilvl w:val="0"/>
          <w:numId w:val="21"/>
        </w:numPr>
        <w:overflowPunct/>
        <w:autoSpaceDE/>
        <w:autoSpaceDN/>
        <w:adjustRightInd/>
        <w:spacing w:before="220" w:after="160" w:line="300" w:lineRule="atLeast"/>
        <w:ind w:left="1276"/>
        <w:textAlignment w:val="auto"/>
        <w:rPr>
          <w:rFonts w:cs="Arial"/>
          <w:szCs w:val="22"/>
        </w:rPr>
      </w:pPr>
      <w:r w:rsidRPr="006B1B72">
        <w:rPr>
          <w:rFonts w:cs="Arial"/>
          <w:szCs w:val="22"/>
        </w:rPr>
        <w:t>Education and awareness program to inform landowners how to minimise the magnitude of damage in a flood event.</w:t>
      </w:r>
    </w:p>
    <w:p w:rsidR="00C434C1" w:rsidRPr="006B1B72" w:rsidRDefault="00C434C1" w:rsidP="00C434C1">
      <w:pPr>
        <w:numPr>
          <w:ilvl w:val="0"/>
          <w:numId w:val="21"/>
        </w:numPr>
        <w:tabs>
          <w:tab w:val="left" w:pos="709"/>
        </w:tabs>
        <w:overflowPunct/>
        <w:autoSpaceDE/>
        <w:autoSpaceDN/>
        <w:adjustRightInd/>
        <w:spacing w:before="220" w:after="160" w:line="300" w:lineRule="atLeast"/>
        <w:ind w:left="1276"/>
        <w:textAlignment w:val="auto"/>
        <w:rPr>
          <w:rFonts w:cs="Arial"/>
          <w:szCs w:val="22"/>
        </w:rPr>
      </w:pPr>
      <w:r w:rsidRPr="006B1B72">
        <w:rPr>
          <w:rFonts w:cs="Arial"/>
          <w:szCs w:val="22"/>
        </w:rPr>
        <w:lastRenderedPageBreak/>
        <w:t>Development controls via designation of areas as liable to flooding in accordance with Building Regulations 2006 and use of flood zones/overlays within the Greater Geelong Planning Scheme.</w:t>
      </w:r>
    </w:p>
    <w:p w:rsidR="00C434C1" w:rsidRPr="006B1B72" w:rsidRDefault="00C434C1" w:rsidP="00C434C1">
      <w:pPr>
        <w:numPr>
          <w:ilvl w:val="0"/>
          <w:numId w:val="21"/>
        </w:numPr>
        <w:overflowPunct/>
        <w:autoSpaceDE/>
        <w:autoSpaceDN/>
        <w:adjustRightInd/>
        <w:spacing w:before="220" w:after="160" w:line="300" w:lineRule="atLeast"/>
        <w:ind w:left="1276"/>
        <w:textAlignment w:val="auto"/>
        <w:rPr>
          <w:rFonts w:cs="Arial"/>
          <w:szCs w:val="22"/>
        </w:rPr>
      </w:pPr>
      <w:r w:rsidRPr="006B1B72">
        <w:rPr>
          <w:rFonts w:cs="Arial"/>
          <w:szCs w:val="22"/>
        </w:rPr>
        <w:t>Recognition that further development within the catchment has the potential to increase flood risk to people and property.  Assessment of rezoning proposals to include application of principle of zero adverse flood impact on adjacent, upstream and downstream areas.  Assessment of development and subdivision applications to include application of best practice guidelines for development within or upstream of flood-prone areas.</w:t>
      </w:r>
    </w:p>
    <w:p w:rsidR="00C434C1" w:rsidRPr="006B1B72" w:rsidRDefault="00C434C1" w:rsidP="00C434C1">
      <w:pPr>
        <w:numPr>
          <w:ilvl w:val="0"/>
          <w:numId w:val="21"/>
        </w:numPr>
        <w:overflowPunct/>
        <w:autoSpaceDE/>
        <w:autoSpaceDN/>
        <w:adjustRightInd/>
        <w:spacing w:before="220" w:after="160" w:line="300" w:lineRule="atLeast"/>
        <w:ind w:left="1276"/>
        <w:textAlignment w:val="auto"/>
        <w:rPr>
          <w:rFonts w:cs="Arial"/>
          <w:szCs w:val="22"/>
        </w:rPr>
      </w:pPr>
      <w:r w:rsidRPr="006B1B72">
        <w:rPr>
          <w:rFonts w:cs="Arial"/>
          <w:szCs w:val="22"/>
        </w:rPr>
        <w:t>Best practice environmental management for stormwater runoff to be encouraged as part of development and subdivision applications in order to reduce runoff and improve water quality, where not a statutory requirement.</w:t>
      </w:r>
    </w:p>
    <w:p w:rsidR="00C434C1" w:rsidRPr="006B1B72" w:rsidRDefault="00C434C1" w:rsidP="002247D2">
      <w:pPr>
        <w:pStyle w:val="Text"/>
      </w:pPr>
    </w:p>
    <w:p w:rsidR="002247D2" w:rsidRPr="006B1B72" w:rsidRDefault="002247D2" w:rsidP="002247D2">
      <w:pPr>
        <w:pStyle w:val="Text"/>
      </w:pPr>
    </w:p>
    <w:p w:rsidR="00926DA9" w:rsidRPr="006B1B72" w:rsidRDefault="00926DA9" w:rsidP="00656C55">
      <w:pPr>
        <w:pStyle w:val="Text"/>
        <w:ind w:left="0"/>
      </w:pPr>
    </w:p>
    <w:p w:rsidR="00926DA9" w:rsidRPr="006B1B72" w:rsidRDefault="00926DA9" w:rsidP="001D61DC">
      <w:pPr>
        <w:pStyle w:val="Text"/>
      </w:pPr>
    </w:p>
    <w:p w:rsidR="00926DA9" w:rsidRPr="006B1B72" w:rsidRDefault="00926DA9" w:rsidP="001D61DC">
      <w:pPr>
        <w:pStyle w:val="Text"/>
        <w:sectPr w:rsidR="00926DA9" w:rsidRPr="006B1B72" w:rsidSect="007018E6">
          <w:headerReference w:type="default" r:id="rId40"/>
          <w:footerReference w:type="default" r:id="rId41"/>
          <w:pgSz w:w="11907" w:h="16840"/>
          <w:pgMar w:top="1418" w:right="1134" w:bottom="1418" w:left="1134" w:header="851" w:footer="828" w:gutter="0"/>
          <w:pgNumType w:start="1" w:chapStyle="1"/>
          <w:cols w:space="720"/>
        </w:sectPr>
      </w:pPr>
    </w:p>
    <w:p w:rsidR="001D61DC" w:rsidRPr="006B1B72" w:rsidRDefault="001D61DC" w:rsidP="001D61DC">
      <w:pPr>
        <w:pStyle w:val="Heading1"/>
      </w:pPr>
      <w:bookmarkStart w:id="460" w:name="_Toc387308926"/>
      <w:r w:rsidRPr="006B1B72">
        <w:lastRenderedPageBreak/>
        <w:t>Public Consultation Process</w:t>
      </w:r>
      <w:bookmarkEnd w:id="460"/>
    </w:p>
    <w:p w:rsidR="001D61DC" w:rsidRPr="006B1B72" w:rsidRDefault="001D61DC" w:rsidP="001D61DC">
      <w:pPr>
        <w:pStyle w:val="Text"/>
      </w:pPr>
      <w:r w:rsidRPr="006B1B72">
        <w:t xml:space="preserve">The Highton Drainage/Flood Study will be placed on display for public consultation.  The public consultation period will allow local residents and stakeholders to query and make comments regarding the information contained within this report.  Following the public consultation, any submissions received from the public will be </w:t>
      </w:r>
      <w:r w:rsidR="000A7922">
        <w:t>addressed by Council</w:t>
      </w:r>
      <w:r w:rsidR="0087609B">
        <w:t>, with details provided in Appendix C</w:t>
      </w:r>
      <w:r w:rsidR="000A7922">
        <w:t>.</w:t>
      </w:r>
    </w:p>
    <w:p w:rsidR="001D61DC" w:rsidRPr="006B1B72" w:rsidRDefault="001D61DC" w:rsidP="001D61DC">
      <w:pPr>
        <w:pStyle w:val="Text"/>
        <w:sectPr w:rsidR="001D61DC" w:rsidRPr="006B1B72" w:rsidSect="007018E6">
          <w:pgSz w:w="11907" w:h="16840"/>
          <w:pgMar w:top="1418" w:right="1134" w:bottom="1418" w:left="1134" w:header="851" w:footer="828" w:gutter="0"/>
          <w:pgNumType w:start="1" w:chapStyle="1"/>
          <w:cols w:space="720"/>
        </w:sectPr>
      </w:pPr>
    </w:p>
    <w:p w:rsidR="00E62157" w:rsidRPr="006B1B72" w:rsidRDefault="00E62157" w:rsidP="00E62157">
      <w:pPr>
        <w:pStyle w:val="Heading1"/>
      </w:pPr>
      <w:bookmarkStart w:id="461" w:name="_Toc387308927"/>
      <w:r w:rsidRPr="006B1B72">
        <w:lastRenderedPageBreak/>
        <w:t>References</w:t>
      </w:r>
      <w:bookmarkEnd w:id="461"/>
    </w:p>
    <w:p w:rsidR="00E62157" w:rsidRPr="006B1B72" w:rsidRDefault="00E62157" w:rsidP="00E62157">
      <w:pPr>
        <w:pStyle w:val="Text"/>
      </w:pPr>
      <w:r w:rsidRPr="006B1B72">
        <w:t>BMT WBM 2009, Kelso Stormwater Catchment Flood Study Final Report, BMT WBM, Brisbane.</w:t>
      </w:r>
    </w:p>
    <w:p w:rsidR="00D92EEF" w:rsidRPr="006B1B72" w:rsidRDefault="00756E6A" w:rsidP="00E62157">
      <w:pPr>
        <w:pStyle w:val="Text"/>
      </w:pPr>
      <w:r w:rsidRPr="006B1B72">
        <w:t>DPIE 1992</w:t>
      </w:r>
      <w:r w:rsidR="00D92EEF" w:rsidRPr="006B1B72">
        <w:t xml:space="preserve">, Department of Primary Industries and Environment 1992, </w:t>
      </w:r>
      <w:r w:rsidR="00D92EEF" w:rsidRPr="006B1B72">
        <w:rPr>
          <w:i/>
        </w:rPr>
        <w:t>Floodplain Management in Australia</w:t>
      </w:r>
      <w:r w:rsidR="00D92EEF" w:rsidRPr="006B1B72">
        <w:t>, Department of Primary Industries and Environment, Canberra.</w:t>
      </w:r>
    </w:p>
    <w:p w:rsidR="00E62157" w:rsidRPr="006B1B72" w:rsidRDefault="00E62157" w:rsidP="00E62157">
      <w:pPr>
        <w:pStyle w:val="Text"/>
      </w:pPr>
      <w:r w:rsidRPr="006B1B72">
        <w:t xml:space="preserve">Melbourne Water 2008, </w:t>
      </w:r>
      <w:r w:rsidRPr="006B1B72">
        <w:rPr>
          <w:i/>
          <w:iCs/>
        </w:rPr>
        <w:t>Guidelines for Development in Flood-prone Areas</w:t>
      </w:r>
      <w:r w:rsidRPr="006B1B72">
        <w:rPr>
          <w:iCs/>
        </w:rPr>
        <w:t>, Melbourne Water, Melbourne.</w:t>
      </w:r>
    </w:p>
    <w:p w:rsidR="00E62157" w:rsidRPr="006B1B72" w:rsidRDefault="00E62157" w:rsidP="00E62157">
      <w:pPr>
        <w:pStyle w:val="Text"/>
      </w:pPr>
      <w:r w:rsidRPr="006B1B72">
        <w:t xml:space="preserve">Melbourne Water 1998, </w:t>
      </w:r>
      <w:r w:rsidRPr="006B1B72">
        <w:rPr>
          <w:i/>
        </w:rPr>
        <w:t>Melbourne Water Land Development Manual</w:t>
      </w:r>
      <w:r w:rsidRPr="006B1B72">
        <w:t>, viewed August 4, 2010, &lt;http://ldm.melbournewater.com.au&gt;.</w:t>
      </w:r>
    </w:p>
    <w:p w:rsidR="00D92EEF" w:rsidRPr="006B1B72" w:rsidRDefault="00756E6A" w:rsidP="00D92EEF">
      <w:pPr>
        <w:pStyle w:val="Text"/>
      </w:pPr>
      <w:r w:rsidRPr="006B1B72">
        <w:t>D</w:t>
      </w:r>
      <w:r w:rsidR="00D92EEF" w:rsidRPr="006B1B72">
        <w:t>NRE 20</w:t>
      </w:r>
      <w:r w:rsidRPr="006B1B72">
        <w:t>00</w:t>
      </w:r>
      <w:r w:rsidR="00D92EEF" w:rsidRPr="006B1B72">
        <w:t xml:space="preserve">, Department of Natural Resources and Environment 2000, </w:t>
      </w:r>
      <w:r w:rsidR="00D92EEF" w:rsidRPr="006B1B72">
        <w:rPr>
          <w:i/>
        </w:rPr>
        <w:t>Rapid Appraisal Method (RAM) for Floodplain Management</w:t>
      </w:r>
      <w:r w:rsidR="00D92EEF" w:rsidRPr="006B1B72">
        <w:t>, Department of Natural Resources and Environment, Victoria.</w:t>
      </w:r>
    </w:p>
    <w:p w:rsidR="00D92EEF" w:rsidRPr="006B1B72" w:rsidRDefault="00D92EEF" w:rsidP="001D61DC">
      <w:pPr>
        <w:pStyle w:val="Text"/>
      </w:pPr>
      <w:r w:rsidRPr="006B1B72">
        <w:t xml:space="preserve">Smith, D 1994, ‘Flood Damage Estimation – A review of urban stage-damage curves and loss functions’, </w:t>
      </w:r>
      <w:r w:rsidRPr="006B1B72">
        <w:rPr>
          <w:i/>
        </w:rPr>
        <w:t>Water SA</w:t>
      </w:r>
      <w:r w:rsidRPr="006B1B72">
        <w:t>, vol. 20, pp. 231-238.</w:t>
      </w:r>
    </w:p>
    <w:p w:rsidR="001D61DC" w:rsidRPr="006B1B72" w:rsidRDefault="001D61DC" w:rsidP="00430B8C">
      <w:pPr>
        <w:pStyle w:val="Caption"/>
        <w:sectPr w:rsidR="001D61DC" w:rsidRPr="006B1B72" w:rsidSect="007018E6">
          <w:pgSz w:w="11907" w:h="16840"/>
          <w:pgMar w:top="1418" w:right="1134" w:bottom="1418" w:left="1134" w:header="851" w:footer="828" w:gutter="0"/>
          <w:pgNumType w:start="1" w:chapStyle="1"/>
          <w:cols w:space="720"/>
        </w:sectPr>
      </w:pPr>
    </w:p>
    <w:p w:rsidR="00A83F38" w:rsidRPr="006B1B72" w:rsidRDefault="000B44A7" w:rsidP="000B44A7">
      <w:pPr>
        <w:pStyle w:val="Heading9"/>
      </w:pPr>
      <w:bookmarkStart w:id="462" w:name="_Toc387308928"/>
      <w:r w:rsidRPr="006B1B72">
        <w:lastRenderedPageBreak/>
        <w:t>Construction Rates</w:t>
      </w:r>
      <w:bookmarkEnd w:id="462"/>
    </w:p>
    <w:p w:rsidR="000B44A7" w:rsidRPr="006B1B72" w:rsidRDefault="000B44A7" w:rsidP="000B44A7">
      <w:pPr>
        <w:pStyle w:val="Text"/>
      </w:pPr>
    </w:p>
    <w:tbl>
      <w:tblPr>
        <w:tblW w:w="7420" w:type="dxa"/>
        <w:jc w:val="center"/>
        <w:tblInd w:w="-7" w:type="dxa"/>
        <w:tblCellMar>
          <w:left w:w="0" w:type="dxa"/>
          <w:right w:w="0" w:type="dxa"/>
        </w:tblCellMar>
        <w:tblLook w:val="0000" w:firstRow="0" w:lastRow="0" w:firstColumn="0" w:lastColumn="0" w:noHBand="0" w:noVBand="0"/>
      </w:tblPr>
      <w:tblGrid>
        <w:gridCol w:w="1660"/>
        <w:gridCol w:w="1880"/>
        <w:gridCol w:w="1940"/>
        <w:gridCol w:w="1940"/>
      </w:tblGrid>
      <w:tr w:rsidR="00B26EF8" w:rsidRPr="006B1B72" w:rsidTr="00B26EF8">
        <w:trPr>
          <w:trHeight w:val="255"/>
          <w:jc w:val="center"/>
        </w:trPr>
        <w:tc>
          <w:tcPr>
            <w:tcW w:w="7420" w:type="dxa"/>
            <w:gridSpan w:val="4"/>
            <w:tcBorders>
              <w:top w:val="single" w:sz="4" w:space="0" w:color="auto"/>
              <w:left w:val="single" w:sz="4" w:space="0" w:color="auto"/>
              <w:bottom w:val="single" w:sz="4" w:space="0" w:color="auto"/>
              <w:right w:val="single" w:sz="4" w:space="0" w:color="auto"/>
            </w:tcBorders>
            <w:shd w:val="pct10" w:color="auto" w:fill="auto"/>
          </w:tcPr>
          <w:p w:rsidR="00B26EF8" w:rsidRPr="006B1B72" w:rsidRDefault="00B26EF8" w:rsidP="00B26EF8">
            <w:pPr>
              <w:spacing w:before="60" w:after="60"/>
              <w:jc w:val="center"/>
              <w:rPr>
                <w:rFonts w:cs="Arial"/>
                <w:b/>
                <w:bCs/>
              </w:rPr>
            </w:pPr>
            <w:r w:rsidRPr="006B1B72">
              <w:rPr>
                <w:rFonts w:cs="Arial"/>
                <w:b/>
                <w:bCs/>
              </w:rPr>
              <w:t>West Region Pipeline Rates ($ per m)</w:t>
            </w:r>
          </w:p>
        </w:tc>
      </w:tr>
      <w:tr w:rsidR="00B26EF8" w:rsidRPr="006B1B72" w:rsidTr="00B26EF8">
        <w:trPr>
          <w:trHeight w:val="522"/>
          <w:jc w:val="center"/>
        </w:trPr>
        <w:tc>
          <w:tcPr>
            <w:tcW w:w="1660" w:type="dxa"/>
            <w:vMerge w:val="restart"/>
            <w:tcBorders>
              <w:top w:val="nil"/>
              <w:left w:val="single" w:sz="4" w:space="0" w:color="auto"/>
              <w:bottom w:val="single" w:sz="4" w:space="0" w:color="auto"/>
              <w:right w:val="single" w:sz="4" w:space="0" w:color="auto"/>
            </w:tcBorders>
            <w:shd w:val="pct10" w:color="auto" w:fill="auto"/>
            <w:tcMar>
              <w:top w:w="12" w:type="dxa"/>
              <w:left w:w="12" w:type="dxa"/>
              <w:bottom w:w="0" w:type="dxa"/>
              <w:right w:w="12" w:type="dxa"/>
            </w:tcMar>
            <w:vAlign w:val="center"/>
          </w:tcPr>
          <w:p w:rsidR="00B26EF8" w:rsidRPr="006B1B72" w:rsidRDefault="00B26EF8" w:rsidP="00B26EF8">
            <w:pPr>
              <w:spacing w:before="60" w:after="60"/>
              <w:jc w:val="center"/>
              <w:rPr>
                <w:rFonts w:cs="Arial"/>
                <w:b/>
                <w:bCs/>
              </w:rPr>
            </w:pPr>
            <w:r w:rsidRPr="006B1B72">
              <w:rPr>
                <w:rFonts w:cs="Arial"/>
                <w:b/>
                <w:bCs/>
              </w:rPr>
              <w:t>Nominal pipe diameter (mm)</w:t>
            </w:r>
          </w:p>
        </w:tc>
        <w:tc>
          <w:tcPr>
            <w:tcW w:w="1880" w:type="dxa"/>
            <w:tcBorders>
              <w:top w:val="nil"/>
              <w:left w:val="single" w:sz="4" w:space="0" w:color="auto"/>
              <w:bottom w:val="single" w:sz="4" w:space="0" w:color="auto"/>
              <w:right w:val="single" w:sz="4" w:space="0" w:color="auto"/>
            </w:tcBorders>
            <w:shd w:val="pct10" w:color="auto" w:fill="auto"/>
            <w:tcMar>
              <w:top w:w="12" w:type="dxa"/>
              <w:left w:w="12" w:type="dxa"/>
              <w:bottom w:w="0" w:type="dxa"/>
              <w:right w:w="12" w:type="dxa"/>
            </w:tcMar>
            <w:vAlign w:val="center"/>
          </w:tcPr>
          <w:p w:rsidR="00B26EF8" w:rsidRPr="006B1B72" w:rsidRDefault="00B26EF8" w:rsidP="00B26EF8">
            <w:pPr>
              <w:spacing w:before="60" w:after="60"/>
              <w:jc w:val="center"/>
              <w:rPr>
                <w:rFonts w:cs="Arial"/>
                <w:b/>
                <w:bCs/>
              </w:rPr>
            </w:pPr>
            <w:r w:rsidRPr="006B1B72">
              <w:rPr>
                <w:rFonts w:cs="Arial"/>
                <w:b/>
                <w:bCs/>
              </w:rPr>
              <w:t>Interlocking / Flush Jointed pipes</w:t>
            </w:r>
          </w:p>
        </w:tc>
        <w:tc>
          <w:tcPr>
            <w:tcW w:w="1940" w:type="dxa"/>
            <w:tcBorders>
              <w:top w:val="nil"/>
              <w:left w:val="single" w:sz="4" w:space="0" w:color="auto"/>
              <w:right w:val="single" w:sz="4" w:space="0" w:color="auto"/>
            </w:tcBorders>
            <w:shd w:val="pct10" w:color="auto" w:fill="auto"/>
            <w:vAlign w:val="center"/>
          </w:tcPr>
          <w:p w:rsidR="00B26EF8" w:rsidRPr="006B1B72" w:rsidRDefault="00B26EF8" w:rsidP="00B26EF8">
            <w:pPr>
              <w:spacing w:before="60" w:after="60"/>
              <w:jc w:val="center"/>
              <w:rPr>
                <w:rFonts w:cs="Arial"/>
                <w:b/>
                <w:bCs/>
              </w:rPr>
            </w:pPr>
            <w:r w:rsidRPr="006B1B72">
              <w:rPr>
                <w:rFonts w:cs="Arial"/>
                <w:b/>
                <w:bCs/>
              </w:rPr>
              <w:t>Adopted rates for pipes in road reserves</w:t>
            </w:r>
          </w:p>
        </w:tc>
        <w:tc>
          <w:tcPr>
            <w:tcW w:w="1940" w:type="dxa"/>
            <w:vMerge w:val="restart"/>
            <w:tcBorders>
              <w:top w:val="nil"/>
              <w:left w:val="single" w:sz="4" w:space="0" w:color="auto"/>
              <w:right w:val="single" w:sz="4" w:space="0" w:color="auto"/>
            </w:tcBorders>
            <w:shd w:val="pct10" w:color="auto" w:fill="auto"/>
            <w:tcMar>
              <w:top w:w="12" w:type="dxa"/>
              <w:left w:w="12" w:type="dxa"/>
              <w:bottom w:w="0" w:type="dxa"/>
              <w:right w:w="12" w:type="dxa"/>
            </w:tcMar>
            <w:vAlign w:val="center"/>
          </w:tcPr>
          <w:p w:rsidR="00B26EF8" w:rsidRPr="006B1B72" w:rsidRDefault="00B26EF8" w:rsidP="00B26EF8">
            <w:pPr>
              <w:spacing w:before="60" w:after="60"/>
              <w:jc w:val="center"/>
              <w:rPr>
                <w:rFonts w:cs="Arial"/>
                <w:b/>
                <w:bCs/>
              </w:rPr>
            </w:pPr>
            <w:r w:rsidRPr="006B1B72">
              <w:rPr>
                <w:rFonts w:cs="Arial"/>
                <w:b/>
                <w:bCs/>
              </w:rPr>
              <w:t>‘Jacking’ Rates</w:t>
            </w:r>
          </w:p>
        </w:tc>
      </w:tr>
      <w:tr w:rsidR="00B26EF8" w:rsidRPr="006B1B72" w:rsidTr="00B26EF8">
        <w:trPr>
          <w:trHeight w:val="255"/>
          <w:jc w:val="center"/>
        </w:trPr>
        <w:tc>
          <w:tcPr>
            <w:tcW w:w="0" w:type="auto"/>
            <w:vMerge/>
            <w:tcBorders>
              <w:top w:val="nil"/>
              <w:left w:val="single" w:sz="4" w:space="0" w:color="auto"/>
              <w:bottom w:val="single" w:sz="4" w:space="0" w:color="auto"/>
              <w:right w:val="single" w:sz="4" w:space="0" w:color="auto"/>
            </w:tcBorders>
            <w:shd w:val="clear" w:color="auto" w:fill="BFBFBF"/>
            <w:vAlign w:val="center"/>
          </w:tcPr>
          <w:p w:rsidR="00B26EF8" w:rsidRPr="006B1B72" w:rsidRDefault="00B26EF8" w:rsidP="00B26EF8">
            <w:pPr>
              <w:spacing w:before="60" w:after="60"/>
              <w:rPr>
                <w:rFonts w:cs="Arial"/>
                <w:b/>
                <w:bCs/>
              </w:rPr>
            </w:pPr>
          </w:p>
        </w:tc>
        <w:tc>
          <w:tcPr>
            <w:tcW w:w="0" w:type="auto"/>
            <w:tcBorders>
              <w:top w:val="nil"/>
              <w:left w:val="nil"/>
              <w:bottom w:val="single" w:sz="4" w:space="0" w:color="auto"/>
              <w:right w:val="single" w:sz="4" w:space="0" w:color="auto"/>
            </w:tcBorders>
            <w:shd w:val="pct10" w:color="auto" w:fill="auto"/>
            <w:noWrap/>
            <w:tcMar>
              <w:top w:w="12" w:type="dxa"/>
              <w:left w:w="12" w:type="dxa"/>
              <w:bottom w:w="0" w:type="dxa"/>
              <w:right w:w="12" w:type="dxa"/>
            </w:tcMar>
            <w:vAlign w:val="bottom"/>
          </w:tcPr>
          <w:p w:rsidR="00B26EF8" w:rsidRPr="006B1B72" w:rsidRDefault="00B26EF8" w:rsidP="00B26EF8">
            <w:pPr>
              <w:spacing w:before="60" w:after="60"/>
              <w:jc w:val="center"/>
              <w:rPr>
                <w:rFonts w:cs="Arial"/>
                <w:b/>
                <w:bCs/>
              </w:rPr>
            </w:pPr>
            <w:r w:rsidRPr="006B1B72">
              <w:rPr>
                <w:rFonts w:cs="Arial"/>
                <w:b/>
                <w:bCs/>
              </w:rPr>
              <w:t>100% FCR backfill</w:t>
            </w:r>
          </w:p>
        </w:tc>
        <w:tc>
          <w:tcPr>
            <w:tcW w:w="0" w:type="auto"/>
            <w:tcBorders>
              <w:top w:val="single" w:sz="4" w:space="0" w:color="auto"/>
              <w:left w:val="nil"/>
              <w:bottom w:val="single" w:sz="4" w:space="0" w:color="auto"/>
              <w:right w:val="single" w:sz="4" w:space="0" w:color="auto"/>
            </w:tcBorders>
            <w:shd w:val="pct10" w:color="auto" w:fill="auto"/>
            <w:vAlign w:val="center"/>
          </w:tcPr>
          <w:p w:rsidR="00B26EF8" w:rsidRPr="006B1B72" w:rsidRDefault="00B26EF8" w:rsidP="00B26EF8">
            <w:pPr>
              <w:spacing w:before="60" w:after="60"/>
              <w:jc w:val="center"/>
              <w:rPr>
                <w:rFonts w:cs="Arial"/>
                <w:b/>
                <w:bCs/>
              </w:rPr>
            </w:pPr>
            <w:r w:rsidRPr="006B1B72">
              <w:rPr>
                <w:rFonts w:cs="Arial"/>
                <w:b/>
                <w:bCs/>
              </w:rPr>
              <w:t>100% FCR backfill</w:t>
            </w:r>
          </w:p>
        </w:tc>
        <w:tc>
          <w:tcPr>
            <w:tcW w:w="0" w:type="auto"/>
            <w:vMerge/>
            <w:tcBorders>
              <w:left w:val="single" w:sz="4" w:space="0" w:color="auto"/>
              <w:bottom w:val="single" w:sz="4" w:space="0" w:color="auto"/>
              <w:right w:val="single" w:sz="4" w:space="0" w:color="auto"/>
            </w:tcBorders>
            <w:shd w:val="clear" w:color="auto" w:fill="BFBFBF"/>
            <w:noWrap/>
            <w:tcMar>
              <w:top w:w="12" w:type="dxa"/>
              <w:left w:w="12" w:type="dxa"/>
              <w:bottom w:w="0" w:type="dxa"/>
              <w:right w:w="12" w:type="dxa"/>
            </w:tcMar>
            <w:vAlign w:val="center"/>
          </w:tcPr>
          <w:p w:rsidR="00B26EF8" w:rsidRPr="006B1B72" w:rsidRDefault="00B26EF8" w:rsidP="00B26EF8">
            <w:pPr>
              <w:spacing w:before="60" w:after="60"/>
              <w:jc w:val="center"/>
              <w:rPr>
                <w:rFonts w:cs="Arial"/>
                <w:b/>
                <w:bCs/>
              </w:rPr>
            </w:pPr>
          </w:p>
        </w:tc>
      </w:tr>
      <w:tr w:rsidR="00B26EF8" w:rsidRPr="006B1B72" w:rsidTr="00B26EF8">
        <w:trPr>
          <w:trHeight w:val="255"/>
          <w:jc w:val="center"/>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300</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129</w:t>
            </w:r>
          </w:p>
        </w:tc>
        <w:tc>
          <w:tcPr>
            <w:tcW w:w="0" w:type="auto"/>
            <w:tcBorders>
              <w:top w:val="single" w:sz="4" w:space="0" w:color="auto"/>
              <w:left w:val="nil"/>
              <w:bottom w:val="single" w:sz="4" w:space="0" w:color="auto"/>
              <w:right w:val="single" w:sz="4" w:space="0" w:color="auto"/>
            </w:tcBorders>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194</w:t>
            </w:r>
          </w:p>
        </w:tc>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271</w:t>
            </w:r>
          </w:p>
        </w:tc>
      </w:tr>
      <w:tr w:rsidR="00B26EF8" w:rsidRPr="006B1B72" w:rsidTr="00B26EF8">
        <w:trPr>
          <w:trHeight w:val="255"/>
          <w:jc w:val="center"/>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375</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156</w:t>
            </w:r>
          </w:p>
        </w:tc>
        <w:tc>
          <w:tcPr>
            <w:tcW w:w="0" w:type="auto"/>
            <w:tcBorders>
              <w:top w:val="single" w:sz="4" w:space="0" w:color="auto"/>
              <w:left w:val="nil"/>
              <w:bottom w:val="single" w:sz="4" w:space="0" w:color="auto"/>
              <w:right w:val="single" w:sz="4" w:space="0" w:color="auto"/>
            </w:tcBorders>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234</w:t>
            </w:r>
          </w:p>
        </w:tc>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328</w:t>
            </w:r>
          </w:p>
        </w:tc>
      </w:tr>
      <w:tr w:rsidR="00B26EF8" w:rsidRPr="006B1B72" w:rsidTr="00B26EF8">
        <w:trPr>
          <w:trHeight w:val="255"/>
          <w:jc w:val="center"/>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450</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188</w:t>
            </w:r>
          </w:p>
        </w:tc>
        <w:tc>
          <w:tcPr>
            <w:tcW w:w="0" w:type="auto"/>
            <w:tcBorders>
              <w:top w:val="single" w:sz="4" w:space="0" w:color="auto"/>
              <w:left w:val="nil"/>
              <w:bottom w:val="single" w:sz="4" w:space="0" w:color="auto"/>
              <w:right w:val="single" w:sz="4" w:space="0" w:color="auto"/>
            </w:tcBorders>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282</w:t>
            </w:r>
          </w:p>
        </w:tc>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395</w:t>
            </w:r>
          </w:p>
        </w:tc>
      </w:tr>
      <w:tr w:rsidR="00B26EF8" w:rsidRPr="006B1B72" w:rsidTr="00B26EF8">
        <w:trPr>
          <w:trHeight w:val="285"/>
          <w:jc w:val="center"/>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525</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218</w:t>
            </w:r>
          </w:p>
        </w:tc>
        <w:tc>
          <w:tcPr>
            <w:tcW w:w="0" w:type="auto"/>
            <w:tcBorders>
              <w:top w:val="single" w:sz="4" w:space="0" w:color="auto"/>
              <w:left w:val="nil"/>
              <w:bottom w:val="single" w:sz="4" w:space="0" w:color="auto"/>
              <w:right w:val="single" w:sz="4" w:space="0" w:color="auto"/>
            </w:tcBorders>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327</w:t>
            </w:r>
          </w:p>
        </w:tc>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458</w:t>
            </w:r>
          </w:p>
        </w:tc>
      </w:tr>
      <w:tr w:rsidR="00B26EF8" w:rsidRPr="006B1B72" w:rsidTr="00B26EF8">
        <w:trPr>
          <w:trHeight w:val="255"/>
          <w:jc w:val="center"/>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600</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249</w:t>
            </w:r>
          </w:p>
        </w:tc>
        <w:tc>
          <w:tcPr>
            <w:tcW w:w="0" w:type="auto"/>
            <w:tcBorders>
              <w:top w:val="single" w:sz="4" w:space="0" w:color="auto"/>
              <w:left w:val="nil"/>
              <w:bottom w:val="single" w:sz="4" w:space="0" w:color="auto"/>
              <w:right w:val="single" w:sz="4" w:space="0" w:color="auto"/>
            </w:tcBorders>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374</w:t>
            </w:r>
          </w:p>
        </w:tc>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523</w:t>
            </w:r>
          </w:p>
        </w:tc>
      </w:tr>
      <w:tr w:rsidR="00B26EF8" w:rsidRPr="006B1B72" w:rsidTr="00B26EF8">
        <w:trPr>
          <w:trHeight w:val="255"/>
          <w:jc w:val="center"/>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675</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276</w:t>
            </w:r>
          </w:p>
        </w:tc>
        <w:tc>
          <w:tcPr>
            <w:tcW w:w="0" w:type="auto"/>
            <w:tcBorders>
              <w:top w:val="single" w:sz="4" w:space="0" w:color="auto"/>
              <w:left w:val="nil"/>
              <w:bottom w:val="single" w:sz="4" w:space="0" w:color="auto"/>
              <w:right w:val="single" w:sz="4" w:space="0" w:color="auto"/>
            </w:tcBorders>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414</w:t>
            </w:r>
          </w:p>
        </w:tc>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580</w:t>
            </w:r>
          </w:p>
        </w:tc>
      </w:tr>
      <w:tr w:rsidR="00B26EF8" w:rsidRPr="006B1B72" w:rsidTr="00B26EF8">
        <w:trPr>
          <w:trHeight w:val="285"/>
          <w:jc w:val="center"/>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750</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309</w:t>
            </w:r>
          </w:p>
        </w:tc>
        <w:tc>
          <w:tcPr>
            <w:tcW w:w="0" w:type="auto"/>
            <w:tcBorders>
              <w:top w:val="single" w:sz="4" w:space="0" w:color="auto"/>
              <w:left w:val="nil"/>
              <w:bottom w:val="single" w:sz="4" w:space="0" w:color="auto"/>
              <w:right w:val="single" w:sz="4" w:space="0" w:color="auto"/>
            </w:tcBorders>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464</w:t>
            </w:r>
          </w:p>
        </w:tc>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649</w:t>
            </w:r>
          </w:p>
        </w:tc>
      </w:tr>
      <w:tr w:rsidR="00B26EF8" w:rsidRPr="006B1B72" w:rsidTr="00B26EF8">
        <w:trPr>
          <w:trHeight w:val="255"/>
          <w:jc w:val="center"/>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825</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343</w:t>
            </w:r>
          </w:p>
        </w:tc>
        <w:tc>
          <w:tcPr>
            <w:tcW w:w="0" w:type="auto"/>
            <w:tcBorders>
              <w:top w:val="single" w:sz="4" w:space="0" w:color="auto"/>
              <w:left w:val="nil"/>
              <w:bottom w:val="single" w:sz="4" w:space="0" w:color="auto"/>
              <w:right w:val="single" w:sz="4" w:space="0" w:color="auto"/>
            </w:tcBorders>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515</w:t>
            </w:r>
          </w:p>
        </w:tc>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720</w:t>
            </w:r>
          </w:p>
        </w:tc>
      </w:tr>
      <w:tr w:rsidR="00B26EF8" w:rsidRPr="006B1B72" w:rsidTr="00B26EF8">
        <w:trPr>
          <w:trHeight w:val="255"/>
          <w:jc w:val="center"/>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900</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378</w:t>
            </w:r>
          </w:p>
        </w:tc>
        <w:tc>
          <w:tcPr>
            <w:tcW w:w="0" w:type="auto"/>
            <w:tcBorders>
              <w:top w:val="single" w:sz="4" w:space="0" w:color="auto"/>
              <w:left w:val="nil"/>
              <w:bottom w:val="single" w:sz="4" w:space="0" w:color="auto"/>
              <w:right w:val="single" w:sz="4" w:space="0" w:color="auto"/>
            </w:tcBorders>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567</w:t>
            </w:r>
          </w:p>
        </w:tc>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794</w:t>
            </w:r>
          </w:p>
        </w:tc>
      </w:tr>
      <w:tr w:rsidR="00B26EF8" w:rsidRPr="006B1B72" w:rsidTr="00B26EF8">
        <w:trPr>
          <w:trHeight w:val="255"/>
          <w:jc w:val="center"/>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1050</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460</w:t>
            </w:r>
          </w:p>
        </w:tc>
        <w:tc>
          <w:tcPr>
            <w:tcW w:w="0" w:type="auto"/>
            <w:tcBorders>
              <w:top w:val="single" w:sz="4" w:space="0" w:color="auto"/>
              <w:left w:val="nil"/>
              <w:bottom w:val="single" w:sz="4" w:space="0" w:color="auto"/>
              <w:right w:val="single" w:sz="4" w:space="0" w:color="auto"/>
            </w:tcBorders>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690</w:t>
            </w:r>
          </w:p>
        </w:tc>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966</w:t>
            </w:r>
          </w:p>
        </w:tc>
      </w:tr>
      <w:tr w:rsidR="00B26EF8" w:rsidRPr="006B1B72" w:rsidTr="00B26EF8">
        <w:trPr>
          <w:trHeight w:val="255"/>
          <w:jc w:val="center"/>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1200</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570</w:t>
            </w:r>
          </w:p>
        </w:tc>
        <w:tc>
          <w:tcPr>
            <w:tcW w:w="0" w:type="auto"/>
            <w:tcBorders>
              <w:top w:val="single" w:sz="4" w:space="0" w:color="auto"/>
              <w:left w:val="nil"/>
              <w:bottom w:val="single" w:sz="4" w:space="0" w:color="auto"/>
              <w:right w:val="single" w:sz="4" w:space="0" w:color="auto"/>
            </w:tcBorders>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855</w:t>
            </w:r>
          </w:p>
        </w:tc>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1197</w:t>
            </w:r>
          </w:p>
        </w:tc>
      </w:tr>
      <w:tr w:rsidR="00B26EF8" w:rsidRPr="006B1B72" w:rsidTr="00B26EF8">
        <w:trPr>
          <w:trHeight w:val="255"/>
          <w:jc w:val="center"/>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1350</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696</w:t>
            </w:r>
          </w:p>
        </w:tc>
        <w:tc>
          <w:tcPr>
            <w:tcW w:w="0" w:type="auto"/>
            <w:tcBorders>
              <w:top w:val="single" w:sz="4" w:space="0" w:color="auto"/>
              <w:left w:val="nil"/>
              <w:bottom w:val="single" w:sz="4" w:space="0" w:color="auto"/>
              <w:right w:val="single" w:sz="4" w:space="0" w:color="auto"/>
            </w:tcBorders>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1044</w:t>
            </w:r>
          </w:p>
        </w:tc>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1462</w:t>
            </w:r>
          </w:p>
        </w:tc>
      </w:tr>
      <w:tr w:rsidR="00B26EF8" w:rsidRPr="006B1B72" w:rsidTr="00B26EF8">
        <w:trPr>
          <w:trHeight w:val="255"/>
          <w:jc w:val="center"/>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1500</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841</w:t>
            </w:r>
          </w:p>
        </w:tc>
        <w:tc>
          <w:tcPr>
            <w:tcW w:w="0" w:type="auto"/>
            <w:tcBorders>
              <w:top w:val="single" w:sz="4" w:space="0" w:color="auto"/>
              <w:left w:val="nil"/>
              <w:bottom w:val="single" w:sz="4" w:space="0" w:color="auto"/>
              <w:right w:val="single" w:sz="4" w:space="0" w:color="auto"/>
            </w:tcBorders>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1262</w:t>
            </w:r>
          </w:p>
        </w:tc>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1766</w:t>
            </w:r>
          </w:p>
        </w:tc>
      </w:tr>
      <w:tr w:rsidR="00B26EF8" w:rsidRPr="006B1B72" w:rsidTr="00B26EF8">
        <w:trPr>
          <w:trHeight w:val="255"/>
          <w:jc w:val="center"/>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1650</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1,013</w:t>
            </w:r>
          </w:p>
        </w:tc>
        <w:tc>
          <w:tcPr>
            <w:tcW w:w="0" w:type="auto"/>
            <w:tcBorders>
              <w:top w:val="single" w:sz="4" w:space="0" w:color="auto"/>
              <w:left w:val="nil"/>
              <w:bottom w:val="single" w:sz="4" w:space="0" w:color="auto"/>
              <w:right w:val="single" w:sz="4" w:space="0" w:color="auto"/>
            </w:tcBorders>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1520</w:t>
            </w:r>
          </w:p>
        </w:tc>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2127</w:t>
            </w:r>
          </w:p>
        </w:tc>
      </w:tr>
      <w:tr w:rsidR="00B26EF8" w:rsidRPr="006B1B72" w:rsidTr="00B26EF8">
        <w:trPr>
          <w:trHeight w:val="255"/>
          <w:jc w:val="center"/>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1800</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1,244</w:t>
            </w:r>
          </w:p>
        </w:tc>
        <w:tc>
          <w:tcPr>
            <w:tcW w:w="0" w:type="auto"/>
            <w:tcBorders>
              <w:top w:val="single" w:sz="4" w:space="0" w:color="auto"/>
              <w:left w:val="nil"/>
              <w:bottom w:val="single" w:sz="4" w:space="0" w:color="auto"/>
              <w:right w:val="single" w:sz="4" w:space="0" w:color="auto"/>
            </w:tcBorders>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1866</w:t>
            </w:r>
          </w:p>
        </w:tc>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2612</w:t>
            </w:r>
          </w:p>
        </w:tc>
      </w:tr>
      <w:tr w:rsidR="00B26EF8" w:rsidRPr="006B1B72" w:rsidTr="00B26EF8">
        <w:trPr>
          <w:trHeight w:val="255"/>
          <w:jc w:val="center"/>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1950</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1,538</w:t>
            </w:r>
          </w:p>
        </w:tc>
        <w:tc>
          <w:tcPr>
            <w:tcW w:w="0" w:type="auto"/>
            <w:tcBorders>
              <w:top w:val="single" w:sz="4" w:space="0" w:color="auto"/>
              <w:left w:val="nil"/>
              <w:bottom w:val="single" w:sz="4" w:space="0" w:color="auto"/>
              <w:right w:val="single" w:sz="4" w:space="0" w:color="auto"/>
            </w:tcBorders>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2307</w:t>
            </w:r>
          </w:p>
        </w:tc>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3230</w:t>
            </w:r>
          </w:p>
        </w:tc>
      </w:tr>
      <w:tr w:rsidR="00B26EF8" w:rsidRPr="006B1B72" w:rsidTr="00B26EF8">
        <w:trPr>
          <w:trHeight w:val="255"/>
          <w:jc w:val="center"/>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2100</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1,901</w:t>
            </w:r>
          </w:p>
        </w:tc>
        <w:tc>
          <w:tcPr>
            <w:tcW w:w="0" w:type="auto"/>
            <w:tcBorders>
              <w:top w:val="single" w:sz="4" w:space="0" w:color="auto"/>
              <w:left w:val="nil"/>
              <w:bottom w:val="single" w:sz="4" w:space="0" w:color="auto"/>
              <w:right w:val="single" w:sz="4" w:space="0" w:color="auto"/>
            </w:tcBorders>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2852</w:t>
            </w:r>
          </w:p>
        </w:tc>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3992</w:t>
            </w:r>
          </w:p>
        </w:tc>
      </w:tr>
      <w:tr w:rsidR="00B26EF8" w:rsidRPr="006B1B72" w:rsidTr="00B26EF8">
        <w:trPr>
          <w:trHeight w:val="255"/>
          <w:jc w:val="center"/>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2250</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2,452</w:t>
            </w:r>
          </w:p>
        </w:tc>
        <w:tc>
          <w:tcPr>
            <w:tcW w:w="0" w:type="auto"/>
            <w:tcBorders>
              <w:top w:val="single" w:sz="4" w:space="0" w:color="auto"/>
              <w:left w:val="nil"/>
              <w:bottom w:val="single" w:sz="4" w:space="0" w:color="auto"/>
              <w:right w:val="single" w:sz="4" w:space="0" w:color="auto"/>
            </w:tcBorders>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3678</w:t>
            </w:r>
          </w:p>
        </w:tc>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5149</w:t>
            </w:r>
          </w:p>
        </w:tc>
      </w:tr>
      <w:tr w:rsidR="00B26EF8" w:rsidRPr="006B1B72" w:rsidTr="00B26EF8">
        <w:trPr>
          <w:trHeight w:val="255"/>
          <w:jc w:val="center"/>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2400</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B26EF8" w:rsidRPr="006B1B72" w:rsidRDefault="00B26EF8" w:rsidP="00B26EF8">
            <w:pPr>
              <w:spacing w:before="60" w:after="60"/>
              <w:jc w:val="center"/>
              <w:rPr>
                <w:rFonts w:cs="Arial"/>
              </w:rPr>
            </w:pPr>
            <w:r w:rsidRPr="006B1B72">
              <w:rPr>
                <w:rFonts w:cs="Arial"/>
              </w:rPr>
              <w:t>3,061</w:t>
            </w:r>
          </w:p>
        </w:tc>
        <w:tc>
          <w:tcPr>
            <w:tcW w:w="0" w:type="auto"/>
            <w:tcBorders>
              <w:top w:val="single" w:sz="4" w:space="0" w:color="auto"/>
              <w:left w:val="nil"/>
              <w:bottom w:val="single" w:sz="4" w:space="0" w:color="auto"/>
              <w:right w:val="single" w:sz="4" w:space="0" w:color="auto"/>
            </w:tcBorders>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4592</w:t>
            </w:r>
          </w:p>
        </w:tc>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center"/>
          </w:tcPr>
          <w:p w:rsidR="00B26EF8" w:rsidRPr="006B1B72" w:rsidRDefault="00B26EF8" w:rsidP="00B26EF8">
            <w:pPr>
              <w:spacing w:before="60" w:after="60"/>
              <w:jc w:val="center"/>
              <w:rPr>
                <w:rFonts w:cs="Arial"/>
                <w:color w:val="000000"/>
                <w:szCs w:val="22"/>
              </w:rPr>
            </w:pPr>
            <w:r w:rsidRPr="006B1B72">
              <w:rPr>
                <w:rFonts w:cs="Arial"/>
                <w:color w:val="000000"/>
                <w:szCs w:val="22"/>
              </w:rPr>
              <w:t>6428</w:t>
            </w:r>
          </w:p>
        </w:tc>
      </w:tr>
    </w:tbl>
    <w:p w:rsidR="000B44A7" w:rsidRPr="006B1B72" w:rsidRDefault="000B44A7" w:rsidP="000B44A7">
      <w:pPr>
        <w:pStyle w:val="Text"/>
        <w:sectPr w:rsidR="000B44A7" w:rsidRPr="006B1B72" w:rsidSect="00611733">
          <w:headerReference w:type="default" r:id="rId42"/>
          <w:pgSz w:w="11907" w:h="16840"/>
          <w:pgMar w:top="1418" w:right="1134" w:bottom="1418" w:left="1134" w:header="851" w:footer="828" w:gutter="0"/>
          <w:pgNumType w:start="1" w:chapStyle="9"/>
          <w:cols w:space="720"/>
        </w:sectPr>
      </w:pPr>
    </w:p>
    <w:p w:rsidR="000B44A7" w:rsidRPr="006B1B72" w:rsidRDefault="000B44A7" w:rsidP="000B44A7">
      <w:pPr>
        <w:pStyle w:val="Heading9"/>
      </w:pPr>
      <w:bookmarkStart w:id="463" w:name="_Toc387308929"/>
      <w:r w:rsidRPr="006B1B72">
        <w:lastRenderedPageBreak/>
        <w:t>Longitudinal Profile Plots</w:t>
      </w:r>
      <w:bookmarkEnd w:id="463"/>
    </w:p>
    <w:p w:rsidR="000B44A7" w:rsidRPr="006B1B72" w:rsidRDefault="000B44A7" w:rsidP="000B44A7">
      <w:pPr>
        <w:pStyle w:val="Text"/>
      </w:pPr>
    </w:p>
    <w:p w:rsidR="000B44A7" w:rsidRPr="006B1B72" w:rsidRDefault="000B44A7" w:rsidP="000B44A7">
      <w:pPr>
        <w:pStyle w:val="Text"/>
      </w:pPr>
    </w:p>
    <w:p w:rsidR="000B44A7" w:rsidRPr="006B1B72" w:rsidRDefault="000B44A7">
      <w:pPr>
        <w:overflowPunct/>
        <w:autoSpaceDE/>
        <w:autoSpaceDN/>
        <w:adjustRightInd/>
        <w:jc w:val="left"/>
        <w:textAlignment w:val="auto"/>
      </w:pPr>
      <w:r w:rsidRPr="006B1B72">
        <w:br w:type="page"/>
      </w:r>
    </w:p>
    <w:p w:rsidR="000B44A7" w:rsidRPr="006B1B72" w:rsidRDefault="000B44A7" w:rsidP="000B44A7">
      <w:pPr>
        <w:pStyle w:val="Text"/>
      </w:pPr>
    </w:p>
    <w:p w:rsidR="000B44A7" w:rsidRPr="006B1B72" w:rsidRDefault="000B44A7" w:rsidP="000B44A7">
      <w:pPr>
        <w:pStyle w:val="Text"/>
      </w:pPr>
    </w:p>
    <w:p w:rsidR="000B44A7" w:rsidRPr="006B1B72" w:rsidRDefault="000B44A7" w:rsidP="000B44A7">
      <w:pPr>
        <w:pStyle w:val="Text"/>
      </w:pPr>
    </w:p>
    <w:p w:rsidR="000B44A7" w:rsidRPr="006B1B72" w:rsidRDefault="000B44A7" w:rsidP="000B44A7">
      <w:pPr>
        <w:pStyle w:val="Text"/>
      </w:pPr>
    </w:p>
    <w:p w:rsidR="000B44A7" w:rsidRPr="006B1B72" w:rsidRDefault="000B44A7">
      <w:pPr>
        <w:overflowPunct/>
        <w:autoSpaceDE/>
        <w:autoSpaceDN/>
        <w:adjustRightInd/>
        <w:jc w:val="left"/>
        <w:textAlignment w:val="auto"/>
      </w:pPr>
      <w:r w:rsidRPr="006B1B72">
        <w:br w:type="page"/>
      </w:r>
    </w:p>
    <w:p w:rsidR="000B44A7" w:rsidRPr="006B1B72" w:rsidRDefault="000B44A7" w:rsidP="000B44A7">
      <w:pPr>
        <w:pStyle w:val="Text"/>
      </w:pPr>
    </w:p>
    <w:p w:rsidR="000B44A7" w:rsidRPr="006B1B72" w:rsidRDefault="000B44A7" w:rsidP="000B44A7">
      <w:pPr>
        <w:pStyle w:val="Text"/>
      </w:pPr>
    </w:p>
    <w:p w:rsidR="000B44A7" w:rsidRPr="006B1B72" w:rsidRDefault="000B44A7">
      <w:pPr>
        <w:overflowPunct/>
        <w:autoSpaceDE/>
        <w:autoSpaceDN/>
        <w:adjustRightInd/>
        <w:jc w:val="left"/>
        <w:textAlignment w:val="auto"/>
      </w:pPr>
      <w:r w:rsidRPr="006B1B72">
        <w:br w:type="page"/>
      </w:r>
    </w:p>
    <w:p w:rsidR="000B44A7" w:rsidRPr="006B1B72" w:rsidRDefault="000B44A7" w:rsidP="000B44A7">
      <w:pPr>
        <w:pStyle w:val="Text"/>
      </w:pPr>
    </w:p>
    <w:p w:rsidR="000B44A7" w:rsidRPr="006B1B72" w:rsidRDefault="000B44A7" w:rsidP="000B44A7">
      <w:pPr>
        <w:pStyle w:val="Text"/>
      </w:pPr>
    </w:p>
    <w:p w:rsidR="00F01621" w:rsidRDefault="00F01621" w:rsidP="000B44A7">
      <w:pPr>
        <w:pStyle w:val="Text"/>
      </w:pPr>
    </w:p>
    <w:p w:rsidR="0087609B" w:rsidRDefault="0087609B" w:rsidP="0087609B">
      <w:pPr>
        <w:pStyle w:val="Heading9"/>
        <w:sectPr w:rsidR="0087609B" w:rsidSect="00611733">
          <w:pgSz w:w="11907" w:h="16840"/>
          <w:pgMar w:top="1418" w:right="1134" w:bottom="1418" w:left="1134" w:header="851" w:footer="828" w:gutter="0"/>
          <w:pgNumType w:start="1" w:chapStyle="9"/>
          <w:cols w:space="720"/>
        </w:sectPr>
      </w:pPr>
    </w:p>
    <w:p w:rsidR="0087609B" w:rsidRDefault="0087609B" w:rsidP="0087609B">
      <w:pPr>
        <w:pStyle w:val="Heading9"/>
      </w:pPr>
      <w:bookmarkStart w:id="464" w:name="_Toc387308930"/>
      <w:r>
        <w:lastRenderedPageBreak/>
        <w:t>Public Submissions and Responses</w:t>
      </w:r>
      <w:bookmarkEnd w:id="464"/>
    </w:p>
    <w:p w:rsidR="0087609B" w:rsidRDefault="0087609B" w:rsidP="0087609B">
      <w:pPr>
        <w:pStyle w:val="Text"/>
      </w:pPr>
      <w:r>
        <w:br w:type="page"/>
      </w:r>
    </w:p>
    <w:p w:rsidR="0087609B" w:rsidRPr="0087609B" w:rsidRDefault="0087609B" w:rsidP="0087609B">
      <w:pPr>
        <w:pStyle w:val="Text"/>
      </w:pPr>
      <w:r>
        <w:lastRenderedPageBreak/>
        <w:t>This Appendix has been intentionally left blank and will be completed by Council following the public consultation period for the Highton Drainage/Flood Study.</w:t>
      </w:r>
    </w:p>
    <w:p w:rsidR="0087609B" w:rsidRPr="0087609B" w:rsidRDefault="0087609B" w:rsidP="0087609B">
      <w:pPr>
        <w:pStyle w:val="Text"/>
      </w:pPr>
    </w:p>
    <w:p w:rsidR="0087609B" w:rsidRPr="006B1B72" w:rsidRDefault="0087609B" w:rsidP="000B44A7">
      <w:pPr>
        <w:pStyle w:val="Text"/>
      </w:pPr>
    </w:p>
    <w:p w:rsidR="000B44A7" w:rsidRPr="006B1B72" w:rsidRDefault="000B44A7" w:rsidP="000B44A7">
      <w:pPr>
        <w:pStyle w:val="Text"/>
      </w:pPr>
    </w:p>
    <w:p w:rsidR="000B44A7" w:rsidRPr="006B1B72" w:rsidRDefault="000B44A7" w:rsidP="000B44A7">
      <w:pPr>
        <w:pStyle w:val="Text"/>
      </w:pPr>
    </w:p>
    <w:p w:rsidR="000B44A7" w:rsidRPr="006B1B72" w:rsidRDefault="000B44A7" w:rsidP="000B44A7">
      <w:pPr>
        <w:pStyle w:val="Text"/>
      </w:pPr>
    </w:p>
    <w:p w:rsidR="000B44A7" w:rsidRPr="006B1B72" w:rsidRDefault="000B44A7" w:rsidP="000B44A7">
      <w:pPr>
        <w:pStyle w:val="Text"/>
        <w:rPr>
          <w:rFonts w:ascii="Tahoma" w:hAnsi="Tahoma"/>
          <w:kern w:val="28"/>
          <w:sz w:val="32"/>
        </w:rPr>
      </w:pPr>
    </w:p>
    <w:p w:rsidR="00A83F38" w:rsidRPr="006B1B72" w:rsidRDefault="00A83F38" w:rsidP="00430B8C">
      <w:pPr>
        <w:pStyle w:val="Text"/>
        <w:sectPr w:rsidR="00A83F38" w:rsidRPr="006B1B72" w:rsidSect="00611733">
          <w:pgSz w:w="11907" w:h="16840"/>
          <w:pgMar w:top="1418" w:right="1134" w:bottom="1418" w:left="1134" w:header="851" w:footer="828" w:gutter="0"/>
          <w:pgNumType w:start="1" w:chapStyle="9"/>
          <w:cols w:space="720"/>
        </w:sectPr>
      </w:pPr>
    </w:p>
    <w:p w:rsidR="00A83F38" w:rsidRPr="006B1B72" w:rsidRDefault="009F1E64" w:rsidP="00430B8C">
      <w:pPr>
        <w:pStyle w:val="Caption"/>
      </w:pPr>
      <w:bookmarkStart w:id="465" w:name="_Toc337554512"/>
      <w:bookmarkStart w:id="466" w:name="_Toc337616700"/>
      <w:bookmarkStart w:id="467" w:name="_Toc339944689"/>
      <w:bookmarkEnd w:id="465"/>
      <w:bookmarkEnd w:id="466"/>
      <w:bookmarkEnd w:id="467"/>
      <w:r w:rsidRPr="006B1B72">
        <w:rPr>
          <w:noProof/>
          <w:lang w:eastAsia="en-AU"/>
        </w:rPr>
        <w:lastRenderedPageBreak/>
        <w:drawing>
          <wp:anchor distT="0" distB="0" distL="114300" distR="114300" simplePos="0" relativeHeight="251655680" behindDoc="0" locked="0" layoutInCell="1" allowOverlap="1" wp14:anchorId="7E793D62" wp14:editId="0C34D356">
            <wp:simplePos x="0" y="0"/>
            <wp:positionH relativeFrom="column">
              <wp:posOffset>1045845</wp:posOffset>
            </wp:positionH>
            <wp:positionV relativeFrom="paragraph">
              <wp:posOffset>-89535</wp:posOffset>
            </wp:positionV>
            <wp:extent cx="1402080" cy="388620"/>
            <wp:effectExtent l="19050" t="0" r="7620" b="0"/>
            <wp:wrapNone/>
            <wp:docPr id="86" name="Picture 86" descr="BMT WBM Colour 40 x 1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BMT WBM Colour 40 x 12mm"/>
                    <pic:cNvPicPr>
                      <a:picLocks noChangeAspect="1" noChangeArrowheads="1"/>
                    </pic:cNvPicPr>
                  </pic:nvPicPr>
                  <pic:blipFill>
                    <a:blip r:embed="rId43" cstate="print"/>
                    <a:srcRect/>
                    <a:stretch>
                      <a:fillRect/>
                    </a:stretch>
                  </pic:blipFill>
                  <pic:spPr bwMode="auto">
                    <a:xfrm>
                      <a:off x="0" y="0"/>
                      <a:ext cx="1402080" cy="388620"/>
                    </a:xfrm>
                    <a:prstGeom prst="rect">
                      <a:avLst/>
                    </a:prstGeom>
                    <a:noFill/>
                    <a:ln w="9525">
                      <a:noFill/>
                      <a:miter lim="800000"/>
                      <a:headEnd/>
                      <a:tailEnd/>
                    </a:ln>
                  </pic:spPr>
                </pic:pic>
              </a:graphicData>
            </a:graphic>
          </wp:anchor>
        </w:drawing>
      </w:r>
    </w:p>
    <w:tbl>
      <w:tblPr>
        <w:tblpPr w:leftFromText="180" w:rightFromText="180" w:horzAnchor="margin" w:tblpY="1141"/>
        <w:tblW w:w="0" w:type="auto"/>
        <w:tblLook w:val="01E0" w:firstRow="1" w:lastRow="1" w:firstColumn="1" w:lastColumn="1" w:noHBand="0" w:noVBand="0"/>
      </w:tblPr>
      <w:tblGrid>
        <w:gridCol w:w="1668"/>
        <w:gridCol w:w="3827"/>
      </w:tblGrid>
      <w:tr w:rsidR="00A83F38" w:rsidRPr="006B1B72">
        <w:tc>
          <w:tcPr>
            <w:tcW w:w="1668" w:type="dxa"/>
          </w:tcPr>
          <w:p w:rsidR="00A83F38" w:rsidRPr="00D33B70" w:rsidRDefault="00A83F38" w:rsidP="00430B8C">
            <w:pPr>
              <w:pStyle w:val="Text"/>
              <w:spacing w:before="0" w:line="240" w:lineRule="auto"/>
              <w:ind w:left="0"/>
              <w:rPr>
                <w:sz w:val="13"/>
                <w:szCs w:val="13"/>
              </w:rPr>
            </w:pPr>
            <w:r w:rsidRPr="006B1B72">
              <w:rPr>
                <w:b/>
                <w:color w:val="4F5650"/>
                <w:spacing w:val="0"/>
                <w:w w:val="99"/>
                <w:sz w:val="13"/>
                <w:szCs w:val="13"/>
                <w:lang w:eastAsia="en-GB"/>
              </w:rPr>
              <w:t>BMT WBM Brisbane</w:t>
            </w:r>
          </w:p>
        </w:tc>
        <w:tc>
          <w:tcPr>
            <w:tcW w:w="3827" w:type="dxa"/>
          </w:tcPr>
          <w:p w:rsidR="00A83F38" w:rsidRPr="006B1B72" w:rsidRDefault="00546F41" w:rsidP="00430B8C">
            <w:pPr>
              <w:pStyle w:val="Text"/>
              <w:spacing w:before="0" w:line="240" w:lineRule="auto"/>
              <w:ind w:left="33"/>
              <w:rPr>
                <w:b/>
                <w:color w:val="4F5650"/>
                <w:spacing w:val="0"/>
                <w:w w:val="99"/>
                <w:sz w:val="13"/>
                <w:szCs w:val="13"/>
                <w:lang w:eastAsia="en-GB"/>
              </w:rPr>
            </w:pPr>
            <w:r w:rsidRPr="006B1B72">
              <w:rPr>
                <w:b/>
                <w:color w:val="4F5650"/>
                <w:spacing w:val="0"/>
                <w:w w:val="99"/>
                <w:sz w:val="13"/>
                <w:szCs w:val="13"/>
                <w:lang w:eastAsia="en-GB"/>
              </w:rPr>
              <w:t>Level 8, 200</w:t>
            </w:r>
            <w:r w:rsidR="00A83F38" w:rsidRPr="006B1B72">
              <w:rPr>
                <w:b/>
                <w:color w:val="4F5650"/>
                <w:spacing w:val="0"/>
                <w:w w:val="99"/>
                <w:sz w:val="13"/>
                <w:szCs w:val="13"/>
                <w:lang w:eastAsia="en-GB"/>
              </w:rPr>
              <w:t xml:space="preserve"> </w:t>
            </w:r>
            <w:r w:rsidRPr="006B1B72">
              <w:rPr>
                <w:b/>
                <w:color w:val="4F5650"/>
                <w:spacing w:val="0"/>
                <w:w w:val="99"/>
                <w:sz w:val="13"/>
                <w:szCs w:val="13"/>
                <w:lang w:eastAsia="en-GB"/>
              </w:rPr>
              <w:t>Creek</w:t>
            </w:r>
            <w:r w:rsidR="00A83F38" w:rsidRPr="006B1B72">
              <w:rPr>
                <w:b/>
                <w:color w:val="4F5650"/>
                <w:spacing w:val="0"/>
                <w:w w:val="99"/>
                <w:sz w:val="13"/>
                <w:szCs w:val="13"/>
                <w:lang w:eastAsia="en-GB"/>
              </w:rPr>
              <w:t xml:space="preserve"> Street Brisbane  4000</w:t>
            </w:r>
          </w:p>
          <w:p w:rsidR="00A83F38" w:rsidRPr="006B1B72" w:rsidRDefault="00A83F38" w:rsidP="00430B8C">
            <w:pPr>
              <w:pStyle w:val="Text"/>
              <w:spacing w:before="0" w:line="240" w:lineRule="auto"/>
              <w:ind w:left="33"/>
              <w:rPr>
                <w:b/>
                <w:color w:val="4F5650"/>
                <w:spacing w:val="0"/>
                <w:w w:val="99"/>
                <w:sz w:val="13"/>
                <w:szCs w:val="13"/>
                <w:lang w:eastAsia="en-GB"/>
              </w:rPr>
            </w:pPr>
            <w:r w:rsidRPr="006B1B72">
              <w:rPr>
                <w:b/>
                <w:color w:val="4F5650"/>
                <w:spacing w:val="0"/>
                <w:w w:val="99"/>
                <w:sz w:val="13"/>
                <w:szCs w:val="13"/>
                <w:lang w:eastAsia="en-GB"/>
              </w:rPr>
              <w:t>PO Box 203 Spring Hill  QLD  4004</w:t>
            </w:r>
          </w:p>
          <w:p w:rsidR="00A83F38" w:rsidRPr="006B1B72" w:rsidRDefault="00A83F38" w:rsidP="00430B8C">
            <w:pPr>
              <w:pStyle w:val="Text"/>
              <w:spacing w:before="0" w:line="240" w:lineRule="auto"/>
              <w:ind w:left="33"/>
              <w:rPr>
                <w:b/>
                <w:color w:val="4F5650"/>
                <w:spacing w:val="0"/>
                <w:w w:val="99"/>
                <w:sz w:val="13"/>
                <w:szCs w:val="13"/>
                <w:lang w:eastAsia="en-GB"/>
              </w:rPr>
            </w:pPr>
            <w:r w:rsidRPr="006B1B72">
              <w:rPr>
                <w:b/>
                <w:color w:val="4F5650"/>
                <w:spacing w:val="0"/>
                <w:w w:val="99"/>
                <w:sz w:val="13"/>
                <w:szCs w:val="13"/>
                <w:lang w:eastAsia="en-GB"/>
              </w:rPr>
              <w:t>Tel +61 7 3831 6744   Fax +61 7 3832 3627</w:t>
            </w:r>
          </w:p>
          <w:p w:rsidR="00A83F38" w:rsidRPr="006B1B72" w:rsidRDefault="00A83F38" w:rsidP="00430B8C">
            <w:pPr>
              <w:pStyle w:val="Text"/>
              <w:spacing w:before="0" w:line="240" w:lineRule="auto"/>
              <w:ind w:left="33"/>
              <w:rPr>
                <w:b/>
                <w:color w:val="4F5650"/>
                <w:spacing w:val="0"/>
                <w:w w:val="99"/>
                <w:sz w:val="13"/>
                <w:szCs w:val="13"/>
                <w:lang w:eastAsia="en-GB"/>
              </w:rPr>
            </w:pPr>
            <w:r w:rsidRPr="006B1B72">
              <w:rPr>
                <w:b/>
                <w:color w:val="4F5650"/>
                <w:spacing w:val="0"/>
                <w:w w:val="99"/>
                <w:sz w:val="13"/>
                <w:szCs w:val="13"/>
                <w:lang w:eastAsia="en-GB"/>
              </w:rPr>
              <w:t>Email    wbm@wbmpl.com.au</w:t>
            </w:r>
          </w:p>
          <w:p w:rsidR="00A83F38" w:rsidRPr="006B1B72" w:rsidRDefault="00A83F38" w:rsidP="00430B8C">
            <w:pPr>
              <w:pStyle w:val="Text"/>
              <w:spacing w:before="0" w:line="240" w:lineRule="auto"/>
              <w:ind w:left="33"/>
              <w:rPr>
                <w:b/>
                <w:color w:val="4F5650"/>
                <w:spacing w:val="0"/>
                <w:w w:val="99"/>
                <w:sz w:val="13"/>
                <w:szCs w:val="13"/>
                <w:lang w:eastAsia="en-GB"/>
              </w:rPr>
            </w:pPr>
            <w:r w:rsidRPr="006B1B72">
              <w:rPr>
                <w:b/>
                <w:color w:val="4F5650"/>
                <w:spacing w:val="0"/>
                <w:w w:val="99"/>
                <w:sz w:val="13"/>
                <w:szCs w:val="13"/>
                <w:lang w:eastAsia="en-GB"/>
              </w:rPr>
              <w:t>Web      www.wbmpl.com.au</w:t>
            </w:r>
          </w:p>
          <w:p w:rsidR="00A83F38" w:rsidRPr="006B1B72" w:rsidRDefault="00A83F38" w:rsidP="00430B8C">
            <w:pPr>
              <w:pStyle w:val="Text"/>
              <w:spacing w:before="0" w:line="240" w:lineRule="auto"/>
              <w:ind w:left="33"/>
              <w:rPr>
                <w:b/>
                <w:color w:val="4F5650"/>
                <w:spacing w:val="0"/>
                <w:w w:val="99"/>
                <w:sz w:val="13"/>
                <w:szCs w:val="13"/>
                <w:lang w:eastAsia="en-GB"/>
              </w:rPr>
            </w:pPr>
          </w:p>
          <w:p w:rsidR="00A83F38" w:rsidRPr="006B1B72" w:rsidRDefault="00A83F38" w:rsidP="00430B8C">
            <w:pPr>
              <w:pStyle w:val="Text"/>
              <w:spacing w:before="0" w:line="240" w:lineRule="auto"/>
              <w:ind w:left="33"/>
              <w:rPr>
                <w:b/>
                <w:color w:val="4F5650"/>
                <w:spacing w:val="0"/>
                <w:w w:val="99"/>
                <w:sz w:val="13"/>
                <w:szCs w:val="13"/>
                <w:lang w:eastAsia="en-GB"/>
              </w:rPr>
            </w:pPr>
          </w:p>
          <w:p w:rsidR="00A83F38" w:rsidRPr="006B1B72" w:rsidRDefault="00A83F38" w:rsidP="00430B8C">
            <w:pPr>
              <w:pStyle w:val="Text"/>
              <w:spacing w:before="0" w:line="240" w:lineRule="auto"/>
              <w:ind w:left="33"/>
              <w:rPr>
                <w:b/>
                <w:color w:val="4F5650"/>
                <w:spacing w:val="0"/>
                <w:w w:val="99"/>
                <w:sz w:val="13"/>
                <w:szCs w:val="13"/>
                <w:lang w:eastAsia="en-GB"/>
              </w:rPr>
            </w:pPr>
          </w:p>
        </w:tc>
      </w:tr>
      <w:tr w:rsidR="00A83F38" w:rsidRPr="006B1B72">
        <w:tc>
          <w:tcPr>
            <w:tcW w:w="1668" w:type="dxa"/>
          </w:tcPr>
          <w:p w:rsidR="00A83F38" w:rsidRPr="006B1B72" w:rsidRDefault="00A83F38" w:rsidP="00430B8C">
            <w:pPr>
              <w:pStyle w:val="Text"/>
              <w:spacing w:before="0" w:line="240" w:lineRule="auto"/>
              <w:ind w:left="0"/>
              <w:rPr>
                <w:b/>
                <w:color w:val="4F5650"/>
                <w:spacing w:val="0"/>
                <w:w w:val="99"/>
                <w:sz w:val="13"/>
                <w:szCs w:val="13"/>
                <w:lang w:eastAsia="en-GB"/>
              </w:rPr>
            </w:pPr>
            <w:r w:rsidRPr="006B1B72">
              <w:rPr>
                <w:b/>
                <w:color w:val="4F5650"/>
                <w:spacing w:val="0"/>
                <w:w w:val="99"/>
                <w:sz w:val="13"/>
                <w:szCs w:val="13"/>
                <w:lang w:eastAsia="en-GB"/>
              </w:rPr>
              <w:t>BMT WBM Denver</w:t>
            </w:r>
          </w:p>
        </w:tc>
        <w:tc>
          <w:tcPr>
            <w:tcW w:w="3827" w:type="dxa"/>
          </w:tcPr>
          <w:p w:rsidR="00A83F38" w:rsidRPr="006B1B72" w:rsidRDefault="00A83F38" w:rsidP="00430B8C">
            <w:pPr>
              <w:pStyle w:val="Text"/>
              <w:spacing w:before="0" w:line="240" w:lineRule="auto"/>
              <w:ind w:left="33"/>
              <w:rPr>
                <w:b/>
                <w:color w:val="4F5650"/>
                <w:spacing w:val="0"/>
                <w:w w:val="99"/>
                <w:sz w:val="13"/>
                <w:szCs w:val="13"/>
                <w:lang w:eastAsia="en-GB"/>
              </w:rPr>
            </w:pPr>
            <w:r w:rsidRPr="006B1B72">
              <w:rPr>
                <w:b/>
                <w:color w:val="4F5650"/>
                <w:spacing w:val="0"/>
                <w:w w:val="99"/>
                <w:sz w:val="13"/>
                <w:szCs w:val="13"/>
                <w:lang w:eastAsia="en-GB"/>
              </w:rPr>
              <w:t>14 Inverness Drive East, #B132</w:t>
            </w:r>
          </w:p>
          <w:p w:rsidR="00A83F38" w:rsidRPr="006B1B72" w:rsidRDefault="00A83F38" w:rsidP="00430B8C">
            <w:pPr>
              <w:pStyle w:val="Text"/>
              <w:spacing w:before="0" w:line="240" w:lineRule="auto"/>
              <w:ind w:left="33"/>
              <w:rPr>
                <w:b/>
                <w:color w:val="4F5650"/>
                <w:spacing w:val="0"/>
                <w:w w:val="99"/>
                <w:sz w:val="13"/>
                <w:szCs w:val="13"/>
                <w:lang w:eastAsia="en-GB"/>
              </w:rPr>
            </w:pPr>
            <w:r w:rsidRPr="006B1B72">
              <w:rPr>
                <w:b/>
                <w:color w:val="4F5650"/>
                <w:spacing w:val="0"/>
                <w:w w:val="99"/>
                <w:sz w:val="13"/>
                <w:szCs w:val="13"/>
                <w:lang w:eastAsia="en-GB"/>
              </w:rPr>
              <w:t>Englewood Denver Colorado  80112 USA</w:t>
            </w:r>
          </w:p>
          <w:p w:rsidR="00A83F38" w:rsidRPr="006B1B72" w:rsidRDefault="00A83F38" w:rsidP="00430B8C">
            <w:pPr>
              <w:pStyle w:val="Text"/>
              <w:spacing w:before="0" w:line="240" w:lineRule="auto"/>
              <w:ind w:left="33"/>
              <w:rPr>
                <w:b/>
                <w:color w:val="4F5650"/>
                <w:spacing w:val="0"/>
                <w:w w:val="99"/>
                <w:sz w:val="13"/>
                <w:szCs w:val="13"/>
                <w:lang w:eastAsia="en-GB"/>
              </w:rPr>
            </w:pPr>
            <w:r w:rsidRPr="006B1B72">
              <w:rPr>
                <w:b/>
                <w:color w:val="4F5650"/>
                <w:spacing w:val="0"/>
                <w:w w:val="99"/>
                <w:sz w:val="13"/>
                <w:szCs w:val="13"/>
                <w:lang w:eastAsia="en-GB"/>
              </w:rPr>
              <w:t>Tel +1 303 792 9814   Fax +1 303 792 9742</w:t>
            </w:r>
          </w:p>
          <w:p w:rsidR="00A83F38" w:rsidRPr="006B1B72" w:rsidRDefault="00A83F38" w:rsidP="00430B8C">
            <w:pPr>
              <w:pStyle w:val="Text"/>
              <w:spacing w:before="0" w:line="240" w:lineRule="auto"/>
              <w:ind w:left="33"/>
              <w:rPr>
                <w:b/>
                <w:color w:val="4F5650"/>
                <w:spacing w:val="0"/>
                <w:w w:val="99"/>
                <w:sz w:val="13"/>
                <w:szCs w:val="13"/>
                <w:lang w:eastAsia="en-GB"/>
              </w:rPr>
            </w:pPr>
            <w:bookmarkStart w:id="468" w:name="OLE_LINK1"/>
            <w:bookmarkStart w:id="469" w:name="OLE_LINK2"/>
            <w:r w:rsidRPr="006B1B72">
              <w:rPr>
                <w:b/>
                <w:color w:val="4F5650"/>
                <w:spacing w:val="0"/>
                <w:w w:val="99"/>
                <w:sz w:val="13"/>
                <w:szCs w:val="13"/>
                <w:lang w:eastAsia="en-GB"/>
              </w:rPr>
              <w:t>Email    wbmdenver@wbmpl.com.au</w:t>
            </w:r>
          </w:p>
          <w:p w:rsidR="00A83F38" w:rsidRPr="006B1B72" w:rsidRDefault="00A83F38" w:rsidP="00430B8C">
            <w:pPr>
              <w:pStyle w:val="Text"/>
              <w:spacing w:before="0" w:line="240" w:lineRule="auto"/>
              <w:ind w:left="33"/>
              <w:rPr>
                <w:b/>
                <w:color w:val="4F5650"/>
                <w:spacing w:val="0"/>
                <w:w w:val="99"/>
                <w:sz w:val="13"/>
                <w:szCs w:val="13"/>
                <w:lang w:eastAsia="en-GB"/>
              </w:rPr>
            </w:pPr>
            <w:r w:rsidRPr="006B1B72">
              <w:rPr>
                <w:b/>
                <w:color w:val="4F5650"/>
                <w:spacing w:val="0"/>
                <w:w w:val="99"/>
                <w:sz w:val="13"/>
                <w:szCs w:val="13"/>
                <w:lang w:eastAsia="en-GB"/>
              </w:rPr>
              <w:t>Web      www.wbmpl.com.au</w:t>
            </w:r>
          </w:p>
          <w:bookmarkEnd w:id="468"/>
          <w:bookmarkEnd w:id="469"/>
          <w:p w:rsidR="00A83F38" w:rsidRPr="006B1B72" w:rsidRDefault="00A83F38" w:rsidP="00430B8C">
            <w:pPr>
              <w:pStyle w:val="Text"/>
              <w:spacing w:before="0" w:line="240" w:lineRule="auto"/>
              <w:ind w:left="33"/>
              <w:rPr>
                <w:b/>
                <w:color w:val="4F5650"/>
                <w:spacing w:val="0"/>
                <w:w w:val="99"/>
                <w:sz w:val="13"/>
                <w:szCs w:val="13"/>
                <w:lang w:eastAsia="en-GB"/>
              </w:rPr>
            </w:pPr>
          </w:p>
          <w:p w:rsidR="00A83F38" w:rsidRPr="006B1B72" w:rsidRDefault="00A83F38" w:rsidP="00430B8C">
            <w:pPr>
              <w:pStyle w:val="Text"/>
              <w:spacing w:before="0" w:line="240" w:lineRule="auto"/>
              <w:ind w:left="33"/>
              <w:rPr>
                <w:b/>
                <w:color w:val="4F5650"/>
                <w:spacing w:val="0"/>
                <w:w w:val="99"/>
                <w:sz w:val="13"/>
                <w:szCs w:val="13"/>
                <w:lang w:eastAsia="en-GB"/>
              </w:rPr>
            </w:pPr>
          </w:p>
          <w:p w:rsidR="00A83F38" w:rsidRPr="006B1B72" w:rsidRDefault="00A83F38" w:rsidP="00430B8C">
            <w:pPr>
              <w:pStyle w:val="Text"/>
              <w:spacing w:before="0" w:line="240" w:lineRule="auto"/>
              <w:ind w:left="33"/>
              <w:rPr>
                <w:b/>
                <w:color w:val="4F5650"/>
                <w:spacing w:val="0"/>
                <w:w w:val="99"/>
                <w:sz w:val="13"/>
                <w:szCs w:val="13"/>
                <w:lang w:eastAsia="en-GB"/>
              </w:rPr>
            </w:pPr>
          </w:p>
        </w:tc>
      </w:tr>
      <w:tr w:rsidR="00A83F38" w:rsidRPr="006B1B72">
        <w:trPr>
          <w:trHeight w:val="1104"/>
        </w:trPr>
        <w:tc>
          <w:tcPr>
            <w:tcW w:w="1668" w:type="dxa"/>
          </w:tcPr>
          <w:p w:rsidR="00A83F38" w:rsidRPr="006B1B72" w:rsidRDefault="00A83F38" w:rsidP="00430B8C">
            <w:pPr>
              <w:pStyle w:val="Text"/>
              <w:spacing w:before="0" w:line="240" w:lineRule="auto"/>
              <w:ind w:left="0"/>
              <w:rPr>
                <w:b/>
                <w:color w:val="4F5650"/>
                <w:spacing w:val="0"/>
                <w:w w:val="99"/>
                <w:sz w:val="13"/>
                <w:szCs w:val="13"/>
                <w:lang w:eastAsia="en-GB"/>
              </w:rPr>
            </w:pPr>
            <w:r w:rsidRPr="006B1B72">
              <w:rPr>
                <w:b/>
                <w:color w:val="4F5650"/>
                <w:spacing w:val="0"/>
                <w:w w:val="99"/>
                <w:sz w:val="13"/>
                <w:szCs w:val="13"/>
                <w:lang w:eastAsia="en-GB"/>
              </w:rPr>
              <w:t>BMT WBM Mackay</w:t>
            </w:r>
          </w:p>
        </w:tc>
        <w:tc>
          <w:tcPr>
            <w:tcW w:w="3827" w:type="dxa"/>
          </w:tcPr>
          <w:p w:rsidR="00A83F38" w:rsidRPr="006B1B72" w:rsidRDefault="00A83F38" w:rsidP="00430B8C">
            <w:pPr>
              <w:ind w:left="33"/>
              <w:rPr>
                <w:b/>
                <w:color w:val="4F5650"/>
                <w:spacing w:val="0"/>
                <w:w w:val="99"/>
                <w:sz w:val="13"/>
                <w:szCs w:val="13"/>
                <w:lang w:eastAsia="en-GB"/>
              </w:rPr>
            </w:pPr>
            <w:r w:rsidRPr="006B1B72">
              <w:rPr>
                <w:b/>
                <w:color w:val="4F5650"/>
                <w:spacing w:val="0"/>
                <w:w w:val="99"/>
                <w:sz w:val="13"/>
                <w:szCs w:val="13"/>
                <w:lang w:eastAsia="en-GB"/>
              </w:rPr>
              <w:t>Suite 1, 138 Wood Street Mackay  4740</w:t>
            </w:r>
          </w:p>
          <w:p w:rsidR="00A83F38" w:rsidRPr="006B1B72" w:rsidRDefault="00A83F38" w:rsidP="00430B8C">
            <w:pPr>
              <w:ind w:left="33"/>
              <w:rPr>
                <w:b/>
                <w:color w:val="4F5650"/>
                <w:spacing w:val="0"/>
                <w:w w:val="99"/>
                <w:sz w:val="13"/>
                <w:szCs w:val="13"/>
                <w:lang w:eastAsia="en-GB"/>
              </w:rPr>
            </w:pPr>
            <w:r w:rsidRPr="006B1B72">
              <w:rPr>
                <w:b/>
                <w:color w:val="4F5650"/>
                <w:spacing w:val="0"/>
                <w:w w:val="99"/>
                <w:sz w:val="13"/>
                <w:szCs w:val="13"/>
                <w:lang w:eastAsia="en-GB"/>
              </w:rPr>
              <w:t>PO Box 4447 Mackay QLD  4740</w:t>
            </w:r>
          </w:p>
          <w:p w:rsidR="00A83F38" w:rsidRPr="006B1B72" w:rsidRDefault="00A83F38" w:rsidP="00430B8C">
            <w:pPr>
              <w:ind w:left="33"/>
              <w:rPr>
                <w:b/>
                <w:color w:val="4F5650"/>
                <w:spacing w:val="0"/>
                <w:w w:val="99"/>
                <w:sz w:val="13"/>
                <w:szCs w:val="13"/>
                <w:lang w:eastAsia="en-GB"/>
              </w:rPr>
            </w:pPr>
            <w:r w:rsidRPr="006B1B72">
              <w:rPr>
                <w:b/>
                <w:color w:val="4F5650"/>
                <w:spacing w:val="0"/>
                <w:w w:val="99"/>
                <w:sz w:val="13"/>
                <w:szCs w:val="13"/>
                <w:lang w:eastAsia="en-GB"/>
              </w:rPr>
              <w:t>Tel  +61 7 4953 5144    Fax +61 7 4953 5132</w:t>
            </w:r>
          </w:p>
          <w:p w:rsidR="00A83F38" w:rsidRPr="006B1B72" w:rsidRDefault="00A83F38" w:rsidP="00430B8C">
            <w:pPr>
              <w:pStyle w:val="Text"/>
              <w:spacing w:before="0" w:line="240" w:lineRule="auto"/>
              <w:ind w:left="33"/>
              <w:rPr>
                <w:b/>
                <w:color w:val="4F5650"/>
                <w:spacing w:val="0"/>
                <w:w w:val="99"/>
                <w:sz w:val="13"/>
                <w:szCs w:val="13"/>
                <w:lang w:eastAsia="en-GB"/>
              </w:rPr>
            </w:pPr>
            <w:r w:rsidRPr="006B1B72">
              <w:rPr>
                <w:b/>
                <w:color w:val="4F5650"/>
                <w:spacing w:val="0"/>
                <w:w w:val="99"/>
                <w:sz w:val="13"/>
                <w:szCs w:val="13"/>
                <w:lang w:eastAsia="en-GB"/>
              </w:rPr>
              <w:t>Email    wbmmackay@wbmpl.com.au</w:t>
            </w:r>
          </w:p>
          <w:p w:rsidR="00A83F38" w:rsidRPr="006B1B72" w:rsidRDefault="00A83F38" w:rsidP="00430B8C">
            <w:pPr>
              <w:pStyle w:val="Text"/>
              <w:spacing w:before="0" w:line="240" w:lineRule="auto"/>
              <w:ind w:left="33"/>
              <w:rPr>
                <w:b/>
                <w:color w:val="4F5650"/>
                <w:spacing w:val="0"/>
                <w:w w:val="99"/>
                <w:sz w:val="13"/>
                <w:szCs w:val="13"/>
                <w:lang w:eastAsia="en-GB"/>
              </w:rPr>
            </w:pPr>
            <w:r w:rsidRPr="006B1B72">
              <w:rPr>
                <w:b/>
                <w:color w:val="4F5650"/>
                <w:spacing w:val="0"/>
                <w:w w:val="99"/>
                <w:sz w:val="13"/>
                <w:szCs w:val="13"/>
                <w:lang w:eastAsia="en-GB"/>
              </w:rPr>
              <w:t>Web      www.wbmpl.com.au</w:t>
            </w:r>
          </w:p>
          <w:p w:rsidR="00A83F38" w:rsidRPr="006B1B72" w:rsidRDefault="00A83F38" w:rsidP="00430B8C">
            <w:pPr>
              <w:ind w:left="33"/>
              <w:rPr>
                <w:b/>
                <w:color w:val="4F5650"/>
                <w:spacing w:val="0"/>
                <w:w w:val="99"/>
                <w:sz w:val="13"/>
                <w:szCs w:val="13"/>
                <w:lang w:eastAsia="en-GB"/>
              </w:rPr>
            </w:pPr>
          </w:p>
          <w:p w:rsidR="00A83F38" w:rsidRPr="006B1B72" w:rsidRDefault="00A83F38" w:rsidP="00430B8C">
            <w:pPr>
              <w:ind w:left="33"/>
              <w:rPr>
                <w:b/>
                <w:color w:val="4F5650"/>
                <w:spacing w:val="0"/>
                <w:w w:val="99"/>
                <w:sz w:val="13"/>
                <w:szCs w:val="13"/>
                <w:lang w:eastAsia="en-GB"/>
              </w:rPr>
            </w:pPr>
          </w:p>
          <w:p w:rsidR="00A83F38" w:rsidRPr="006B1B72" w:rsidRDefault="00A83F38" w:rsidP="00430B8C">
            <w:pPr>
              <w:ind w:left="33"/>
              <w:rPr>
                <w:b/>
                <w:color w:val="4F5650"/>
                <w:spacing w:val="0"/>
                <w:w w:val="99"/>
                <w:sz w:val="13"/>
                <w:szCs w:val="13"/>
                <w:lang w:eastAsia="en-GB"/>
              </w:rPr>
            </w:pPr>
          </w:p>
        </w:tc>
      </w:tr>
      <w:tr w:rsidR="00A83F38" w:rsidRPr="006B1B72">
        <w:trPr>
          <w:trHeight w:val="1104"/>
        </w:trPr>
        <w:tc>
          <w:tcPr>
            <w:tcW w:w="1668" w:type="dxa"/>
          </w:tcPr>
          <w:p w:rsidR="00A83F38" w:rsidRPr="006B1B72" w:rsidRDefault="00A83F38" w:rsidP="00430B8C">
            <w:pPr>
              <w:pStyle w:val="Text"/>
              <w:spacing w:before="0" w:line="240" w:lineRule="auto"/>
              <w:ind w:left="0"/>
              <w:rPr>
                <w:b/>
                <w:color w:val="4F5650"/>
                <w:spacing w:val="0"/>
                <w:w w:val="99"/>
                <w:sz w:val="13"/>
                <w:szCs w:val="13"/>
                <w:lang w:eastAsia="en-GB"/>
              </w:rPr>
            </w:pPr>
            <w:r w:rsidRPr="006B1B72">
              <w:rPr>
                <w:b/>
                <w:color w:val="4F5650"/>
                <w:spacing w:val="0"/>
                <w:w w:val="99"/>
                <w:sz w:val="13"/>
                <w:szCs w:val="13"/>
                <w:lang w:eastAsia="en-GB"/>
              </w:rPr>
              <w:t>BMT WBM Melbourne</w:t>
            </w:r>
          </w:p>
        </w:tc>
        <w:tc>
          <w:tcPr>
            <w:tcW w:w="3827" w:type="dxa"/>
          </w:tcPr>
          <w:p w:rsidR="00A83F38" w:rsidRPr="006B1B72" w:rsidRDefault="00A83F38" w:rsidP="00430B8C">
            <w:pPr>
              <w:pStyle w:val="Text"/>
              <w:spacing w:before="0" w:line="240" w:lineRule="auto"/>
              <w:ind w:left="33"/>
              <w:rPr>
                <w:b/>
                <w:color w:val="4F5650"/>
                <w:spacing w:val="0"/>
                <w:w w:val="99"/>
                <w:sz w:val="13"/>
                <w:szCs w:val="13"/>
                <w:lang w:eastAsia="en-GB"/>
              </w:rPr>
            </w:pPr>
            <w:r w:rsidRPr="006B1B72">
              <w:rPr>
                <w:b/>
                <w:color w:val="4F5650"/>
                <w:spacing w:val="0"/>
                <w:w w:val="99"/>
                <w:sz w:val="13"/>
                <w:szCs w:val="13"/>
                <w:lang w:eastAsia="en-GB"/>
              </w:rPr>
              <w:t>Level 5, 99 King Street Melbourne  3000</w:t>
            </w:r>
          </w:p>
          <w:p w:rsidR="00A83F38" w:rsidRPr="006B1B72" w:rsidRDefault="00A83F38" w:rsidP="00430B8C">
            <w:pPr>
              <w:pStyle w:val="Text"/>
              <w:spacing w:before="0" w:line="240" w:lineRule="auto"/>
              <w:ind w:left="33"/>
              <w:rPr>
                <w:b/>
                <w:color w:val="4F5650"/>
                <w:spacing w:val="0"/>
                <w:w w:val="99"/>
                <w:sz w:val="13"/>
                <w:szCs w:val="13"/>
                <w:lang w:eastAsia="en-GB"/>
              </w:rPr>
            </w:pPr>
            <w:r w:rsidRPr="006B1B72">
              <w:rPr>
                <w:b/>
                <w:color w:val="4F5650"/>
                <w:spacing w:val="0"/>
                <w:w w:val="99"/>
                <w:sz w:val="13"/>
                <w:szCs w:val="13"/>
                <w:lang w:eastAsia="en-GB"/>
              </w:rPr>
              <w:t>PO Box 604 Collins Street West  VIC  8007</w:t>
            </w:r>
          </w:p>
          <w:p w:rsidR="00A83F38" w:rsidRPr="006B1B72" w:rsidRDefault="00A83F38" w:rsidP="00430B8C">
            <w:pPr>
              <w:pStyle w:val="Text"/>
              <w:spacing w:before="0" w:line="240" w:lineRule="auto"/>
              <w:ind w:left="33"/>
              <w:rPr>
                <w:b/>
                <w:color w:val="4F5650"/>
                <w:spacing w:val="0"/>
                <w:w w:val="99"/>
                <w:sz w:val="13"/>
                <w:szCs w:val="13"/>
                <w:lang w:eastAsia="en-GB"/>
              </w:rPr>
            </w:pPr>
            <w:r w:rsidRPr="006B1B72">
              <w:rPr>
                <w:b/>
                <w:color w:val="4F5650"/>
                <w:spacing w:val="0"/>
                <w:w w:val="99"/>
                <w:sz w:val="13"/>
                <w:szCs w:val="13"/>
                <w:lang w:eastAsia="en-GB"/>
              </w:rPr>
              <w:t>Tel +61 3 8620 6100   Fax  +61 3 8620 6105</w:t>
            </w:r>
          </w:p>
          <w:p w:rsidR="00A83F38" w:rsidRPr="006B1B72" w:rsidRDefault="00A83F38" w:rsidP="00430B8C">
            <w:pPr>
              <w:pStyle w:val="Text"/>
              <w:spacing w:before="0" w:line="240" w:lineRule="auto"/>
              <w:ind w:left="33"/>
              <w:rPr>
                <w:b/>
                <w:color w:val="4F5650"/>
                <w:spacing w:val="0"/>
                <w:w w:val="99"/>
                <w:sz w:val="13"/>
                <w:szCs w:val="13"/>
                <w:lang w:eastAsia="en-GB"/>
              </w:rPr>
            </w:pPr>
            <w:r w:rsidRPr="006B1B72">
              <w:rPr>
                <w:b/>
                <w:color w:val="4F5650"/>
                <w:spacing w:val="0"/>
                <w:w w:val="99"/>
                <w:sz w:val="13"/>
                <w:szCs w:val="13"/>
                <w:lang w:eastAsia="en-GB"/>
              </w:rPr>
              <w:t>Email    wbmmelbourne@wbmpl.com.au</w:t>
            </w:r>
          </w:p>
          <w:p w:rsidR="00A83F38" w:rsidRPr="006B1B72" w:rsidRDefault="00A83F38" w:rsidP="00430B8C">
            <w:pPr>
              <w:pStyle w:val="Text"/>
              <w:spacing w:before="0" w:line="240" w:lineRule="auto"/>
              <w:ind w:left="33"/>
              <w:rPr>
                <w:b/>
                <w:color w:val="4F5650"/>
                <w:spacing w:val="0"/>
                <w:w w:val="99"/>
                <w:sz w:val="13"/>
                <w:szCs w:val="13"/>
                <w:lang w:eastAsia="en-GB"/>
              </w:rPr>
            </w:pPr>
            <w:r w:rsidRPr="006B1B72">
              <w:rPr>
                <w:b/>
                <w:color w:val="4F5650"/>
                <w:spacing w:val="0"/>
                <w:w w:val="99"/>
                <w:sz w:val="13"/>
                <w:szCs w:val="13"/>
                <w:lang w:eastAsia="en-GB"/>
              </w:rPr>
              <w:t>Web      www.wbmpl.com.au</w:t>
            </w:r>
          </w:p>
          <w:p w:rsidR="00A83F38" w:rsidRPr="006B1B72" w:rsidRDefault="00A83F38" w:rsidP="00430B8C">
            <w:pPr>
              <w:pStyle w:val="Text"/>
              <w:spacing w:before="0" w:line="240" w:lineRule="auto"/>
              <w:ind w:left="33"/>
              <w:rPr>
                <w:b/>
                <w:color w:val="4F5650"/>
                <w:spacing w:val="0"/>
                <w:w w:val="99"/>
                <w:sz w:val="13"/>
                <w:szCs w:val="13"/>
                <w:lang w:eastAsia="en-GB"/>
              </w:rPr>
            </w:pPr>
          </w:p>
          <w:p w:rsidR="00A83F38" w:rsidRPr="006B1B72" w:rsidRDefault="00A83F38" w:rsidP="00430B8C">
            <w:pPr>
              <w:pStyle w:val="Text"/>
              <w:spacing w:before="0" w:line="240" w:lineRule="auto"/>
              <w:ind w:left="33"/>
              <w:rPr>
                <w:b/>
                <w:color w:val="4F5650"/>
                <w:spacing w:val="0"/>
                <w:w w:val="99"/>
                <w:sz w:val="13"/>
                <w:szCs w:val="13"/>
                <w:lang w:eastAsia="en-GB"/>
              </w:rPr>
            </w:pPr>
          </w:p>
          <w:p w:rsidR="00A83F38" w:rsidRPr="006B1B72" w:rsidRDefault="00A83F38" w:rsidP="00430B8C">
            <w:pPr>
              <w:pStyle w:val="Text"/>
              <w:spacing w:before="0" w:line="240" w:lineRule="auto"/>
              <w:ind w:left="33"/>
              <w:rPr>
                <w:b/>
                <w:color w:val="4F5650"/>
                <w:spacing w:val="0"/>
                <w:w w:val="99"/>
                <w:sz w:val="13"/>
                <w:szCs w:val="13"/>
                <w:lang w:eastAsia="en-GB"/>
              </w:rPr>
            </w:pPr>
          </w:p>
        </w:tc>
      </w:tr>
      <w:tr w:rsidR="00A83F38" w:rsidRPr="006B1B72">
        <w:tc>
          <w:tcPr>
            <w:tcW w:w="1668" w:type="dxa"/>
          </w:tcPr>
          <w:p w:rsidR="00A83F38" w:rsidRPr="006B1B72" w:rsidRDefault="00A83F38" w:rsidP="00430B8C">
            <w:pPr>
              <w:pStyle w:val="Text"/>
              <w:spacing w:before="0" w:line="240" w:lineRule="auto"/>
              <w:ind w:left="0"/>
              <w:rPr>
                <w:b/>
                <w:color w:val="4F5650"/>
                <w:spacing w:val="0"/>
                <w:w w:val="99"/>
                <w:sz w:val="13"/>
                <w:szCs w:val="13"/>
                <w:lang w:eastAsia="en-GB"/>
              </w:rPr>
            </w:pPr>
            <w:r w:rsidRPr="006B1B72">
              <w:rPr>
                <w:b/>
                <w:color w:val="4F5650"/>
                <w:spacing w:val="0"/>
                <w:w w:val="99"/>
                <w:sz w:val="13"/>
                <w:szCs w:val="13"/>
                <w:lang w:eastAsia="en-GB"/>
              </w:rPr>
              <w:t>BMT WBM Newcastle</w:t>
            </w:r>
          </w:p>
        </w:tc>
        <w:tc>
          <w:tcPr>
            <w:tcW w:w="3827" w:type="dxa"/>
          </w:tcPr>
          <w:p w:rsidR="00A83F38" w:rsidRPr="006B1B72" w:rsidRDefault="00A83F38" w:rsidP="00430B8C">
            <w:pPr>
              <w:ind w:left="33"/>
              <w:rPr>
                <w:b/>
                <w:color w:val="4F5650"/>
                <w:spacing w:val="0"/>
                <w:w w:val="99"/>
                <w:sz w:val="13"/>
                <w:szCs w:val="13"/>
                <w:lang w:eastAsia="en-GB"/>
              </w:rPr>
            </w:pPr>
            <w:r w:rsidRPr="006B1B72">
              <w:rPr>
                <w:b/>
                <w:color w:val="4F5650"/>
                <w:spacing w:val="0"/>
                <w:w w:val="99"/>
                <w:sz w:val="13"/>
                <w:szCs w:val="13"/>
                <w:lang w:eastAsia="en-GB"/>
              </w:rPr>
              <w:t>126 Belford Street Broadmeadow 2292</w:t>
            </w:r>
          </w:p>
          <w:p w:rsidR="00A83F38" w:rsidRPr="006B1B72" w:rsidRDefault="00A83F38" w:rsidP="00430B8C">
            <w:pPr>
              <w:ind w:left="33"/>
              <w:rPr>
                <w:b/>
                <w:color w:val="4F5650"/>
                <w:spacing w:val="0"/>
                <w:w w:val="99"/>
                <w:sz w:val="13"/>
                <w:szCs w:val="13"/>
                <w:lang w:eastAsia="en-GB"/>
              </w:rPr>
            </w:pPr>
            <w:r w:rsidRPr="006B1B72">
              <w:rPr>
                <w:b/>
                <w:color w:val="4F5650"/>
                <w:spacing w:val="0"/>
                <w:w w:val="99"/>
                <w:sz w:val="13"/>
                <w:szCs w:val="13"/>
                <w:lang w:eastAsia="en-GB"/>
              </w:rPr>
              <w:t>PO Box 266  Broadmeadow  NSW  2292</w:t>
            </w:r>
          </w:p>
          <w:p w:rsidR="00A83F38" w:rsidRPr="006B1B72" w:rsidRDefault="00A83F38" w:rsidP="00430B8C">
            <w:pPr>
              <w:ind w:left="33"/>
              <w:rPr>
                <w:b/>
                <w:color w:val="4F5650"/>
                <w:spacing w:val="0"/>
                <w:w w:val="99"/>
                <w:sz w:val="13"/>
                <w:szCs w:val="13"/>
                <w:lang w:eastAsia="en-GB"/>
              </w:rPr>
            </w:pPr>
            <w:r w:rsidRPr="006B1B72">
              <w:rPr>
                <w:b/>
                <w:color w:val="4F5650"/>
                <w:spacing w:val="0"/>
                <w:w w:val="99"/>
                <w:sz w:val="13"/>
                <w:szCs w:val="13"/>
                <w:lang w:eastAsia="en-GB"/>
              </w:rPr>
              <w:t>Tel  +61 2 4940 8882   Fax +61 2 4940 8887</w:t>
            </w:r>
          </w:p>
          <w:p w:rsidR="00A83F38" w:rsidRPr="006B1B72" w:rsidRDefault="00A83F38" w:rsidP="00430B8C">
            <w:pPr>
              <w:pStyle w:val="Text"/>
              <w:spacing w:before="0" w:line="240" w:lineRule="auto"/>
              <w:ind w:left="33"/>
              <w:rPr>
                <w:b/>
                <w:color w:val="4F5650"/>
                <w:spacing w:val="0"/>
                <w:w w:val="99"/>
                <w:sz w:val="13"/>
                <w:szCs w:val="13"/>
                <w:lang w:eastAsia="en-GB"/>
              </w:rPr>
            </w:pPr>
            <w:r w:rsidRPr="006B1B72">
              <w:rPr>
                <w:b/>
                <w:color w:val="4F5650"/>
                <w:spacing w:val="0"/>
                <w:w w:val="99"/>
                <w:sz w:val="13"/>
                <w:szCs w:val="13"/>
                <w:lang w:eastAsia="en-GB"/>
              </w:rPr>
              <w:t>Email    wbmnewcastle@wbmpl.com.au</w:t>
            </w:r>
          </w:p>
          <w:p w:rsidR="00A83F38" w:rsidRPr="006B1B72" w:rsidRDefault="00A83F38" w:rsidP="00430B8C">
            <w:pPr>
              <w:pStyle w:val="Text"/>
              <w:spacing w:before="0" w:line="240" w:lineRule="auto"/>
              <w:ind w:left="33"/>
              <w:rPr>
                <w:b/>
                <w:color w:val="4F5650"/>
                <w:spacing w:val="0"/>
                <w:w w:val="99"/>
                <w:sz w:val="13"/>
                <w:szCs w:val="13"/>
                <w:lang w:eastAsia="en-GB"/>
              </w:rPr>
            </w:pPr>
            <w:r w:rsidRPr="006B1B72">
              <w:rPr>
                <w:b/>
                <w:color w:val="4F5650"/>
                <w:spacing w:val="0"/>
                <w:w w:val="99"/>
                <w:sz w:val="13"/>
                <w:szCs w:val="13"/>
                <w:lang w:eastAsia="en-GB"/>
              </w:rPr>
              <w:t>Web      www.wbmpl.com.au</w:t>
            </w:r>
          </w:p>
          <w:p w:rsidR="00A83F38" w:rsidRPr="006B1B72" w:rsidRDefault="00A83F38" w:rsidP="00430B8C">
            <w:pPr>
              <w:ind w:left="33"/>
              <w:rPr>
                <w:b/>
                <w:color w:val="4F5650"/>
                <w:spacing w:val="0"/>
                <w:w w:val="99"/>
                <w:sz w:val="13"/>
                <w:szCs w:val="13"/>
                <w:lang w:eastAsia="en-GB"/>
              </w:rPr>
            </w:pPr>
          </w:p>
          <w:p w:rsidR="00A83F38" w:rsidRPr="006B1B72" w:rsidRDefault="00A83F38" w:rsidP="00430B8C">
            <w:pPr>
              <w:ind w:left="33"/>
              <w:rPr>
                <w:b/>
                <w:color w:val="4F5650"/>
                <w:spacing w:val="0"/>
                <w:w w:val="99"/>
                <w:sz w:val="13"/>
                <w:szCs w:val="13"/>
                <w:lang w:eastAsia="en-GB"/>
              </w:rPr>
            </w:pPr>
          </w:p>
          <w:p w:rsidR="00A83F38" w:rsidRPr="006B1B72" w:rsidRDefault="00A83F38" w:rsidP="00430B8C">
            <w:pPr>
              <w:ind w:left="33"/>
              <w:rPr>
                <w:b/>
                <w:color w:val="4F5650"/>
                <w:spacing w:val="0"/>
                <w:w w:val="99"/>
                <w:sz w:val="13"/>
                <w:szCs w:val="13"/>
                <w:lang w:eastAsia="en-GB"/>
              </w:rPr>
            </w:pPr>
          </w:p>
        </w:tc>
      </w:tr>
      <w:tr w:rsidR="00A83F38" w:rsidRPr="006B1B72">
        <w:tc>
          <w:tcPr>
            <w:tcW w:w="1668" w:type="dxa"/>
          </w:tcPr>
          <w:p w:rsidR="00A83F38" w:rsidRPr="006B1B72" w:rsidRDefault="00A83F38" w:rsidP="00430B8C">
            <w:pPr>
              <w:pStyle w:val="Text"/>
              <w:spacing w:before="0" w:line="240" w:lineRule="auto"/>
              <w:ind w:left="0"/>
              <w:rPr>
                <w:b/>
                <w:color w:val="4F5650"/>
                <w:spacing w:val="0"/>
                <w:w w:val="99"/>
                <w:sz w:val="13"/>
                <w:szCs w:val="13"/>
                <w:lang w:eastAsia="en-GB"/>
              </w:rPr>
            </w:pPr>
            <w:r w:rsidRPr="006B1B72">
              <w:rPr>
                <w:b/>
                <w:color w:val="4F5650"/>
                <w:spacing w:val="0"/>
                <w:w w:val="99"/>
                <w:sz w:val="13"/>
                <w:szCs w:val="13"/>
                <w:lang w:eastAsia="en-GB"/>
              </w:rPr>
              <w:t>BMT WBM Perth</w:t>
            </w:r>
          </w:p>
        </w:tc>
        <w:tc>
          <w:tcPr>
            <w:tcW w:w="3827" w:type="dxa"/>
          </w:tcPr>
          <w:p w:rsidR="00A83F38" w:rsidRPr="006B1B72" w:rsidRDefault="00A83F38" w:rsidP="00430B8C">
            <w:pPr>
              <w:ind w:left="33"/>
              <w:rPr>
                <w:b/>
                <w:color w:val="4F5650"/>
                <w:spacing w:val="0"/>
                <w:w w:val="99"/>
                <w:sz w:val="13"/>
                <w:szCs w:val="13"/>
                <w:lang w:eastAsia="en-GB"/>
              </w:rPr>
            </w:pPr>
            <w:r w:rsidRPr="006B1B72">
              <w:rPr>
                <w:b/>
                <w:color w:val="4F5650"/>
                <w:spacing w:val="0"/>
                <w:w w:val="99"/>
                <w:sz w:val="13"/>
                <w:szCs w:val="13"/>
                <w:lang w:eastAsia="en-GB"/>
              </w:rPr>
              <w:t>1 Brodie Hall Drive Technology Park  Bentley  6102</w:t>
            </w:r>
          </w:p>
          <w:p w:rsidR="00A83F38" w:rsidRPr="006B1B72" w:rsidRDefault="00A83F38" w:rsidP="00430B8C">
            <w:pPr>
              <w:ind w:left="33"/>
              <w:rPr>
                <w:b/>
                <w:color w:val="4F5650"/>
                <w:spacing w:val="0"/>
                <w:w w:val="99"/>
                <w:sz w:val="13"/>
                <w:szCs w:val="13"/>
                <w:lang w:eastAsia="en-GB"/>
              </w:rPr>
            </w:pPr>
            <w:r w:rsidRPr="006B1B72">
              <w:rPr>
                <w:b/>
                <w:color w:val="4F5650"/>
                <w:spacing w:val="0"/>
                <w:w w:val="99"/>
                <w:sz w:val="13"/>
                <w:szCs w:val="13"/>
                <w:lang w:eastAsia="en-GB"/>
              </w:rPr>
              <w:t>Tel  +61 8 9328 2029   Fax +61 8 9486 7588</w:t>
            </w:r>
          </w:p>
          <w:p w:rsidR="00A83F38" w:rsidRPr="006B1B72" w:rsidRDefault="00A83F38" w:rsidP="00430B8C">
            <w:pPr>
              <w:pStyle w:val="Text"/>
              <w:spacing w:before="0" w:line="240" w:lineRule="auto"/>
              <w:ind w:left="33"/>
              <w:rPr>
                <w:b/>
                <w:color w:val="4F5650"/>
                <w:spacing w:val="0"/>
                <w:w w:val="99"/>
                <w:sz w:val="13"/>
                <w:szCs w:val="13"/>
                <w:lang w:eastAsia="en-GB"/>
              </w:rPr>
            </w:pPr>
            <w:r w:rsidRPr="006B1B72">
              <w:rPr>
                <w:b/>
                <w:color w:val="4F5650"/>
                <w:spacing w:val="0"/>
                <w:w w:val="99"/>
                <w:sz w:val="13"/>
                <w:szCs w:val="13"/>
                <w:lang w:eastAsia="en-GB"/>
              </w:rPr>
              <w:t>Email    wbmperth@wbmpl.com.au</w:t>
            </w:r>
          </w:p>
          <w:p w:rsidR="00A83F38" w:rsidRPr="006B1B72" w:rsidRDefault="00A83F38" w:rsidP="00430B8C">
            <w:pPr>
              <w:pStyle w:val="Text"/>
              <w:spacing w:before="0" w:line="240" w:lineRule="auto"/>
              <w:ind w:left="33"/>
              <w:rPr>
                <w:b/>
                <w:color w:val="4F5650"/>
                <w:spacing w:val="0"/>
                <w:w w:val="99"/>
                <w:sz w:val="13"/>
                <w:szCs w:val="13"/>
                <w:lang w:eastAsia="en-GB"/>
              </w:rPr>
            </w:pPr>
            <w:r w:rsidRPr="006B1B72">
              <w:rPr>
                <w:b/>
                <w:color w:val="4F5650"/>
                <w:spacing w:val="0"/>
                <w:w w:val="99"/>
                <w:sz w:val="13"/>
                <w:szCs w:val="13"/>
                <w:lang w:eastAsia="en-GB"/>
              </w:rPr>
              <w:t>Web      www.wbmpl.com.au</w:t>
            </w:r>
          </w:p>
          <w:p w:rsidR="00A83F38" w:rsidRPr="006B1B72" w:rsidRDefault="00A83F38" w:rsidP="00430B8C">
            <w:pPr>
              <w:ind w:left="33"/>
              <w:rPr>
                <w:b/>
                <w:color w:val="4F5650"/>
                <w:spacing w:val="0"/>
                <w:w w:val="99"/>
                <w:sz w:val="13"/>
                <w:szCs w:val="13"/>
                <w:lang w:eastAsia="en-GB"/>
              </w:rPr>
            </w:pPr>
          </w:p>
          <w:p w:rsidR="00A83F38" w:rsidRPr="006B1B72" w:rsidRDefault="00A83F38" w:rsidP="00430B8C">
            <w:pPr>
              <w:ind w:left="33"/>
              <w:rPr>
                <w:b/>
                <w:color w:val="4F5650"/>
                <w:spacing w:val="0"/>
                <w:w w:val="99"/>
                <w:sz w:val="13"/>
                <w:szCs w:val="13"/>
                <w:lang w:eastAsia="en-GB"/>
              </w:rPr>
            </w:pPr>
          </w:p>
          <w:p w:rsidR="00A83F38" w:rsidRPr="006B1B72" w:rsidRDefault="00A83F38" w:rsidP="00430B8C">
            <w:pPr>
              <w:ind w:left="33"/>
              <w:rPr>
                <w:b/>
                <w:color w:val="4F5650"/>
                <w:spacing w:val="0"/>
                <w:w w:val="99"/>
                <w:sz w:val="13"/>
                <w:szCs w:val="13"/>
                <w:lang w:eastAsia="en-GB"/>
              </w:rPr>
            </w:pPr>
          </w:p>
        </w:tc>
      </w:tr>
      <w:tr w:rsidR="00A83F38" w:rsidRPr="006B1B72">
        <w:tc>
          <w:tcPr>
            <w:tcW w:w="1668" w:type="dxa"/>
          </w:tcPr>
          <w:p w:rsidR="00A83F38" w:rsidRPr="006B1B72" w:rsidRDefault="00A83F38" w:rsidP="00430B8C">
            <w:pPr>
              <w:pStyle w:val="Text"/>
              <w:spacing w:before="0" w:line="240" w:lineRule="auto"/>
              <w:ind w:left="0"/>
              <w:rPr>
                <w:b/>
                <w:color w:val="4F5650"/>
                <w:spacing w:val="0"/>
                <w:w w:val="99"/>
                <w:sz w:val="13"/>
                <w:szCs w:val="13"/>
                <w:lang w:eastAsia="en-GB"/>
              </w:rPr>
            </w:pPr>
            <w:r w:rsidRPr="006B1B72">
              <w:rPr>
                <w:b/>
                <w:color w:val="4F5650"/>
                <w:spacing w:val="0"/>
                <w:w w:val="99"/>
                <w:sz w:val="13"/>
                <w:szCs w:val="13"/>
                <w:lang w:eastAsia="en-GB"/>
              </w:rPr>
              <w:t>BMT WBM Sydney</w:t>
            </w:r>
          </w:p>
        </w:tc>
        <w:tc>
          <w:tcPr>
            <w:tcW w:w="3827" w:type="dxa"/>
          </w:tcPr>
          <w:p w:rsidR="00A83F38" w:rsidRPr="006B1B72" w:rsidRDefault="00A83F38" w:rsidP="00430B8C">
            <w:pPr>
              <w:ind w:left="33"/>
              <w:rPr>
                <w:b/>
                <w:color w:val="4F5650"/>
                <w:spacing w:val="0"/>
                <w:w w:val="99"/>
                <w:sz w:val="13"/>
                <w:szCs w:val="13"/>
                <w:lang w:eastAsia="en-GB"/>
              </w:rPr>
            </w:pPr>
            <w:r w:rsidRPr="006B1B72">
              <w:rPr>
                <w:b/>
                <w:color w:val="4F5650"/>
                <w:spacing w:val="0"/>
                <w:w w:val="99"/>
                <w:sz w:val="13"/>
                <w:szCs w:val="13"/>
                <w:lang w:eastAsia="en-GB"/>
              </w:rPr>
              <w:t>Suite 206, 118 Great North Road Five Dock  2046</w:t>
            </w:r>
          </w:p>
          <w:p w:rsidR="00A83F38" w:rsidRPr="006B1B72" w:rsidRDefault="00A83F38" w:rsidP="00430B8C">
            <w:pPr>
              <w:ind w:left="33"/>
              <w:rPr>
                <w:b/>
                <w:color w:val="4F5650"/>
                <w:spacing w:val="0"/>
                <w:w w:val="99"/>
                <w:sz w:val="13"/>
                <w:szCs w:val="13"/>
                <w:lang w:eastAsia="en-GB"/>
              </w:rPr>
            </w:pPr>
            <w:r w:rsidRPr="006B1B72">
              <w:rPr>
                <w:b/>
                <w:color w:val="4F5650"/>
                <w:spacing w:val="0"/>
                <w:w w:val="99"/>
                <w:sz w:val="13"/>
                <w:szCs w:val="13"/>
                <w:lang w:eastAsia="en-GB"/>
              </w:rPr>
              <w:t>PO Box 129 Five Dock  NSW  2046</w:t>
            </w:r>
          </w:p>
          <w:p w:rsidR="00A83F38" w:rsidRPr="006B1B72" w:rsidRDefault="00A83F38" w:rsidP="00430B8C">
            <w:pPr>
              <w:ind w:left="33"/>
              <w:rPr>
                <w:b/>
                <w:color w:val="4F5650"/>
                <w:spacing w:val="0"/>
                <w:w w:val="99"/>
                <w:sz w:val="13"/>
                <w:szCs w:val="13"/>
                <w:lang w:eastAsia="en-GB"/>
              </w:rPr>
            </w:pPr>
            <w:r w:rsidRPr="006B1B72">
              <w:rPr>
                <w:b/>
                <w:color w:val="4F5650"/>
                <w:spacing w:val="0"/>
                <w:w w:val="99"/>
                <w:sz w:val="13"/>
                <w:szCs w:val="13"/>
                <w:lang w:eastAsia="en-GB"/>
              </w:rPr>
              <w:t>Tel  +61 2 9713 4836   Fax +61 2 9713 4890</w:t>
            </w:r>
          </w:p>
          <w:p w:rsidR="00A83F38" w:rsidRPr="006B1B72" w:rsidRDefault="00A83F38" w:rsidP="00430B8C">
            <w:pPr>
              <w:pStyle w:val="Text"/>
              <w:spacing w:before="0" w:line="240" w:lineRule="auto"/>
              <w:ind w:left="33"/>
              <w:rPr>
                <w:b/>
                <w:color w:val="4F5650"/>
                <w:spacing w:val="0"/>
                <w:w w:val="99"/>
                <w:sz w:val="13"/>
                <w:szCs w:val="13"/>
                <w:lang w:eastAsia="en-GB"/>
              </w:rPr>
            </w:pPr>
            <w:r w:rsidRPr="006B1B72">
              <w:rPr>
                <w:b/>
                <w:color w:val="4F5650"/>
                <w:spacing w:val="0"/>
                <w:w w:val="99"/>
                <w:sz w:val="13"/>
                <w:szCs w:val="13"/>
                <w:lang w:eastAsia="en-GB"/>
              </w:rPr>
              <w:t>Email    wbmsydney@wbmpl.com.au</w:t>
            </w:r>
          </w:p>
          <w:p w:rsidR="00A83F38" w:rsidRPr="006B1B72" w:rsidRDefault="00A83F38" w:rsidP="00430B8C">
            <w:pPr>
              <w:pStyle w:val="Text"/>
              <w:spacing w:before="0" w:line="240" w:lineRule="auto"/>
              <w:ind w:left="33"/>
              <w:rPr>
                <w:b/>
                <w:color w:val="4F5650"/>
                <w:spacing w:val="0"/>
                <w:w w:val="99"/>
                <w:sz w:val="13"/>
                <w:szCs w:val="13"/>
                <w:lang w:eastAsia="en-GB"/>
              </w:rPr>
            </w:pPr>
            <w:r w:rsidRPr="006B1B72">
              <w:rPr>
                <w:b/>
                <w:color w:val="4F5650"/>
                <w:spacing w:val="0"/>
                <w:w w:val="99"/>
                <w:sz w:val="13"/>
                <w:szCs w:val="13"/>
                <w:lang w:eastAsia="en-GB"/>
              </w:rPr>
              <w:t>Web      www.wbmpl.com.au</w:t>
            </w:r>
          </w:p>
          <w:p w:rsidR="00A83F38" w:rsidRPr="006B1B72" w:rsidRDefault="00A83F38" w:rsidP="00430B8C">
            <w:pPr>
              <w:ind w:left="33"/>
              <w:rPr>
                <w:b/>
                <w:color w:val="4F5650"/>
                <w:spacing w:val="0"/>
                <w:w w:val="99"/>
                <w:sz w:val="13"/>
                <w:szCs w:val="13"/>
                <w:lang w:eastAsia="en-GB"/>
              </w:rPr>
            </w:pPr>
          </w:p>
          <w:p w:rsidR="00A83F38" w:rsidRPr="006B1B72" w:rsidRDefault="00A83F38" w:rsidP="00430B8C">
            <w:pPr>
              <w:ind w:left="33"/>
              <w:rPr>
                <w:b/>
                <w:color w:val="4F5650"/>
                <w:spacing w:val="0"/>
                <w:w w:val="99"/>
                <w:sz w:val="13"/>
                <w:szCs w:val="13"/>
                <w:lang w:eastAsia="en-GB"/>
              </w:rPr>
            </w:pPr>
          </w:p>
          <w:p w:rsidR="00A83F38" w:rsidRPr="006B1B72" w:rsidRDefault="00A83F38" w:rsidP="00430B8C">
            <w:pPr>
              <w:ind w:left="33"/>
              <w:rPr>
                <w:b/>
                <w:color w:val="4F5650"/>
                <w:spacing w:val="0"/>
                <w:w w:val="99"/>
                <w:sz w:val="13"/>
                <w:szCs w:val="13"/>
                <w:lang w:eastAsia="en-GB"/>
              </w:rPr>
            </w:pPr>
          </w:p>
        </w:tc>
      </w:tr>
      <w:tr w:rsidR="00A83F38" w:rsidRPr="006B1B72">
        <w:tc>
          <w:tcPr>
            <w:tcW w:w="1668" w:type="dxa"/>
          </w:tcPr>
          <w:p w:rsidR="00A83F38" w:rsidRPr="006B1B72" w:rsidRDefault="00A83F38" w:rsidP="00430B8C">
            <w:pPr>
              <w:pStyle w:val="Text"/>
              <w:spacing w:before="0" w:line="240" w:lineRule="auto"/>
              <w:ind w:left="0"/>
              <w:rPr>
                <w:b/>
                <w:color w:val="4F5650"/>
                <w:spacing w:val="0"/>
                <w:w w:val="99"/>
                <w:sz w:val="13"/>
                <w:szCs w:val="13"/>
                <w:lang w:eastAsia="en-GB"/>
              </w:rPr>
            </w:pPr>
            <w:r w:rsidRPr="006B1B72">
              <w:rPr>
                <w:b/>
                <w:color w:val="4F5650"/>
                <w:spacing w:val="0"/>
                <w:w w:val="99"/>
                <w:sz w:val="13"/>
                <w:szCs w:val="13"/>
                <w:lang w:eastAsia="en-GB"/>
              </w:rPr>
              <w:t>BMT WBM Vancouver</w:t>
            </w:r>
          </w:p>
        </w:tc>
        <w:tc>
          <w:tcPr>
            <w:tcW w:w="3827" w:type="dxa"/>
          </w:tcPr>
          <w:p w:rsidR="00A83F38" w:rsidRPr="006B1B72" w:rsidRDefault="00A83F38" w:rsidP="00430B8C">
            <w:pPr>
              <w:pStyle w:val="Text"/>
              <w:spacing w:before="0" w:line="240" w:lineRule="auto"/>
              <w:ind w:left="33"/>
              <w:rPr>
                <w:b/>
                <w:color w:val="4F5650"/>
                <w:spacing w:val="0"/>
                <w:w w:val="99"/>
                <w:sz w:val="13"/>
                <w:szCs w:val="13"/>
                <w:lang w:eastAsia="en-GB"/>
              </w:rPr>
            </w:pPr>
            <w:r w:rsidRPr="006B1B72">
              <w:rPr>
                <w:b/>
                <w:color w:val="4F5650"/>
                <w:spacing w:val="0"/>
                <w:w w:val="99"/>
                <w:sz w:val="13"/>
                <w:szCs w:val="13"/>
                <w:lang w:eastAsia="en-GB"/>
              </w:rPr>
              <w:t>1190 Melville Street  #700 Vancouver</w:t>
            </w:r>
          </w:p>
          <w:p w:rsidR="00A83F38" w:rsidRPr="006B1B72" w:rsidRDefault="00A83F38" w:rsidP="00430B8C">
            <w:pPr>
              <w:pStyle w:val="Text"/>
              <w:spacing w:before="0" w:line="240" w:lineRule="auto"/>
              <w:ind w:left="33"/>
              <w:rPr>
                <w:b/>
                <w:color w:val="4F5650"/>
                <w:spacing w:val="0"/>
                <w:w w:val="99"/>
                <w:sz w:val="13"/>
                <w:szCs w:val="13"/>
                <w:lang w:eastAsia="en-GB"/>
              </w:rPr>
            </w:pPr>
            <w:r w:rsidRPr="006B1B72">
              <w:rPr>
                <w:b/>
                <w:color w:val="4F5650"/>
                <w:spacing w:val="0"/>
                <w:w w:val="99"/>
                <w:sz w:val="13"/>
                <w:szCs w:val="13"/>
                <w:lang w:eastAsia="en-GB"/>
              </w:rPr>
              <w:t>British Columbia V6E 3W1 Canada</w:t>
            </w:r>
          </w:p>
          <w:p w:rsidR="00A83F38" w:rsidRPr="006B1B72" w:rsidRDefault="00A83F38" w:rsidP="00430B8C">
            <w:pPr>
              <w:pStyle w:val="Text"/>
              <w:spacing w:before="0" w:line="240" w:lineRule="auto"/>
              <w:ind w:left="33"/>
              <w:rPr>
                <w:b/>
                <w:color w:val="4F5650"/>
                <w:spacing w:val="0"/>
                <w:w w:val="99"/>
                <w:sz w:val="13"/>
                <w:szCs w:val="13"/>
                <w:lang w:eastAsia="en-GB"/>
              </w:rPr>
            </w:pPr>
            <w:r w:rsidRPr="006B1B72">
              <w:rPr>
                <w:b/>
                <w:color w:val="4F5650"/>
                <w:spacing w:val="0"/>
                <w:w w:val="99"/>
                <w:sz w:val="13"/>
                <w:szCs w:val="13"/>
                <w:lang w:eastAsia="en-GB"/>
              </w:rPr>
              <w:t>Tel +1 604 683 5777   Fax +1 604 608 3232</w:t>
            </w:r>
          </w:p>
          <w:p w:rsidR="00A83F38" w:rsidRPr="006B1B72" w:rsidRDefault="00A83F38" w:rsidP="00430B8C">
            <w:pPr>
              <w:pStyle w:val="Text"/>
              <w:spacing w:before="0" w:line="240" w:lineRule="auto"/>
              <w:ind w:left="33"/>
              <w:rPr>
                <w:b/>
                <w:color w:val="4F5650"/>
                <w:spacing w:val="0"/>
                <w:w w:val="99"/>
                <w:sz w:val="13"/>
                <w:szCs w:val="13"/>
                <w:lang w:eastAsia="en-GB"/>
              </w:rPr>
            </w:pPr>
            <w:r w:rsidRPr="006B1B72">
              <w:rPr>
                <w:b/>
                <w:color w:val="4F5650"/>
                <w:spacing w:val="0"/>
                <w:w w:val="99"/>
                <w:sz w:val="13"/>
                <w:szCs w:val="13"/>
                <w:lang w:eastAsia="en-GB"/>
              </w:rPr>
              <w:t>Email    wbmvancouver@wbmpl.com.au</w:t>
            </w:r>
          </w:p>
          <w:p w:rsidR="00A83F38" w:rsidRPr="006B1B72" w:rsidRDefault="00A83F38" w:rsidP="00430B8C">
            <w:pPr>
              <w:pStyle w:val="Text"/>
              <w:spacing w:before="0" w:line="240" w:lineRule="auto"/>
              <w:ind w:left="33"/>
              <w:rPr>
                <w:b/>
                <w:color w:val="4F5650"/>
                <w:spacing w:val="0"/>
                <w:w w:val="99"/>
                <w:sz w:val="13"/>
                <w:szCs w:val="13"/>
                <w:lang w:eastAsia="en-GB"/>
              </w:rPr>
            </w:pPr>
            <w:r w:rsidRPr="006B1B72">
              <w:rPr>
                <w:b/>
                <w:color w:val="4F5650"/>
                <w:spacing w:val="0"/>
                <w:w w:val="99"/>
                <w:sz w:val="13"/>
                <w:szCs w:val="13"/>
                <w:lang w:eastAsia="en-GB"/>
              </w:rPr>
              <w:t>Web      www.wbmpl.com.au</w:t>
            </w:r>
          </w:p>
          <w:p w:rsidR="00A83F38" w:rsidRPr="006B1B72" w:rsidRDefault="00A83F38" w:rsidP="00430B8C">
            <w:pPr>
              <w:pStyle w:val="Text"/>
              <w:spacing w:before="0" w:line="240" w:lineRule="auto"/>
              <w:ind w:left="33"/>
              <w:rPr>
                <w:b/>
                <w:color w:val="4F5650"/>
                <w:spacing w:val="0"/>
                <w:w w:val="99"/>
                <w:sz w:val="13"/>
                <w:szCs w:val="13"/>
                <w:lang w:eastAsia="en-GB"/>
              </w:rPr>
            </w:pPr>
          </w:p>
        </w:tc>
      </w:tr>
    </w:tbl>
    <w:p w:rsidR="00A83F38" w:rsidRPr="006B1B72" w:rsidRDefault="00A83F38" w:rsidP="00430B8C">
      <w:pPr>
        <w:pStyle w:val="Text"/>
        <w:ind w:left="0"/>
      </w:pPr>
    </w:p>
    <w:sectPr w:rsidR="00A83F38" w:rsidRPr="006B1B72" w:rsidSect="007018E6">
      <w:headerReference w:type="even" r:id="rId44"/>
      <w:headerReference w:type="default" r:id="rId45"/>
      <w:footerReference w:type="default" r:id="rId46"/>
      <w:pgSz w:w="11907" w:h="16840"/>
      <w:pgMar w:top="5529" w:right="1134" w:bottom="993" w:left="1134" w:header="851" w:footer="828" w:gutter="0"/>
      <w:pgNumType w:start="1" w:chapStyle="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1B5" w:rsidRDefault="006701B5">
      <w:r>
        <w:separator/>
      </w:r>
    </w:p>
  </w:endnote>
  <w:endnote w:type="continuationSeparator" w:id="0">
    <w:p w:rsidR="006701B5" w:rsidRDefault="0067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G Times Bold">
    <w:altName w:val="Arial Rounded MT Bold"/>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B5" w:rsidRDefault="006701B5">
    <w:pPr>
      <w:pStyle w:val="Footer"/>
      <w:framePr w:hSpace="181" w:wrap="around" w:vAnchor="text" w:hAnchor="margin" w:y="58" w:anchorLock="1"/>
      <w:tabs>
        <w:tab w:val="clear" w:pos="4153"/>
        <w:tab w:val="clear" w:pos="8306"/>
        <w:tab w:val="right" w:pos="9072"/>
      </w:tabs>
    </w:pPr>
    <w:r>
      <w:object w:dxaOrig="2671" w:dyaOrig="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9pt;height:23.6pt" o:ole="">
          <v:imagedata r:id="rId1" o:title=""/>
        </v:shape>
        <o:OLEObject Type="Embed" ProgID="ShapewareVISIO20" ShapeID="_x0000_i1025" DrawAspect="Content" ObjectID="_1461051842" r:id="rId2"/>
      </w:object>
    </w:r>
  </w:p>
  <w:p w:rsidR="006701B5" w:rsidRDefault="006701B5">
    <w:pPr>
      <w:pStyle w:val="Footer"/>
      <w:pBdr>
        <w:top w:val="single" w:sz="6" w:space="1" w:color="auto"/>
      </w:pBdr>
      <w:tabs>
        <w:tab w:val="clear" w:pos="4153"/>
        <w:tab w:val="clear" w:pos="8306"/>
        <w:tab w:val="right" w:pos="9072"/>
      </w:tabs>
    </w:pPr>
    <w:r>
      <w:tab/>
    </w:r>
    <w:r>
      <w:fldChar w:fldCharType="begin"/>
    </w:r>
    <w:r>
      <w:instrText xml:space="preserve"> SAVEDATE \@ "d.M.yy  hh:mm" \* MERGEFORMAT </w:instrText>
    </w:r>
    <w:r>
      <w:fldChar w:fldCharType="separate"/>
    </w:r>
    <w:r w:rsidR="00AC6986">
      <w:rPr>
        <w:noProof/>
      </w:rPr>
      <w:t>8.5.14  10:57</w:t>
    </w:r>
    <w:r>
      <w:rPr>
        <w:noProof/>
      </w:rPr>
      <w:fldChar w:fldCharType="end"/>
    </w:r>
    <w:r>
      <w:t xml:space="preserve">   </w:t>
    </w:r>
    <w:fldSimple w:instr=" FILENAME \* Lower\p \* MERGEFORMAT ">
      <w:r w:rsidR="00AC6986" w:rsidRPr="00AC6986">
        <w:rPr>
          <w:noProof/>
        </w:rPr>
        <w:t>t:\m8094.jl.highton_dfs\docs\r</w:t>
      </w:r>
      <w:r w:rsidR="00AC6986">
        <w:rPr>
          <w:caps w:val="0"/>
          <w:noProof/>
        </w:rPr>
        <w:t>.m8094.003.02.finalreport.docx</w:t>
      </w:r>
    </w:fldSimple>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B5" w:rsidRDefault="006701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B5" w:rsidRDefault="006701B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B5" w:rsidRDefault="006701B5">
    <w:pPr>
      <w:pStyle w:val="Footer"/>
      <w:pBdr>
        <w:top w:val="single" w:sz="6" w:space="4" w:color="auto"/>
      </w:pBdr>
      <w:tabs>
        <w:tab w:val="clear" w:pos="4153"/>
        <w:tab w:val="clear" w:pos="8306"/>
        <w:tab w:val="left" w:pos="1134"/>
        <w:tab w:val="right" w:pos="9072"/>
      </w:tabs>
      <w:ind w:left="0"/>
    </w:pPr>
    <w:r>
      <w:rPr>
        <w:noProof/>
        <w:lang w:eastAsia="en-AU"/>
      </w:rPr>
      <w:drawing>
        <wp:anchor distT="0" distB="0" distL="114300" distR="114300" simplePos="0" relativeHeight="251657728" behindDoc="0" locked="0" layoutInCell="1" allowOverlap="1" wp14:anchorId="684EDDAA" wp14:editId="349AAB0F">
          <wp:simplePos x="0" y="0"/>
          <wp:positionH relativeFrom="column">
            <wp:posOffset>4855845</wp:posOffset>
          </wp:positionH>
          <wp:positionV relativeFrom="paragraph">
            <wp:posOffset>93345</wp:posOffset>
          </wp:positionV>
          <wp:extent cx="1245870" cy="346710"/>
          <wp:effectExtent l="19050" t="0" r="0" b="0"/>
          <wp:wrapNone/>
          <wp:docPr id="9" name="Picture 9" descr="BMT WBM Monotone 40 x 1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MT WBM Monotone 40 x 12mm"/>
                  <pic:cNvPicPr>
                    <a:picLocks noChangeAspect="1" noChangeArrowheads="1"/>
                  </pic:cNvPicPr>
                </pic:nvPicPr>
                <pic:blipFill>
                  <a:blip r:embed="rId1"/>
                  <a:srcRect/>
                  <a:stretch>
                    <a:fillRect/>
                  </a:stretch>
                </pic:blipFill>
                <pic:spPr bwMode="auto">
                  <a:xfrm>
                    <a:off x="0" y="0"/>
                    <a:ext cx="1245870" cy="346710"/>
                  </a:xfrm>
                  <a:prstGeom prst="rect">
                    <a:avLst/>
                  </a:prstGeom>
                  <a:noFill/>
                  <a:ln w="9525">
                    <a:noFill/>
                    <a:miter lim="800000"/>
                    <a:headEnd/>
                    <a:tailEnd/>
                  </a:ln>
                </pic:spPr>
              </pic:pic>
            </a:graphicData>
          </a:graphic>
        </wp:anchor>
      </w:drawing>
    </w:r>
  </w:p>
  <w:p w:rsidR="006701B5" w:rsidRDefault="006701B5">
    <w:pPr>
      <w:pStyle w:val="Footer"/>
      <w:pBdr>
        <w:top w:val="single" w:sz="6" w:space="4" w:color="auto"/>
      </w:pBdr>
      <w:tabs>
        <w:tab w:val="clear" w:pos="4153"/>
        <w:tab w:val="clear" w:pos="8306"/>
        <w:tab w:val="right" w:pos="9639"/>
      </w:tabs>
      <w:ind w:left="0"/>
      <w:rPr>
        <w:caps w:val="0"/>
      </w:rPr>
    </w:pPr>
    <w:fldSimple w:instr=" FILENAME \p \* MERGEFORMAT ">
      <w:r w:rsidR="00AC6986">
        <w:rPr>
          <w:noProof/>
        </w:rPr>
        <w:t>T:\M8094.JL.Highton_DFS\Docs\R.M8094.003.02.FinalReport.docx</w:t>
      </w:r>
    </w:fldSimple>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B5" w:rsidRDefault="006701B5">
    <w:pPr>
      <w:pStyle w:val="Footer"/>
      <w:pBdr>
        <w:top w:val="single" w:sz="6" w:space="4" w:color="auto"/>
      </w:pBdr>
      <w:tabs>
        <w:tab w:val="clear" w:pos="4153"/>
        <w:tab w:val="clear" w:pos="8306"/>
        <w:tab w:val="left" w:pos="1134"/>
        <w:tab w:val="right" w:pos="9072"/>
      </w:tabs>
      <w:ind w:left="0"/>
    </w:pPr>
    <w:r>
      <w:rPr>
        <w:noProof/>
        <w:lang w:eastAsia="en-AU"/>
      </w:rPr>
      <w:drawing>
        <wp:anchor distT="0" distB="0" distL="114300" distR="114300" simplePos="0" relativeHeight="251661824" behindDoc="0" locked="0" layoutInCell="1" allowOverlap="1" wp14:anchorId="6332939D" wp14:editId="2655E985">
          <wp:simplePos x="0" y="0"/>
          <wp:positionH relativeFrom="column">
            <wp:posOffset>7702412</wp:posOffset>
          </wp:positionH>
          <wp:positionV relativeFrom="paragraph">
            <wp:posOffset>93345</wp:posOffset>
          </wp:positionV>
          <wp:extent cx="1245870" cy="346710"/>
          <wp:effectExtent l="0" t="0" r="0" b="0"/>
          <wp:wrapNone/>
          <wp:docPr id="14" name="Picture 14" descr="BMT WBM Monotone 40 x 1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MT WBM Monotone 40 x 12mm"/>
                  <pic:cNvPicPr>
                    <a:picLocks noChangeAspect="1" noChangeArrowheads="1"/>
                  </pic:cNvPicPr>
                </pic:nvPicPr>
                <pic:blipFill>
                  <a:blip r:embed="rId1"/>
                  <a:srcRect/>
                  <a:stretch>
                    <a:fillRect/>
                  </a:stretch>
                </pic:blipFill>
                <pic:spPr bwMode="auto">
                  <a:xfrm>
                    <a:off x="0" y="0"/>
                    <a:ext cx="1245870" cy="346710"/>
                  </a:xfrm>
                  <a:prstGeom prst="rect">
                    <a:avLst/>
                  </a:prstGeom>
                  <a:noFill/>
                  <a:ln w="9525">
                    <a:noFill/>
                    <a:miter lim="800000"/>
                    <a:headEnd/>
                    <a:tailEnd/>
                  </a:ln>
                </pic:spPr>
              </pic:pic>
            </a:graphicData>
          </a:graphic>
        </wp:anchor>
      </w:drawing>
    </w:r>
  </w:p>
  <w:p w:rsidR="006701B5" w:rsidRDefault="006701B5">
    <w:pPr>
      <w:pStyle w:val="Footer"/>
      <w:pBdr>
        <w:top w:val="single" w:sz="6" w:space="4" w:color="auto"/>
      </w:pBdr>
      <w:tabs>
        <w:tab w:val="clear" w:pos="4153"/>
        <w:tab w:val="clear" w:pos="8306"/>
        <w:tab w:val="right" w:pos="9639"/>
      </w:tabs>
      <w:ind w:left="0"/>
      <w:rPr>
        <w:caps w:val="0"/>
      </w:rPr>
    </w:pPr>
    <w:fldSimple w:instr=" FILENAME \p \* MERGEFORMAT ">
      <w:r w:rsidR="00AC6986">
        <w:rPr>
          <w:noProof/>
        </w:rPr>
        <w:t>T:\M8094.JL.Highton_DFS\Docs\R.M8094.003.02.FinalReport.docx</w:t>
      </w:r>
    </w:fldSimple>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B5" w:rsidRDefault="006701B5">
    <w:pPr>
      <w:pStyle w:val="Footer"/>
      <w:pBdr>
        <w:top w:val="single" w:sz="6" w:space="4" w:color="auto"/>
      </w:pBdr>
      <w:tabs>
        <w:tab w:val="clear" w:pos="4153"/>
        <w:tab w:val="clear" w:pos="8306"/>
        <w:tab w:val="left" w:pos="1134"/>
        <w:tab w:val="right" w:pos="9072"/>
      </w:tabs>
      <w:ind w:left="0"/>
    </w:pPr>
    <w:r>
      <w:rPr>
        <w:noProof/>
        <w:lang w:eastAsia="en-AU"/>
      </w:rPr>
      <w:drawing>
        <wp:anchor distT="0" distB="0" distL="114300" distR="114300" simplePos="0" relativeHeight="251659776" behindDoc="0" locked="0" layoutInCell="1" allowOverlap="1" wp14:anchorId="7BE15940" wp14:editId="0F29D860">
          <wp:simplePos x="0" y="0"/>
          <wp:positionH relativeFrom="column">
            <wp:posOffset>4855845</wp:posOffset>
          </wp:positionH>
          <wp:positionV relativeFrom="paragraph">
            <wp:posOffset>93345</wp:posOffset>
          </wp:positionV>
          <wp:extent cx="1245870" cy="346710"/>
          <wp:effectExtent l="19050" t="0" r="0" b="0"/>
          <wp:wrapNone/>
          <wp:docPr id="12" name="Picture 12" descr="BMT WBM Monotone 40 x 1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MT WBM Monotone 40 x 12mm"/>
                  <pic:cNvPicPr>
                    <a:picLocks noChangeAspect="1" noChangeArrowheads="1"/>
                  </pic:cNvPicPr>
                </pic:nvPicPr>
                <pic:blipFill>
                  <a:blip r:embed="rId1"/>
                  <a:srcRect/>
                  <a:stretch>
                    <a:fillRect/>
                  </a:stretch>
                </pic:blipFill>
                <pic:spPr bwMode="auto">
                  <a:xfrm>
                    <a:off x="0" y="0"/>
                    <a:ext cx="1245870" cy="346710"/>
                  </a:xfrm>
                  <a:prstGeom prst="rect">
                    <a:avLst/>
                  </a:prstGeom>
                  <a:noFill/>
                  <a:ln w="9525">
                    <a:noFill/>
                    <a:miter lim="800000"/>
                    <a:headEnd/>
                    <a:tailEnd/>
                  </a:ln>
                </pic:spPr>
              </pic:pic>
            </a:graphicData>
          </a:graphic>
        </wp:anchor>
      </w:drawing>
    </w:r>
  </w:p>
  <w:p w:rsidR="006701B5" w:rsidRDefault="006701B5">
    <w:pPr>
      <w:pStyle w:val="Footer"/>
      <w:pBdr>
        <w:top w:val="single" w:sz="6" w:space="4" w:color="auto"/>
      </w:pBdr>
      <w:tabs>
        <w:tab w:val="clear" w:pos="4153"/>
        <w:tab w:val="clear" w:pos="8306"/>
        <w:tab w:val="right" w:pos="9639"/>
      </w:tabs>
      <w:ind w:left="0"/>
      <w:rPr>
        <w:caps w:val="0"/>
      </w:rPr>
    </w:pPr>
    <w:fldSimple w:instr=" FILENAME \p \* MERGEFORMAT ">
      <w:r w:rsidR="00AC6986">
        <w:rPr>
          <w:noProof/>
        </w:rPr>
        <w:t>T:\M8094.JL.Highton_DFS\Docs\R.M8094.003.02.FinalReport.docx</w:t>
      </w:r>
    </w:fldSimple>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B5" w:rsidRDefault="006701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1B5" w:rsidRDefault="006701B5">
      <w:r>
        <w:separator/>
      </w:r>
    </w:p>
  </w:footnote>
  <w:footnote w:type="continuationSeparator" w:id="0">
    <w:p w:rsidR="006701B5" w:rsidRDefault="00670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B5" w:rsidRDefault="006701B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B5" w:rsidRDefault="006701B5"/>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B5" w:rsidRDefault="006701B5">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B5" w:rsidRDefault="006701B5">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B5" w:rsidRDefault="006701B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B5" w:rsidRDefault="006701B5">
    <w:pPr>
      <w:pStyle w:val="Header"/>
    </w:pPr>
    <w:r>
      <w:rPr>
        <w:rStyle w:val="PageNumber"/>
        <w:i/>
      </w:rPr>
      <w:fldChar w:fldCharType="begin"/>
    </w:r>
    <w:r>
      <w:rPr>
        <w:rStyle w:val="PageNumber"/>
        <w:i/>
      </w:rPr>
      <w:instrText xml:space="preserve"> PAGE  \* MERGEFORMAT </w:instrText>
    </w:r>
    <w:r>
      <w:rPr>
        <w:rStyle w:val="PageNumber"/>
        <w:i/>
      </w:rPr>
      <w:fldChar w:fldCharType="separate"/>
    </w:r>
    <w:r w:rsidRPr="0051324E">
      <w:rPr>
        <w:rStyle w:val="PageNumber"/>
        <w:noProof/>
      </w:rPr>
      <w:t>i</w:t>
    </w:r>
    <w:r>
      <w:rPr>
        <w:rStyle w:val="PageNumber"/>
        <w:i/>
      </w:rPr>
      <w:fldChar w:fldCharType="end"/>
    </w:r>
    <w:r>
      <w:rPr>
        <w:rStyle w:val="PageNumber"/>
        <w:i/>
      </w:rPr>
      <w:tab/>
    </w:r>
    <w:fldSimple w:instr=" STYLEREF &quot;Heading 9&quot; \* MERGEFORMAT ">
      <w:r w:rsidR="00AC6986" w:rsidRPr="00AC6986">
        <w:rPr>
          <w:b/>
          <w:bCs/>
          <w:noProof/>
          <w:lang w:val="en-US"/>
        </w:rPr>
        <w:t>Construction Rates</w:t>
      </w:r>
    </w:fldSimple>
  </w:p>
  <w:p w:rsidR="006701B5" w:rsidRDefault="006701B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B5" w:rsidRDefault="006701B5">
    <w:pPr>
      <w:pStyle w:val="Header"/>
      <w:tabs>
        <w:tab w:val="clear" w:pos="9072"/>
        <w:tab w:val="right" w:pos="9639"/>
      </w:tabs>
    </w:pPr>
    <w:fldSimple w:instr=" STYLEREF &quot;Heading 0&quot; \* MERGEFORMAT ">
      <w:r w:rsidR="00AC6986" w:rsidRPr="00AC6986">
        <w:rPr>
          <w:rFonts w:ascii="CG Times Bold" w:hAnsi="CG Times Bold"/>
          <w:noProof/>
        </w:rPr>
        <w:t>EXECUTIVE</w:t>
      </w:r>
      <w:r w:rsidR="00AC6986">
        <w:rPr>
          <w:noProof/>
        </w:rPr>
        <w:t xml:space="preserve"> SUMMARY</w:t>
      </w:r>
    </w:fldSimple>
    <w:r>
      <w:tab/>
    </w:r>
    <w:r>
      <w:rPr>
        <w:rStyle w:val="PageNumber"/>
        <w:rFonts w:ascii="Arial" w:hAnsi="Arial"/>
        <w:b w:val="0"/>
        <w:smallCaps w:val="0"/>
        <w:sz w:val="20"/>
      </w:rPr>
      <w:fldChar w:fldCharType="begin"/>
    </w:r>
    <w:r>
      <w:rPr>
        <w:rStyle w:val="PageNumber"/>
        <w:rFonts w:ascii="Arial" w:hAnsi="Arial"/>
        <w:b w:val="0"/>
        <w:smallCaps w:val="0"/>
        <w:sz w:val="20"/>
      </w:rPr>
      <w:instrText xml:space="preserve"> PAGE  \* MERGEFORMAT </w:instrText>
    </w:r>
    <w:r>
      <w:rPr>
        <w:rStyle w:val="PageNumber"/>
        <w:rFonts w:ascii="Arial" w:hAnsi="Arial"/>
        <w:b w:val="0"/>
        <w:smallCaps w:val="0"/>
        <w:sz w:val="20"/>
      </w:rPr>
      <w:fldChar w:fldCharType="separate"/>
    </w:r>
    <w:r w:rsidR="00AC6986" w:rsidRPr="00AC6986">
      <w:rPr>
        <w:rStyle w:val="PageNumber"/>
        <w:rFonts w:ascii="Arial" w:hAnsi="Arial"/>
        <w:b w:val="0"/>
        <w:noProof/>
        <w:sz w:val="20"/>
      </w:rPr>
      <w:t>i</w:t>
    </w:r>
    <w:r>
      <w:rPr>
        <w:rStyle w:val="PageNumber"/>
        <w:rFonts w:ascii="Arial" w:hAnsi="Arial"/>
        <w:b w:val="0"/>
        <w:smallCaps w:val="0"/>
        <w:sz w:val="2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B5" w:rsidRPr="00B26EF8" w:rsidRDefault="006701B5">
    <w:pPr>
      <w:pStyle w:val="Header"/>
      <w:tabs>
        <w:tab w:val="clear" w:pos="9072"/>
        <w:tab w:val="right" w:pos="9639"/>
      </w:tabs>
      <w:rPr>
        <w:rFonts w:cs="Arial"/>
      </w:rPr>
    </w:pPr>
    <w:fldSimple w:instr=" STYLEREF &quot;Heading 1&quot; \* MERGEFORMAT ">
      <w:r w:rsidR="00AC6986">
        <w:rPr>
          <w:noProof/>
        </w:rPr>
        <w:t>Mitigation Option Assessment</w:t>
      </w:r>
    </w:fldSimple>
    <w:r>
      <w:tab/>
    </w:r>
    <w:r w:rsidRPr="00B26EF8">
      <w:rPr>
        <w:rStyle w:val="PageNumber"/>
        <w:rFonts w:ascii="Arial" w:hAnsi="Arial" w:cs="Arial"/>
        <w:i/>
        <w:sz w:val="20"/>
      </w:rPr>
      <w:fldChar w:fldCharType="begin"/>
    </w:r>
    <w:r w:rsidRPr="00B26EF8">
      <w:rPr>
        <w:rStyle w:val="PageNumber"/>
        <w:rFonts w:ascii="Arial" w:hAnsi="Arial" w:cs="Arial"/>
        <w:i/>
        <w:sz w:val="20"/>
      </w:rPr>
      <w:instrText xml:space="preserve"> PAGE  \* MERGEFORMAT </w:instrText>
    </w:r>
    <w:r w:rsidRPr="00B26EF8">
      <w:rPr>
        <w:rStyle w:val="PageNumber"/>
        <w:rFonts w:ascii="Arial" w:hAnsi="Arial" w:cs="Arial"/>
        <w:i/>
        <w:sz w:val="20"/>
      </w:rPr>
      <w:fldChar w:fldCharType="separate"/>
    </w:r>
    <w:r w:rsidR="00AC6986" w:rsidRPr="00AC6986">
      <w:rPr>
        <w:rStyle w:val="PageNumber"/>
        <w:rFonts w:ascii="Arial" w:hAnsi="Arial" w:cs="Arial"/>
        <w:bCs/>
        <w:noProof/>
        <w:sz w:val="20"/>
        <w:lang w:val="en-US"/>
      </w:rPr>
      <w:t>8-9</w:t>
    </w:r>
    <w:r w:rsidRPr="00B26EF8">
      <w:rPr>
        <w:rStyle w:val="PageNumber"/>
        <w:rFonts w:ascii="Arial" w:hAnsi="Arial" w:cs="Arial"/>
        <w:i/>
        <w:sz w:val="20"/>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B5" w:rsidRPr="00B26EF8" w:rsidRDefault="006701B5" w:rsidP="00611733">
    <w:pPr>
      <w:pStyle w:val="Header"/>
      <w:tabs>
        <w:tab w:val="clear" w:pos="9072"/>
        <w:tab w:val="right" w:pos="14034"/>
      </w:tabs>
      <w:rPr>
        <w:rFonts w:cs="Arial"/>
      </w:rPr>
    </w:pPr>
    <w:fldSimple w:instr=" STYLEREF &quot;Heading 1&quot; \* MERGEFORMAT ">
      <w:r w:rsidR="00AC6986">
        <w:rPr>
          <w:noProof/>
        </w:rPr>
        <w:t>Mitigation Option Assessment</w:t>
      </w:r>
    </w:fldSimple>
    <w:r>
      <w:tab/>
    </w:r>
    <w:r w:rsidRPr="00B26EF8">
      <w:rPr>
        <w:rStyle w:val="PageNumber"/>
        <w:rFonts w:ascii="Arial" w:hAnsi="Arial" w:cs="Arial"/>
        <w:i/>
        <w:sz w:val="20"/>
      </w:rPr>
      <w:fldChar w:fldCharType="begin"/>
    </w:r>
    <w:r w:rsidRPr="00B26EF8">
      <w:rPr>
        <w:rStyle w:val="PageNumber"/>
        <w:rFonts w:ascii="Arial" w:hAnsi="Arial" w:cs="Arial"/>
        <w:i/>
        <w:sz w:val="20"/>
      </w:rPr>
      <w:instrText xml:space="preserve"> PAGE  \* MERGEFORMAT </w:instrText>
    </w:r>
    <w:r w:rsidRPr="00B26EF8">
      <w:rPr>
        <w:rStyle w:val="PageNumber"/>
        <w:rFonts w:ascii="Arial" w:hAnsi="Arial" w:cs="Arial"/>
        <w:i/>
        <w:sz w:val="20"/>
      </w:rPr>
      <w:fldChar w:fldCharType="separate"/>
    </w:r>
    <w:r w:rsidR="00AC6986" w:rsidRPr="00AC6986">
      <w:rPr>
        <w:rStyle w:val="PageNumber"/>
        <w:rFonts w:ascii="Arial" w:hAnsi="Arial" w:cs="Arial"/>
        <w:bCs/>
        <w:noProof/>
        <w:sz w:val="20"/>
        <w:lang w:val="en-US"/>
      </w:rPr>
      <w:t>8-14</w:t>
    </w:r>
    <w:r w:rsidRPr="00B26EF8">
      <w:rPr>
        <w:rStyle w:val="PageNumber"/>
        <w:rFonts w:ascii="Arial" w:hAnsi="Arial" w:cs="Arial"/>
        <w:i/>
        <w:sz w:val="20"/>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B5" w:rsidRPr="00B26EF8" w:rsidRDefault="006701B5">
    <w:pPr>
      <w:pStyle w:val="Header"/>
      <w:tabs>
        <w:tab w:val="clear" w:pos="9072"/>
        <w:tab w:val="right" w:pos="9639"/>
      </w:tabs>
      <w:rPr>
        <w:rFonts w:cs="Arial"/>
      </w:rPr>
    </w:pPr>
    <w:fldSimple w:instr=" STYLEREF &quot;Heading 1&quot; \* MERGEFORMAT ">
      <w:r w:rsidR="00AC6986">
        <w:rPr>
          <w:noProof/>
        </w:rPr>
        <w:t>References</w:t>
      </w:r>
    </w:fldSimple>
    <w:r>
      <w:tab/>
    </w:r>
    <w:r w:rsidRPr="00B26EF8">
      <w:rPr>
        <w:rStyle w:val="PageNumber"/>
        <w:rFonts w:ascii="Arial" w:hAnsi="Arial" w:cs="Arial"/>
        <w:i/>
        <w:sz w:val="20"/>
      </w:rPr>
      <w:fldChar w:fldCharType="begin"/>
    </w:r>
    <w:r w:rsidRPr="00B26EF8">
      <w:rPr>
        <w:rStyle w:val="PageNumber"/>
        <w:rFonts w:ascii="Arial" w:hAnsi="Arial" w:cs="Arial"/>
        <w:i/>
        <w:sz w:val="20"/>
      </w:rPr>
      <w:instrText xml:space="preserve"> PAGE  \* MERGEFORMAT </w:instrText>
    </w:r>
    <w:r w:rsidRPr="00B26EF8">
      <w:rPr>
        <w:rStyle w:val="PageNumber"/>
        <w:rFonts w:ascii="Arial" w:hAnsi="Arial" w:cs="Arial"/>
        <w:i/>
        <w:sz w:val="20"/>
      </w:rPr>
      <w:fldChar w:fldCharType="separate"/>
    </w:r>
    <w:r w:rsidR="00AC6986" w:rsidRPr="00AC6986">
      <w:rPr>
        <w:rStyle w:val="PageNumber"/>
        <w:rFonts w:ascii="Arial" w:hAnsi="Arial" w:cs="Arial"/>
        <w:bCs/>
        <w:noProof/>
        <w:sz w:val="20"/>
        <w:lang w:val="en-US"/>
      </w:rPr>
      <w:t>11-1</w:t>
    </w:r>
    <w:r w:rsidRPr="00B26EF8">
      <w:rPr>
        <w:rStyle w:val="PageNumber"/>
        <w:rFonts w:ascii="Arial" w:hAnsi="Arial" w:cs="Arial"/>
        <w:i/>
        <w:sz w:val="20"/>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B5" w:rsidRPr="00B26EF8" w:rsidRDefault="006701B5">
    <w:pPr>
      <w:pStyle w:val="Header"/>
      <w:tabs>
        <w:tab w:val="clear" w:pos="9072"/>
        <w:tab w:val="right" w:pos="9639"/>
      </w:tabs>
      <w:rPr>
        <w:rFonts w:cs="Arial"/>
      </w:rPr>
    </w:pPr>
    <w:fldSimple w:instr=" STYLEREF &quot;Heading 9&quot; \* MERGEFORMAT ">
      <w:r w:rsidR="00AC6986">
        <w:rPr>
          <w:noProof/>
        </w:rPr>
        <w:t>Public Submissions and Responses</w:t>
      </w:r>
    </w:fldSimple>
    <w:r>
      <w:tab/>
    </w:r>
    <w:r w:rsidRPr="00B26EF8">
      <w:rPr>
        <w:rStyle w:val="PageNumber"/>
        <w:rFonts w:ascii="Arial" w:hAnsi="Arial" w:cs="Arial"/>
        <w:i/>
        <w:sz w:val="20"/>
      </w:rPr>
      <w:fldChar w:fldCharType="begin"/>
    </w:r>
    <w:r w:rsidRPr="00B26EF8">
      <w:rPr>
        <w:rStyle w:val="PageNumber"/>
        <w:rFonts w:ascii="Arial" w:hAnsi="Arial" w:cs="Arial"/>
        <w:i/>
        <w:sz w:val="20"/>
      </w:rPr>
      <w:instrText xml:space="preserve"> PAGE  \* MERGEFORMAT </w:instrText>
    </w:r>
    <w:r w:rsidRPr="00B26EF8">
      <w:rPr>
        <w:rStyle w:val="PageNumber"/>
        <w:rFonts w:ascii="Arial" w:hAnsi="Arial" w:cs="Arial"/>
        <w:i/>
        <w:sz w:val="20"/>
      </w:rPr>
      <w:fldChar w:fldCharType="separate"/>
    </w:r>
    <w:r w:rsidR="00AC6986" w:rsidRPr="00AC6986">
      <w:rPr>
        <w:rStyle w:val="PageNumber"/>
        <w:rFonts w:ascii="Arial" w:hAnsi="Arial" w:cs="Arial"/>
        <w:bCs/>
        <w:noProof/>
        <w:sz w:val="20"/>
        <w:lang w:val="en-US"/>
      </w:rPr>
      <w:t>C-2</w:t>
    </w:r>
    <w:r w:rsidRPr="00B26EF8">
      <w:rPr>
        <w:rStyle w:val="PageNumber"/>
        <w:rFonts w:ascii="Arial" w:hAnsi="Arial" w:cs="Arial"/>
        <w:i/>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1F263FE"/>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upperLetter"/>
      <w:pStyle w:val="Heading9"/>
      <w:lvlText w:val="APPENDIX %9:"/>
      <w:legacy w:legacy="1" w:legacySpace="170" w:legacyIndent="0"/>
      <w:lvlJc w:val="left"/>
      <w:pPr>
        <w:ind w:left="2268" w:firstLine="0"/>
      </w:pPr>
    </w:lvl>
  </w:abstractNum>
  <w:abstractNum w:abstractNumId="1">
    <w:nsid w:val="FFFFFFFE"/>
    <w:multiLevelType w:val="singleLevel"/>
    <w:tmpl w:val="9C0849AE"/>
    <w:lvl w:ilvl="0">
      <w:numFmt w:val="bullet"/>
      <w:lvlText w:val="*"/>
      <w:lvlJc w:val="left"/>
    </w:lvl>
  </w:abstractNum>
  <w:abstractNum w:abstractNumId="2">
    <w:nsid w:val="20BF0495"/>
    <w:multiLevelType w:val="hybridMultilevel"/>
    <w:tmpl w:val="E6061E4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nsid w:val="25056BB9"/>
    <w:multiLevelType w:val="hybridMultilevel"/>
    <w:tmpl w:val="D5269FC4"/>
    <w:lvl w:ilvl="0" w:tplc="0C090001">
      <w:start w:val="1"/>
      <w:numFmt w:val="bullet"/>
      <w:lvlText w:val=""/>
      <w:lvlJc w:val="left"/>
      <w:pPr>
        <w:ind w:left="1627" w:hanging="360"/>
      </w:pPr>
      <w:rPr>
        <w:rFonts w:ascii="Symbol" w:hAnsi="Symbol" w:hint="default"/>
      </w:rPr>
    </w:lvl>
    <w:lvl w:ilvl="1" w:tplc="0C090003" w:tentative="1">
      <w:start w:val="1"/>
      <w:numFmt w:val="bullet"/>
      <w:lvlText w:val="o"/>
      <w:lvlJc w:val="left"/>
      <w:pPr>
        <w:ind w:left="2347" w:hanging="360"/>
      </w:pPr>
      <w:rPr>
        <w:rFonts w:ascii="Courier New" w:hAnsi="Courier New" w:cs="Courier New" w:hint="default"/>
      </w:rPr>
    </w:lvl>
    <w:lvl w:ilvl="2" w:tplc="0C090005" w:tentative="1">
      <w:start w:val="1"/>
      <w:numFmt w:val="bullet"/>
      <w:lvlText w:val=""/>
      <w:lvlJc w:val="left"/>
      <w:pPr>
        <w:ind w:left="3067" w:hanging="360"/>
      </w:pPr>
      <w:rPr>
        <w:rFonts w:ascii="Wingdings" w:hAnsi="Wingdings" w:hint="default"/>
      </w:rPr>
    </w:lvl>
    <w:lvl w:ilvl="3" w:tplc="0C090001" w:tentative="1">
      <w:start w:val="1"/>
      <w:numFmt w:val="bullet"/>
      <w:lvlText w:val=""/>
      <w:lvlJc w:val="left"/>
      <w:pPr>
        <w:ind w:left="3787" w:hanging="360"/>
      </w:pPr>
      <w:rPr>
        <w:rFonts w:ascii="Symbol" w:hAnsi="Symbol" w:hint="default"/>
      </w:rPr>
    </w:lvl>
    <w:lvl w:ilvl="4" w:tplc="0C090003" w:tentative="1">
      <w:start w:val="1"/>
      <w:numFmt w:val="bullet"/>
      <w:lvlText w:val="o"/>
      <w:lvlJc w:val="left"/>
      <w:pPr>
        <w:ind w:left="4507" w:hanging="360"/>
      </w:pPr>
      <w:rPr>
        <w:rFonts w:ascii="Courier New" w:hAnsi="Courier New" w:cs="Courier New" w:hint="default"/>
      </w:rPr>
    </w:lvl>
    <w:lvl w:ilvl="5" w:tplc="0C090005" w:tentative="1">
      <w:start w:val="1"/>
      <w:numFmt w:val="bullet"/>
      <w:lvlText w:val=""/>
      <w:lvlJc w:val="left"/>
      <w:pPr>
        <w:ind w:left="5227" w:hanging="360"/>
      </w:pPr>
      <w:rPr>
        <w:rFonts w:ascii="Wingdings" w:hAnsi="Wingdings" w:hint="default"/>
      </w:rPr>
    </w:lvl>
    <w:lvl w:ilvl="6" w:tplc="0C090001" w:tentative="1">
      <w:start w:val="1"/>
      <w:numFmt w:val="bullet"/>
      <w:lvlText w:val=""/>
      <w:lvlJc w:val="left"/>
      <w:pPr>
        <w:ind w:left="5947" w:hanging="360"/>
      </w:pPr>
      <w:rPr>
        <w:rFonts w:ascii="Symbol" w:hAnsi="Symbol" w:hint="default"/>
      </w:rPr>
    </w:lvl>
    <w:lvl w:ilvl="7" w:tplc="0C090003" w:tentative="1">
      <w:start w:val="1"/>
      <w:numFmt w:val="bullet"/>
      <w:lvlText w:val="o"/>
      <w:lvlJc w:val="left"/>
      <w:pPr>
        <w:ind w:left="6667" w:hanging="360"/>
      </w:pPr>
      <w:rPr>
        <w:rFonts w:ascii="Courier New" w:hAnsi="Courier New" w:cs="Courier New" w:hint="default"/>
      </w:rPr>
    </w:lvl>
    <w:lvl w:ilvl="8" w:tplc="0C090005" w:tentative="1">
      <w:start w:val="1"/>
      <w:numFmt w:val="bullet"/>
      <w:lvlText w:val=""/>
      <w:lvlJc w:val="left"/>
      <w:pPr>
        <w:ind w:left="7387" w:hanging="360"/>
      </w:pPr>
      <w:rPr>
        <w:rFonts w:ascii="Wingdings" w:hAnsi="Wingdings" w:hint="default"/>
      </w:rPr>
    </w:lvl>
  </w:abstractNum>
  <w:abstractNum w:abstractNumId="4">
    <w:nsid w:val="2AFD6E1A"/>
    <w:multiLevelType w:val="multilevel"/>
    <w:tmpl w:val="14FC85C6"/>
    <w:lvl w:ilvl="0">
      <w:start w:val="1"/>
      <w:numFmt w:val="decimal"/>
      <w:pStyle w:val="Numbers"/>
      <w:lvlText w:val="%1"/>
      <w:lvlJc w:val="left"/>
      <w:pPr>
        <w:tabs>
          <w:tab w:val="num" w:pos="1247"/>
        </w:tabs>
        <w:ind w:left="1247" w:hanging="396"/>
      </w:pPr>
      <w:rPr>
        <w:rFonts w:hint="default"/>
      </w:rPr>
    </w:lvl>
    <w:lvl w:ilvl="1">
      <w:start w:val="1"/>
      <w:numFmt w:val="lowerLetter"/>
      <w:lvlText w:val="(%2)"/>
      <w:lvlJc w:val="left"/>
      <w:pPr>
        <w:tabs>
          <w:tab w:val="num" w:pos="1967"/>
        </w:tabs>
        <w:ind w:left="1644" w:hanging="397"/>
      </w:pPr>
      <w:rPr>
        <w:rFonts w:hint="default"/>
      </w:rPr>
    </w:lvl>
    <w:lvl w:ilvl="2">
      <w:start w:val="1"/>
      <w:numFmt w:val="lowerRoman"/>
      <w:lvlText w:val="(%3)"/>
      <w:lvlJc w:val="left"/>
      <w:pPr>
        <w:tabs>
          <w:tab w:val="num" w:pos="2724"/>
        </w:tabs>
        <w:ind w:left="2041" w:hanging="397"/>
      </w:pPr>
      <w:rPr>
        <w:rFonts w:hint="default"/>
      </w:rPr>
    </w:lvl>
    <w:lvl w:ilvl="3">
      <w:start w:val="1"/>
      <w:numFmt w:val="bullet"/>
      <w:lvlText w:val=""/>
      <w:lvlJc w:val="left"/>
      <w:pPr>
        <w:tabs>
          <w:tab w:val="num" w:pos="1588"/>
        </w:tabs>
        <w:ind w:left="1588" w:hanging="397"/>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2D316282"/>
    <w:multiLevelType w:val="hybridMultilevel"/>
    <w:tmpl w:val="D8B411E8"/>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start w:val="1"/>
      <w:numFmt w:val="bullet"/>
      <w:lvlText w:val=""/>
      <w:lvlJc w:val="left"/>
      <w:pPr>
        <w:ind w:left="3731" w:hanging="360"/>
      </w:pPr>
      <w:rPr>
        <w:rFonts w:ascii="Symbol" w:hAnsi="Symbol" w:hint="default"/>
      </w:rPr>
    </w:lvl>
    <w:lvl w:ilvl="4" w:tplc="0C090003">
      <w:start w:val="1"/>
      <w:numFmt w:val="bullet"/>
      <w:lvlText w:val="o"/>
      <w:lvlJc w:val="left"/>
      <w:pPr>
        <w:ind w:left="4451" w:hanging="360"/>
      </w:pPr>
      <w:rPr>
        <w:rFonts w:ascii="Courier New" w:hAnsi="Courier New" w:cs="Courier New" w:hint="default"/>
      </w:rPr>
    </w:lvl>
    <w:lvl w:ilvl="5" w:tplc="0C090005">
      <w:start w:val="1"/>
      <w:numFmt w:val="bullet"/>
      <w:lvlText w:val=""/>
      <w:lvlJc w:val="left"/>
      <w:pPr>
        <w:ind w:left="5171" w:hanging="360"/>
      </w:pPr>
      <w:rPr>
        <w:rFonts w:ascii="Wingdings" w:hAnsi="Wingdings" w:hint="default"/>
      </w:rPr>
    </w:lvl>
    <w:lvl w:ilvl="6" w:tplc="0C090001">
      <w:start w:val="1"/>
      <w:numFmt w:val="bullet"/>
      <w:lvlText w:val=""/>
      <w:lvlJc w:val="left"/>
      <w:pPr>
        <w:ind w:left="5891" w:hanging="360"/>
      </w:pPr>
      <w:rPr>
        <w:rFonts w:ascii="Symbol" w:hAnsi="Symbol" w:hint="default"/>
      </w:rPr>
    </w:lvl>
    <w:lvl w:ilvl="7" w:tplc="0C090003">
      <w:start w:val="1"/>
      <w:numFmt w:val="bullet"/>
      <w:lvlText w:val="o"/>
      <w:lvlJc w:val="left"/>
      <w:pPr>
        <w:ind w:left="6611" w:hanging="360"/>
      </w:pPr>
      <w:rPr>
        <w:rFonts w:ascii="Courier New" w:hAnsi="Courier New" w:cs="Courier New" w:hint="default"/>
      </w:rPr>
    </w:lvl>
    <w:lvl w:ilvl="8" w:tplc="0C090005">
      <w:start w:val="1"/>
      <w:numFmt w:val="bullet"/>
      <w:lvlText w:val=""/>
      <w:lvlJc w:val="left"/>
      <w:pPr>
        <w:ind w:left="7331" w:hanging="360"/>
      </w:pPr>
      <w:rPr>
        <w:rFonts w:ascii="Wingdings" w:hAnsi="Wingdings" w:hint="default"/>
      </w:rPr>
    </w:lvl>
  </w:abstractNum>
  <w:abstractNum w:abstractNumId="6">
    <w:nsid w:val="2DAC6C29"/>
    <w:multiLevelType w:val="hybridMultilevel"/>
    <w:tmpl w:val="83C4696E"/>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start w:val="1"/>
      <w:numFmt w:val="bullet"/>
      <w:lvlText w:val=""/>
      <w:lvlJc w:val="left"/>
      <w:pPr>
        <w:ind w:left="3731" w:hanging="360"/>
      </w:pPr>
      <w:rPr>
        <w:rFonts w:ascii="Symbol" w:hAnsi="Symbol" w:hint="default"/>
      </w:rPr>
    </w:lvl>
    <w:lvl w:ilvl="4" w:tplc="0C090003">
      <w:start w:val="1"/>
      <w:numFmt w:val="bullet"/>
      <w:lvlText w:val="o"/>
      <w:lvlJc w:val="left"/>
      <w:pPr>
        <w:ind w:left="4451" w:hanging="360"/>
      </w:pPr>
      <w:rPr>
        <w:rFonts w:ascii="Courier New" w:hAnsi="Courier New" w:cs="Courier New" w:hint="default"/>
      </w:rPr>
    </w:lvl>
    <w:lvl w:ilvl="5" w:tplc="0C090005">
      <w:start w:val="1"/>
      <w:numFmt w:val="bullet"/>
      <w:lvlText w:val=""/>
      <w:lvlJc w:val="left"/>
      <w:pPr>
        <w:ind w:left="5171" w:hanging="360"/>
      </w:pPr>
      <w:rPr>
        <w:rFonts w:ascii="Wingdings" w:hAnsi="Wingdings" w:hint="default"/>
      </w:rPr>
    </w:lvl>
    <w:lvl w:ilvl="6" w:tplc="0C090001">
      <w:start w:val="1"/>
      <w:numFmt w:val="bullet"/>
      <w:lvlText w:val=""/>
      <w:lvlJc w:val="left"/>
      <w:pPr>
        <w:ind w:left="5891" w:hanging="360"/>
      </w:pPr>
      <w:rPr>
        <w:rFonts w:ascii="Symbol" w:hAnsi="Symbol" w:hint="default"/>
      </w:rPr>
    </w:lvl>
    <w:lvl w:ilvl="7" w:tplc="0C090003">
      <w:start w:val="1"/>
      <w:numFmt w:val="bullet"/>
      <w:lvlText w:val="o"/>
      <w:lvlJc w:val="left"/>
      <w:pPr>
        <w:ind w:left="6611" w:hanging="360"/>
      </w:pPr>
      <w:rPr>
        <w:rFonts w:ascii="Courier New" w:hAnsi="Courier New" w:cs="Courier New" w:hint="default"/>
      </w:rPr>
    </w:lvl>
    <w:lvl w:ilvl="8" w:tplc="0C090005">
      <w:start w:val="1"/>
      <w:numFmt w:val="bullet"/>
      <w:lvlText w:val=""/>
      <w:lvlJc w:val="left"/>
      <w:pPr>
        <w:ind w:left="7331" w:hanging="360"/>
      </w:pPr>
      <w:rPr>
        <w:rFonts w:ascii="Wingdings" w:hAnsi="Wingdings" w:hint="default"/>
      </w:rPr>
    </w:lvl>
  </w:abstractNum>
  <w:abstractNum w:abstractNumId="7">
    <w:nsid w:val="34571E57"/>
    <w:multiLevelType w:val="singleLevel"/>
    <w:tmpl w:val="3A02AADE"/>
    <w:lvl w:ilvl="0">
      <w:start w:val="1"/>
      <w:numFmt w:val="decimal"/>
      <w:lvlText w:val="%1."/>
      <w:legacy w:legacy="1" w:legacySpace="120" w:legacyIndent="360"/>
      <w:lvlJc w:val="left"/>
      <w:pPr>
        <w:ind w:left="720" w:hanging="360"/>
      </w:pPr>
    </w:lvl>
  </w:abstractNum>
  <w:abstractNum w:abstractNumId="8">
    <w:nsid w:val="39234380"/>
    <w:multiLevelType w:val="hybridMultilevel"/>
    <w:tmpl w:val="7236D9F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nsid w:val="3C1E023B"/>
    <w:multiLevelType w:val="hybridMultilevel"/>
    <w:tmpl w:val="62386A0A"/>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nsid w:val="3C665ACA"/>
    <w:multiLevelType w:val="hybridMultilevel"/>
    <w:tmpl w:val="8D7062B8"/>
    <w:lvl w:ilvl="0" w:tplc="04090001">
      <w:start w:val="1"/>
      <w:numFmt w:val="bullet"/>
      <w:lvlText w:val=""/>
      <w:lvlJc w:val="left"/>
      <w:pPr>
        <w:tabs>
          <w:tab w:val="num" w:pos="2591"/>
        </w:tabs>
        <w:ind w:left="2591" w:hanging="360"/>
      </w:pPr>
      <w:rPr>
        <w:rFonts w:ascii="Symbol" w:hAnsi="Symbol" w:hint="default"/>
        <w:sz w:val="24"/>
      </w:rPr>
    </w:lvl>
    <w:lvl w:ilvl="1" w:tplc="04090003" w:tentative="1">
      <w:start w:val="1"/>
      <w:numFmt w:val="bullet"/>
      <w:lvlText w:val="o"/>
      <w:lvlJc w:val="left"/>
      <w:pPr>
        <w:tabs>
          <w:tab w:val="num" w:pos="3311"/>
        </w:tabs>
        <w:ind w:left="3311" w:hanging="360"/>
      </w:pPr>
      <w:rPr>
        <w:rFonts w:ascii="Courier New" w:hAnsi="Courier New" w:cs="Courier New" w:hint="default"/>
      </w:rPr>
    </w:lvl>
    <w:lvl w:ilvl="2" w:tplc="04090005" w:tentative="1">
      <w:start w:val="1"/>
      <w:numFmt w:val="bullet"/>
      <w:lvlText w:val=""/>
      <w:lvlJc w:val="left"/>
      <w:pPr>
        <w:tabs>
          <w:tab w:val="num" w:pos="4031"/>
        </w:tabs>
        <w:ind w:left="4031" w:hanging="360"/>
      </w:pPr>
      <w:rPr>
        <w:rFonts w:ascii="Wingdings" w:hAnsi="Wingdings" w:hint="default"/>
      </w:rPr>
    </w:lvl>
    <w:lvl w:ilvl="3" w:tplc="04090001" w:tentative="1">
      <w:start w:val="1"/>
      <w:numFmt w:val="bullet"/>
      <w:lvlText w:val=""/>
      <w:lvlJc w:val="left"/>
      <w:pPr>
        <w:tabs>
          <w:tab w:val="num" w:pos="4751"/>
        </w:tabs>
        <w:ind w:left="4751" w:hanging="360"/>
      </w:pPr>
      <w:rPr>
        <w:rFonts w:ascii="Symbol" w:hAnsi="Symbol" w:hint="default"/>
      </w:rPr>
    </w:lvl>
    <w:lvl w:ilvl="4" w:tplc="04090003" w:tentative="1">
      <w:start w:val="1"/>
      <w:numFmt w:val="bullet"/>
      <w:lvlText w:val="o"/>
      <w:lvlJc w:val="left"/>
      <w:pPr>
        <w:tabs>
          <w:tab w:val="num" w:pos="5471"/>
        </w:tabs>
        <w:ind w:left="5471" w:hanging="360"/>
      </w:pPr>
      <w:rPr>
        <w:rFonts w:ascii="Courier New" w:hAnsi="Courier New" w:cs="Courier New" w:hint="default"/>
      </w:rPr>
    </w:lvl>
    <w:lvl w:ilvl="5" w:tplc="04090005" w:tentative="1">
      <w:start w:val="1"/>
      <w:numFmt w:val="bullet"/>
      <w:lvlText w:val=""/>
      <w:lvlJc w:val="left"/>
      <w:pPr>
        <w:tabs>
          <w:tab w:val="num" w:pos="6191"/>
        </w:tabs>
        <w:ind w:left="6191" w:hanging="360"/>
      </w:pPr>
      <w:rPr>
        <w:rFonts w:ascii="Wingdings" w:hAnsi="Wingdings" w:hint="default"/>
      </w:rPr>
    </w:lvl>
    <w:lvl w:ilvl="6" w:tplc="04090001" w:tentative="1">
      <w:start w:val="1"/>
      <w:numFmt w:val="bullet"/>
      <w:lvlText w:val=""/>
      <w:lvlJc w:val="left"/>
      <w:pPr>
        <w:tabs>
          <w:tab w:val="num" w:pos="6911"/>
        </w:tabs>
        <w:ind w:left="6911" w:hanging="360"/>
      </w:pPr>
      <w:rPr>
        <w:rFonts w:ascii="Symbol" w:hAnsi="Symbol" w:hint="default"/>
      </w:rPr>
    </w:lvl>
    <w:lvl w:ilvl="7" w:tplc="04090003" w:tentative="1">
      <w:start w:val="1"/>
      <w:numFmt w:val="bullet"/>
      <w:lvlText w:val="o"/>
      <w:lvlJc w:val="left"/>
      <w:pPr>
        <w:tabs>
          <w:tab w:val="num" w:pos="7631"/>
        </w:tabs>
        <w:ind w:left="7631" w:hanging="360"/>
      </w:pPr>
      <w:rPr>
        <w:rFonts w:ascii="Courier New" w:hAnsi="Courier New" w:cs="Courier New" w:hint="default"/>
      </w:rPr>
    </w:lvl>
    <w:lvl w:ilvl="8" w:tplc="04090005" w:tentative="1">
      <w:start w:val="1"/>
      <w:numFmt w:val="bullet"/>
      <w:lvlText w:val=""/>
      <w:lvlJc w:val="left"/>
      <w:pPr>
        <w:tabs>
          <w:tab w:val="num" w:pos="8351"/>
        </w:tabs>
        <w:ind w:left="8351" w:hanging="360"/>
      </w:pPr>
      <w:rPr>
        <w:rFonts w:ascii="Wingdings" w:hAnsi="Wingdings" w:hint="default"/>
      </w:rPr>
    </w:lvl>
  </w:abstractNum>
  <w:abstractNum w:abstractNumId="11">
    <w:nsid w:val="444C6B73"/>
    <w:multiLevelType w:val="hybridMultilevel"/>
    <w:tmpl w:val="C742E3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9C35A51"/>
    <w:multiLevelType w:val="singleLevel"/>
    <w:tmpl w:val="3A02AADE"/>
    <w:lvl w:ilvl="0">
      <w:start w:val="1"/>
      <w:numFmt w:val="decimal"/>
      <w:lvlText w:val="%1."/>
      <w:legacy w:legacy="1" w:legacySpace="120" w:legacyIndent="360"/>
      <w:lvlJc w:val="left"/>
      <w:pPr>
        <w:ind w:left="1571" w:hanging="360"/>
      </w:pPr>
    </w:lvl>
  </w:abstractNum>
  <w:abstractNum w:abstractNumId="13">
    <w:nsid w:val="5A5F4A5E"/>
    <w:multiLevelType w:val="hybridMultilevel"/>
    <w:tmpl w:val="8E0C0364"/>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start w:val="1"/>
      <w:numFmt w:val="bullet"/>
      <w:lvlText w:val=""/>
      <w:lvlJc w:val="left"/>
      <w:pPr>
        <w:ind w:left="3731" w:hanging="360"/>
      </w:pPr>
      <w:rPr>
        <w:rFonts w:ascii="Symbol" w:hAnsi="Symbol" w:hint="default"/>
      </w:rPr>
    </w:lvl>
    <w:lvl w:ilvl="4" w:tplc="0C090003">
      <w:start w:val="1"/>
      <w:numFmt w:val="bullet"/>
      <w:lvlText w:val="o"/>
      <w:lvlJc w:val="left"/>
      <w:pPr>
        <w:ind w:left="4451" w:hanging="360"/>
      </w:pPr>
      <w:rPr>
        <w:rFonts w:ascii="Courier New" w:hAnsi="Courier New" w:cs="Courier New" w:hint="default"/>
      </w:rPr>
    </w:lvl>
    <w:lvl w:ilvl="5" w:tplc="0C090005">
      <w:start w:val="1"/>
      <w:numFmt w:val="bullet"/>
      <w:lvlText w:val=""/>
      <w:lvlJc w:val="left"/>
      <w:pPr>
        <w:ind w:left="5171" w:hanging="360"/>
      </w:pPr>
      <w:rPr>
        <w:rFonts w:ascii="Wingdings" w:hAnsi="Wingdings" w:hint="default"/>
      </w:rPr>
    </w:lvl>
    <w:lvl w:ilvl="6" w:tplc="0C090001">
      <w:start w:val="1"/>
      <w:numFmt w:val="bullet"/>
      <w:lvlText w:val=""/>
      <w:lvlJc w:val="left"/>
      <w:pPr>
        <w:ind w:left="5891" w:hanging="360"/>
      </w:pPr>
      <w:rPr>
        <w:rFonts w:ascii="Symbol" w:hAnsi="Symbol" w:hint="default"/>
      </w:rPr>
    </w:lvl>
    <w:lvl w:ilvl="7" w:tplc="0C090003">
      <w:start w:val="1"/>
      <w:numFmt w:val="bullet"/>
      <w:lvlText w:val="o"/>
      <w:lvlJc w:val="left"/>
      <w:pPr>
        <w:ind w:left="6611" w:hanging="360"/>
      </w:pPr>
      <w:rPr>
        <w:rFonts w:ascii="Courier New" w:hAnsi="Courier New" w:cs="Courier New" w:hint="default"/>
      </w:rPr>
    </w:lvl>
    <w:lvl w:ilvl="8" w:tplc="0C090005">
      <w:start w:val="1"/>
      <w:numFmt w:val="bullet"/>
      <w:lvlText w:val=""/>
      <w:lvlJc w:val="left"/>
      <w:pPr>
        <w:ind w:left="7331" w:hanging="360"/>
      </w:pPr>
      <w:rPr>
        <w:rFonts w:ascii="Wingdings" w:hAnsi="Wingdings" w:hint="default"/>
      </w:rPr>
    </w:lvl>
  </w:abstractNum>
  <w:abstractNum w:abstractNumId="14">
    <w:nsid w:val="6018525B"/>
    <w:multiLevelType w:val="hybridMultilevel"/>
    <w:tmpl w:val="345ABBE2"/>
    <w:lvl w:ilvl="0" w:tplc="07CA2DF4">
      <w:start w:val="1"/>
      <w:numFmt w:val="bullet"/>
      <w:pStyle w:val="Bullets2"/>
      <w:lvlText w:val=""/>
      <w:lvlJc w:val="left"/>
      <w:pPr>
        <w:tabs>
          <w:tab w:val="num" w:pos="1644"/>
        </w:tabs>
        <w:ind w:left="1644" w:hanging="397"/>
      </w:pPr>
      <w:rPr>
        <w:rFonts w:ascii="Wingdings" w:hAnsi="Wingdings"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5">
    <w:nsid w:val="628843AE"/>
    <w:multiLevelType w:val="hybridMultilevel"/>
    <w:tmpl w:val="3976E38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6">
    <w:nsid w:val="74FC465A"/>
    <w:multiLevelType w:val="hybridMultilevel"/>
    <w:tmpl w:val="69BA892C"/>
    <w:lvl w:ilvl="0" w:tplc="F920CC90">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7">
    <w:nsid w:val="753F4DC6"/>
    <w:multiLevelType w:val="hybridMultilevel"/>
    <w:tmpl w:val="317AA558"/>
    <w:lvl w:ilvl="0" w:tplc="6C321D7E">
      <w:start w:val="1"/>
      <w:numFmt w:val="bullet"/>
      <w:pStyle w:val="Bullets"/>
      <w:lvlText w:val=""/>
      <w:lvlJc w:val="left"/>
      <w:pPr>
        <w:tabs>
          <w:tab w:val="num" w:pos="1587"/>
        </w:tabs>
        <w:ind w:left="1587" w:hanging="396"/>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8">
    <w:nsid w:val="76C5312E"/>
    <w:multiLevelType w:val="hybridMultilevel"/>
    <w:tmpl w:val="F85EC45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9">
    <w:nsid w:val="7D98136D"/>
    <w:multiLevelType w:val="hybridMultilevel"/>
    <w:tmpl w:val="022CA374"/>
    <w:lvl w:ilvl="0" w:tplc="0C09000F">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0"/>
  </w:num>
  <w:num w:numId="2">
    <w:abstractNumId w:val="14"/>
  </w:num>
  <w:num w:numId="3">
    <w:abstractNumId w:val="17"/>
  </w:num>
  <w:num w:numId="4">
    <w:abstractNumId w:val="4"/>
  </w:num>
  <w:num w:numId="5">
    <w:abstractNumId w:val="16"/>
  </w:num>
  <w:num w:numId="6">
    <w:abstractNumId w:val="9"/>
  </w:num>
  <w:num w:numId="7">
    <w:abstractNumId w:val="0"/>
  </w:num>
  <w:num w:numId="8">
    <w:abstractNumId w:val="0"/>
  </w:num>
  <w:num w:numId="9">
    <w:abstractNumId w:val="0"/>
  </w:num>
  <w:num w:numId="10">
    <w:abstractNumId w:val="0"/>
  </w:num>
  <w:num w:numId="11">
    <w:abstractNumId w:val="0"/>
  </w:num>
  <w:num w:numId="12">
    <w:abstractNumId w:val="3"/>
  </w:num>
  <w:num w:numId="13">
    <w:abstractNumId w:val="18"/>
  </w:num>
  <w:num w:numId="14">
    <w:abstractNumId w:val="19"/>
  </w:num>
  <w:num w:numId="15">
    <w:abstractNumId w:val="15"/>
  </w:num>
  <w:num w:numId="16">
    <w:abstractNumId w:val="1"/>
    <w:lvlOverride w:ilvl="0">
      <w:lvl w:ilvl="0">
        <w:start w:val="1"/>
        <w:numFmt w:val="bullet"/>
        <w:lvlText w:val=""/>
        <w:legacy w:legacy="1" w:legacySpace="120" w:legacyIndent="396"/>
        <w:lvlJc w:val="left"/>
        <w:pPr>
          <w:ind w:left="1247" w:hanging="396"/>
        </w:pPr>
        <w:rPr>
          <w:rFonts w:ascii="Symbol" w:hAnsi="Symbol" w:hint="default"/>
        </w:rPr>
      </w:lvl>
    </w:lvlOverride>
  </w:num>
  <w:num w:numId="17">
    <w:abstractNumId w:val="13"/>
  </w:num>
  <w:num w:numId="18">
    <w:abstractNumId w:val="6"/>
  </w:num>
  <w:num w:numId="19">
    <w:abstractNumId w:val="5"/>
  </w:num>
  <w:num w:numId="20">
    <w:abstractNumId w:val="7"/>
  </w:num>
  <w:num w:numId="21">
    <w:abstractNumId w:val="11"/>
  </w:num>
  <w:num w:numId="22">
    <w:abstractNumId w:val="12"/>
  </w:num>
  <w:num w:numId="23">
    <w:abstractNumId w:val="2"/>
  </w:num>
  <w:num w:numId="24">
    <w:abstractNumId w:val="8"/>
  </w:num>
  <w:num w:numId="25">
    <w:abstractNumId w:val="1"/>
    <w:lvlOverride w:ilvl="0">
      <w:lvl w:ilvl="0">
        <w:start w:val="1"/>
        <w:numFmt w:val="bullet"/>
        <w:lvlText w:val=""/>
        <w:legacy w:legacy="1" w:legacySpace="120" w:legacyIndent="360"/>
        <w:lvlJc w:val="left"/>
        <w:pPr>
          <w:ind w:left="1571" w:hanging="360"/>
        </w:pPr>
        <w:rPr>
          <w:rFonts w:ascii="Symbol" w:hAnsi="Symbol" w:hint="default"/>
        </w:rPr>
      </w:lvl>
    </w:lvlOverride>
  </w:num>
  <w:num w:numId="2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activeWritingStyle w:appName="MSWord" w:lang="en-AU" w:vendorID="64" w:dllVersion="131077" w:nlCheck="1" w:checkStyle="1"/>
  <w:activeWritingStyle w:appName="MSWord" w:lang="en-US" w:vendorID="64" w:dllVersion="131077"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n-GB"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clickAndTypeStyle w:val="Text"/>
  <w:drawingGridHorizontalSpacing w:val="120"/>
  <w:drawingGridVerticalSpacing w:val="120"/>
  <w:displayVerticalDrawingGridEvery w:val="0"/>
  <w:doNotUseMarginsForDrawingGridOrigin/>
  <w:noPunctuationKerning/>
  <w:characterSpacingControl w:val="doNotCompress"/>
  <w:hdrShapeDefaults>
    <o:shapedefaults v:ext="edit" spidmax="30722"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AA9"/>
    <w:rsid w:val="00007AD7"/>
    <w:rsid w:val="00007E4E"/>
    <w:rsid w:val="00021D08"/>
    <w:rsid w:val="00023D9C"/>
    <w:rsid w:val="00023F1B"/>
    <w:rsid w:val="00024D48"/>
    <w:rsid w:val="00026B6D"/>
    <w:rsid w:val="00046074"/>
    <w:rsid w:val="000503EC"/>
    <w:rsid w:val="0005662F"/>
    <w:rsid w:val="00057969"/>
    <w:rsid w:val="00064985"/>
    <w:rsid w:val="0006571A"/>
    <w:rsid w:val="0007791B"/>
    <w:rsid w:val="000907A7"/>
    <w:rsid w:val="000964E6"/>
    <w:rsid w:val="0009783E"/>
    <w:rsid w:val="000A03FD"/>
    <w:rsid w:val="000A2043"/>
    <w:rsid w:val="000A295A"/>
    <w:rsid w:val="000A5AB5"/>
    <w:rsid w:val="000A7922"/>
    <w:rsid w:val="000B44A7"/>
    <w:rsid w:val="000B53BC"/>
    <w:rsid w:val="000B6A8E"/>
    <w:rsid w:val="000C17C5"/>
    <w:rsid w:val="000C5CAD"/>
    <w:rsid w:val="000D0B4A"/>
    <w:rsid w:val="000D11E0"/>
    <w:rsid w:val="000D1AA0"/>
    <w:rsid w:val="000D71E3"/>
    <w:rsid w:val="000E1F4F"/>
    <w:rsid w:val="000F1D53"/>
    <w:rsid w:val="000F7DF6"/>
    <w:rsid w:val="00102BFA"/>
    <w:rsid w:val="00111A9A"/>
    <w:rsid w:val="00112B7A"/>
    <w:rsid w:val="00116DA0"/>
    <w:rsid w:val="001174DD"/>
    <w:rsid w:val="001209C2"/>
    <w:rsid w:val="001278F9"/>
    <w:rsid w:val="0013575D"/>
    <w:rsid w:val="00140933"/>
    <w:rsid w:val="00150AF5"/>
    <w:rsid w:val="00152016"/>
    <w:rsid w:val="00162C9C"/>
    <w:rsid w:val="00164093"/>
    <w:rsid w:val="00164C0E"/>
    <w:rsid w:val="00166E13"/>
    <w:rsid w:val="00176985"/>
    <w:rsid w:val="00176B7B"/>
    <w:rsid w:val="00176B82"/>
    <w:rsid w:val="001807EF"/>
    <w:rsid w:val="00183B13"/>
    <w:rsid w:val="00184EF4"/>
    <w:rsid w:val="00187766"/>
    <w:rsid w:val="0019268C"/>
    <w:rsid w:val="001A4B6A"/>
    <w:rsid w:val="001B13E2"/>
    <w:rsid w:val="001B264F"/>
    <w:rsid w:val="001B4D22"/>
    <w:rsid w:val="001B6E81"/>
    <w:rsid w:val="001C3A4A"/>
    <w:rsid w:val="001C71A9"/>
    <w:rsid w:val="001D4040"/>
    <w:rsid w:val="001D4831"/>
    <w:rsid w:val="001D4D94"/>
    <w:rsid w:val="001D61DC"/>
    <w:rsid w:val="001E0E03"/>
    <w:rsid w:val="001E2788"/>
    <w:rsid w:val="001E29C9"/>
    <w:rsid w:val="001E4CD5"/>
    <w:rsid w:val="001E767E"/>
    <w:rsid w:val="001E7E61"/>
    <w:rsid w:val="001F273C"/>
    <w:rsid w:val="001F3873"/>
    <w:rsid w:val="00201269"/>
    <w:rsid w:val="00207F00"/>
    <w:rsid w:val="002113B1"/>
    <w:rsid w:val="002247D2"/>
    <w:rsid w:val="002249DE"/>
    <w:rsid w:val="00226762"/>
    <w:rsid w:val="0023387C"/>
    <w:rsid w:val="002365A6"/>
    <w:rsid w:val="00237CBE"/>
    <w:rsid w:val="00240272"/>
    <w:rsid w:val="002405A3"/>
    <w:rsid w:val="0024730C"/>
    <w:rsid w:val="0025036D"/>
    <w:rsid w:val="002626C2"/>
    <w:rsid w:val="002720DD"/>
    <w:rsid w:val="002733CB"/>
    <w:rsid w:val="00275AC1"/>
    <w:rsid w:val="00275E26"/>
    <w:rsid w:val="0027635A"/>
    <w:rsid w:val="002778AB"/>
    <w:rsid w:val="00282BC3"/>
    <w:rsid w:val="002839AD"/>
    <w:rsid w:val="002857F3"/>
    <w:rsid w:val="00292754"/>
    <w:rsid w:val="00293B1E"/>
    <w:rsid w:val="002A2EEC"/>
    <w:rsid w:val="002A3127"/>
    <w:rsid w:val="002A4631"/>
    <w:rsid w:val="002A7682"/>
    <w:rsid w:val="002B1FAA"/>
    <w:rsid w:val="002B6A58"/>
    <w:rsid w:val="002B7959"/>
    <w:rsid w:val="002C15BA"/>
    <w:rsid w:val="002C39D3"/>
    <w:rsid w:val="002C6D89"/>
    <w:rsid w:val="002C792F"/>
    <w:rsid w:val="002C7951"/>
    <w:rsid w:val="002D1D0F"/>
    <w:rsid w:val="002D40EB"/>
    <w:rsid w:val="002D53E9"/>
    <w:rsid w:val="002E0AD1"/>
    <w:rsid w:val="002F0317"/>
    <w:rsid w:val="002F34C8"/>
    <w:rsid w:val="002F701E"/>
    <w:rsid w:val="002F70C6"/>
    <w:rsid w:val="0030092F"/>
    <w:rsid w:val="003033CA"/>
    <w:rsid w:val="0030347E"/>
    <w:rsid w:val="0031065D"/>
    <w:rsid w:val="00312FDD"/>
    <w:rsid w:val="00325257"/>
    <w:rsid w:val="00332D3D"/>
    <w:rsid w:val="00336A61"/>
    <w:rsid w:val="00337E28"/>
    <w:rsid w:val="00357A95"/>
    <w:rsid w:val="00366857"/>
    <w:rsid w:val="003708BE"/>
    <w:rsid w:val="00370BBB"/>
    <w:rsid w:val="003731CF"/>
    <w:rsid w:val="003758E6"/>
    <w:rsid w:val="0037773C"/>
    <w:rsid w:val="0038726F"/>
    <w:rsid w:val="003919DD"/>
    <w:rsid w:val="00392841"/>
    <w:rsid w:val="0039577A"/>
    <w:rsid w:val="00396355"/>
    <w:rsid w:val="003B6902"/>
    <w:rsid w:val="003C0C93"/>
    <w:rsid w:val="003C2397"/>
    <w:rsid w:val="003D5715"/>
    <w:rsid w:val="003D632D"/>
    <w:rsid w:val="003E4F0B"/>
    <w:rsid w:val="003F0791"/>
    <w:rsid w:val="003F0CF1"/>
    <w:rsid w:val="003F5B42"/>
    <w:rsid w:val="004011DF"/>
    <w:rsid w:val="00401BEC"/>
    <w:rsid w:val="00406817"/>
    <w:rsid w:val="00407503"/>
    <w:rsid w:val="00407A8D"/>
    <w:rsid w:val="00410049"/>
    <w:rsid w:val="004109DB"/>
    <w:rsid w:val="00410D10"/>
    <w:rsid w:val="0041315C"/>
    <w:rsid w:val="00415899"/>
    <w:rsid w:val="00415914"/>
    <w:rsid w:val="00430B8C"/>
    <w:rsid w:val="004319DE"/>
    <w:rsid w:val="00432346"/>
    <w:rsid w:val="004330E0"/>
    <w:rsid w:val="0043368E"/>
    <w:rsid w:val="004404E8"/>
    <w:rsid w:val="004460A4"/>
    <w:rsid w:val="00446981"/>
    <w:rsid w:val="00446F54"/>
    <w:rsid w:val="00447376"/>
    <w:rsid w:val="00450BCD"/>
    <w:rsid w:val="00452ABD"/>
    <w:rsid w:val="00460D59"/>
    <w:rsid w:val="004629A4"/>
    <w:rsid w:val="00463DB9"/>
    <w:rsid w:val="0046729C"/>
    <w:rsid w:val="0047013F"/>
    <w:rsid w:val="00473629"/>
    <w:rsid w:val="00473F1C"/>
    <w:rsid w:val="00484B6A"/>
    <w:rsid w:val="0048725A"/>
    <w:rsid w:val="00491BD1"/>
    <w:rsid w:val="004933AA"/>
    <w:rsid w:val="004A2717"/>
    <w:rsid w:val="004B6825"/>
    <w:rsid w:val="004B78EE"/>
    <w:rsid w:val="004D060D"/>
    <w:rsid w:val="004E4B9F"/>
    <w:rsid w:val="004E7780"/>
    <w:rsid w:val="004F3E14"/>
    <w:rsid w:val="00500C36"/>
    <w:rsid w:val="005010FE"/>
    <w:rsid w:val="00506B7A"/>
    <w:rsid w:val="0051324E"/>
    <w:rsid w:val="0051472C"/>
    <w:rsid w:val="005163C0"/>
    <w:rsid w:val="005174BC"/>
    <w:rsid w:val="00522363"/>
    <w:rsid w:val="00522C22"/>
    <w:rsid w:val="0052381E"/>
    <w:rsid w:val="0053162D"/>
    <w:rsid w:val="0053485A"/>
    <w:rsid w:val="0053763F"/>
    <w:rsid w:val="00542BBC"/>
    <w:rsid w:val="00543A78"/>
    <w:rsid w:val="0054423C"/>
    <w:rsid w:val="00544E8F"/>
    <w:rsid w:val="00546F41"/>
    <w:rsid w:val="00550209"/>
    <w:rsid w:val="00550D40"/>
    <w:rsid w:val="0055338D"/>
    <w:rsid w:val="005533F8"/>
    <w:rsid w:val="00556DD7"/>
    <w:rsid w:val="0057285D"/>
    <w:rsid w:val="00572A68"/>
    <w:rsid w:val="005739A7"/>
    <w:rsid w:val="00574EEB"/>
    <w:rsid w:val="005764DA"/>
    <w:rsid w:val="00585269"/>
    <w:rsid w:val="0058719F"/>
    <w:rsid w:val="00591275"/>
    <w:rsid w:val="00596BA2"/>
    <w:rsid w:val="00597D73"/>
    <w:rsid w:val="005A50C4"/>
    <w:rsid w:val="005B02B0"/>
    <w:rsid w:val="005B06A1"/>
    <w:rsid w:val="005C4D6B"/>
    <w:rsid w:val="005D3401"/>
    <w:rsid w:val="005D355F"/>
    <w:rsid w:val="005D5B28"/>
    <w:rsid w:val="005E0B8F"/>
    <w:rsid w:val="005F7183"/>
    <w:rsid w:val="006022AA"/>
    <w:rsid w:val="00611733"/>
    <w:rsid w:val="0061246D"/>
    <w:rsid w:val="0062625E"/>
    <w:rsid w:val="0062665C"/>
    <w:rsid w:val="00626C6C"/>
    <w:rsid w:val="00632DC5"/>
    <w:rsid w:val="00633451"/>
    <w:rsid w:val="006337ED"/>
    <w:rsid w:val="00645AD5"/>
    <w:rsid w:val="006469E9"/>
    <w:rsid w:val="006476E2"/>
    <w:rsid w:val="00647EA7"/>
    <w:rsid w:val="00651A17"/>
    <w:rsid w:val="0065200B"/>
    <w:rsid w:val="0065545E"/>
    <w:rsid w:val="00656C55"/>
    <w:rsid w:val="00661FD8"/>
    <w:rsid w:val="00662014"/>
    <w:rsid w:val="006625FD"/>
    <w:rsid w:val="00666B86"/>
    <w:rsid w:val="00666D38"/>
    <w:rsid w:val="006701B5"/>
    <w:rsid w:val="006718A3"/>
    <w:rsid w:val="00672017"/>
    <w:rsid w:val="00672318"/>
    <w:rsid w:val="006764FA"/>
    <w:rsid w:val="0067692C"/>
    <w:rsid w:val="00677AF5"/>
    <w:rsid w:val="00681C68"/>
    <w:rsid w:val="006823C1"/>
    <w:rsid w:val="00682B8D"/>
    <w:rsid w:val="006834B9"/>
    <w:rsid w:val="00684057"/>
    <w:rsid w:val="0068446E"/>
    <w:rsid w:val="00696FCC"/>
    <w:rsid w:val="0069766B"/>
    <w:rsid w:val="006A26F2"/>
    <w:rsid w:val="006A5B6B"/>
    <w:rsid w:val="006A66D6"/>
    <w:rsid w:val="006A7F44"/>
    <w:rsid w:val="006B1B72"/>
    <w:rsid w:val="006B3020"/>
    <w:rsid w:val="006C189D"/>
    <w:rsid w:val="006C573F"/>
    <w:rsid w:val="006D5F65"/>
    <w:rsid w:val="006E0A04"/>
    <w:rsid w:val="006E5DA5"/>
    <w:rsid w:val="006E7D9B"/>
    <w:rsid w:val="006F472A"/>
    <w:rsid w:val="006F4862"/>
    <w:rsid w:val="006F5A7A"/>
    <w:rsid w:val="007012B9"/>
    <w:rsid w:val="007018E6"/>
    <w:rsid w:val="007042C5"/>
    <w:rsid w:val="00710DC2"/>
    <w:rsid w:val="00713E49"/>
    <w:rsid w:val="00715D9D"/>
    <w:rsid w:val="0071637B"/>
    <w:rsid w:val="007210A6"/>
    <w:rsid w:val="00721538"/>
    <w:rsid w:val="0072577D"/>
    <w:rsid w:val="0073204D"/>
    <w:rsid w:val="00732152"/>
    <w:rsid w:val="007372EF"/>
    <w:rsid w:val="00743567"/>
    <w:rsid w:val="007446E5"/>
    <w:rsid w:val="00756E6A"/>
    <w:rsid w:val="007572DB"/>
    <w:rsid w:val="0076179D"/>
    <w:rsid w:val="007635BE"/>
    <w:rsid w:val="00763694"/>
    <w:rsid w:val="007643C8"/>
    <w:rsid w:val="007658DB"/>
    <w:rsid w:val="00776899"/>
    <w:rsid w:val="00777446"/>
    <w:rsid w:val="00780496"/>
    <w:rsid w:val="0078144F"/>
    <w:rsid w:val="007A11A7"/>
    <w:rsid w:val="007A1AA9"/>
    <w:rsid w:val="007A2BF9"/>
    <w:rsid w:val="007A44FB"/>
    <w:rsid w:val="007A5E51"/>
    <w:rsid w:val="007A677C"/>
    <w:rsid w:val="007B077F"/>
    <w:rsid w:val="007B4C6D"/>
    <w:rsid w:val="007B70F8"/>
    <w:rsid w:val="007C0020"/>
    <w:rsid w:val="007C0ACF"/>
    <w:rsid w:val="007C20F2"/>
    <w:rsid w:val="007C2179"/>
    <w:rsid w:val="007C2D65"/>
    <w:rsid w:val="007C7226"/>
    <w:rsid w:val="007C764C"/>
    <w:rsid w:val="007C7809"/>
    <w:rsid w:val="007C7B95"/>
    <w:rsid w:val="007D2A1D"/>
    <w:rsid w:val="007D44F2"/>
    <w:rsid w:val="007E1373"/>
    <w:rsid w:val="007E4FD8"/>
    <w:rsid w:val="007E6862"/>
    <w:rsid w:val="007E7163"/>
    <w:rsid w:val="00801B1D"/>
    <w:rsid w:val="00803678"/>
    <w:rsid w:val="008047C7"/>
    <w:rsid w:val="0081322E"/>
    <w:rsid w:val="00816AE3"/>
    <w:rsid w:val="0082053F"/>
    <w:rsid w:val="00824C1D"/>
    <w:rsid w:val="00833D38"/>
    <w:rsid w:val="008359B7"/>
    <w:rsid w:val="00850B65"/>
    <w:rsid w:val="00853BA9"/>
    <w:rsid w:val="0086134D"/>
    <w:rsid w:val="00865D5D"/>
    <w:rsid w:val="00866E74"/>
    <w:rsid w:val="008679D0"/>
    <w:rsid w:val="00871503"/>
    <w:rsid w:val="008753CC"/>
    <w:rsid w:val="0087609B"/>
    <w:rsid w:val="00876663"/>
    <w:rsid w:val="00882AE1"/>
    <w:rsid w:val="00883482"/>
    <w:rsid w:val="008847F7"/>
    <w:rsid w:val="008907A1"/>
    <w:rsid w:val="008A3D43"/>
    <w:rsid w:val="008A5EBB"/>
    <w:rsid w:val="008A6C3B"/>
    <w:rsid w:val="008A7863"/>
    <w:rsid w:val="008B58F5"/>
    <w:rsid w:val="008C4EFC"/>
    <w:rsid w:val="008D30AE"/>
    <w:rsid w:val="008D3A08"/>
    <w:rsid w:val="008D636D"/>
    <w:rsid w:val="008D6DA8"/>
    <w:rsid w:val="008E0FBA"/>
    <w:rsid w:val="008E3F5F"/>
    <w:rsid w:val="008E51DA"/>
    <w:rsid w:val="008F1E39"/>
    <w:rsid w:val="009025AA"/>
    <w:rsid w:val="009035CD"/>
    <w:rsid w:val="0091093C"/>
    <w:rsid w:val="00916A4E"/>
    <w:rsid w:val="0091741D"/>
    <w:rsid w:val="00917B74"/>
    <w:rsid w:val="009239F3"/>
    <w:rsid w:val="00926718"/>
    <w:rsid w:val="00926DA9"/>
    <w:rsid w:val="00927930"/>
    <w:rsid w:val="00927BE2"/>
    <w:rsid w:val="009348D0"/>
    <w:rsid w:val="00935ECC"/>
    <w:rsid w:val="00940083"/>
    <w:rsid w:val="009404DF"/>
    <w:rsid w:val="00941EFE"/>
    <w:rsid w:val="00956F9B"/>
    <w:rsid w:val="00960442"/>
    <w:rsid w:val="00961518"/>
    <w:rsid w:val="0097043C"/>
    <w:rsid w:val="00971A69"/>
    <w:rsid w:val="00976C3D"/>
    <w:rsid w:val="0098006A"/>
    <w:rsid w:val="00981409"/>
    <w:rsid w:val="00981DBD"/>
    <w:rsid w:val="00982DF2"/>
    <w:rsid w:val="00985FB2"/>
    <w:rsid w:val="00995170"/>
    <w:rsid w:val="009A0188"/>
    <w:rsid w:val="009A0873"/>
    <w:rsid w:val="009A4BC5"/>
    <w:rsid w:val="009A7DBB"/>
    <w:rsid w:val="009B39B1"/>
    <w:rsid w:val="009C0855"/>
    <w:rsid w:val="009C0B77"/>
    <w:rsid w:val="009C53D0"/>
    <w:rsid w:val="009C7114"/>
    <w:rsid w:val="009D0A0F"/>
    <w:rsid w:val="009D2A5E"/>
    <w:rsid w:val="009D4B85"/>
    <w:rsid w:val="009D6BBB"/>
    <w:rsid w:val="009E725F"/>
    <w:rsid w:val="009F1B7A"/>
    <w:rsid w:val="009F1E64"/>
    <w:rsid w:val="009F228A"/>
    <w:rsid w:val="00A03D3E"/>
    <w:rsid w:val="00A155AD"/>
    <w:rsid w:val="00A1768F"/>
    <w:rsid w:val="00A361F9"/>
    <w:rsid w:val="00A40376"/>
    <w:rsid w:val="00A427F1"/>
    <w:rsid w:val="00A47558"/>
    <w:rsid w:val="00A51B38"/>
    <w:rsid w:val="00A52467"/>
    <w:rsid w:val="00A525F1"/>
    <w:rsid w:val="00A62145"/>
    <w:rsid w:val="00A627D4"/>
    <w:rsid w:val="00A816C8"/>
    <w:rsid w:val="00A83F38"/>
    <w:rsid w:val="00A85E5F"/>
    <w:rsid w:val="00A926A2"/>
    <w:rsid w:val="00A95E7A"/>
    <w:rsid w:val="00AA7F93"/>
    <w:rsid w:val="00AB2206"/>
    <w:rsid w:val="00AB2FEA"/>
    <w:rsid w:val="00AB3905"/>
    <w:rsid w:val="00AB71C1"/>
    <w:rsid w:val="00AC5452"/>
    <w:rsid w:val="00AC6986"/>
    <w:rsid w:val="00AD174D"/>
    <w:rsid w:val="00AD36BC"/>
    <w:rsid w:val="00AE0A90"/>
    <w:rsid w:val="00AE35DC"/>
    <w:rsid w:val="00AE6382"/>
    <w:rsid w:val="00AE6CC8"/>
    <w:rsid w:val="00AF5A5E"/>
    <w:rsid w:val="00B019D0"/>
    <w:rsid w:val="00B023A6"/>
    <w:rsid w:val="00B02ADF"/>
    <w:rsid w:val="00B02D66"/>
    <w:rsid w:val="00B112F6"/>
    <w:rsid w:val="00B11FCF"/>
    <w:rsid w:val="00B163FE"/>
    <w:rsid w:val="00B2110D"/>
    <w:rsid w:val="00B26EF8"/>
    <w:rsid w:val="00B352A8"/>
    <w:rsid w:val="00B37279"/>
    <w:rsid w:val="00B4005F"/>
    <w:rsid w:val="00B443B5"/>
    <w:rsid w:val="00B5130A"/>
    <w:rsid w:val="00B55EE8"/>
    <w:rsid w:val="00B56DD3"/>
    <w:rsid w:val="00B57FEE"/>
    <w:rsid w:val="00B633A1"/>
    <w:rsid w:val="00B72E4B"/>
    <w:rsid w:val="00B7604F"/>
    <w:rsid w:val="00B82C20"/>
    <w:rsid w:val="00B8704D"/>
    <w:rsid w:val="00B91691"/>
    <w:rsid w:val="00B9301C"/>
    <w:rsid w:val="00B93100"/>
    <w:rsid w:val="00B96519"/>
    <w:rsid w:val="00B97C81"/>
    <w:rsid w:val="00BA4F4B"/>
    <w:rsid w:val="00BA58E5"/>
    <w:rsid w:val="00BB6D01"/>
    <w:rsid w:val="00BB6E60"/>
    <w:rsid w:val="00BC5B1D"/>
    <w:rsid w:val="00BD0636"/>
    <w:rsid w:val="00BE27E3"/>
    <w:rsid w:val="00BE5135"/>
    <w:rsid w:val="00BE725D"/>
    <w:rsid w:val="00BF2E54"/>
    <w:rsid w:val="00BF5508"/>
    <w:rsid w:val="00BF6760"/>
    <w:rsid w:val="00C073EA"/>
    <w:rsid w:val="00C109F9"/>
    <w:rsid w:val="00C15726"/>
    <w:rsid w:val="00C24764"/>
    <w:rsid w:val="00C25661"/>
    <w:rsid w:val="00C26536"/>
    <w:rsid w:val="00C32E46"/>
    <w:rsid w:val="00C434C1"/>
    <w:rsid w:val="00C500EF"/>
    <w:rsid w:val="00C52607"/>
    <w:rsid w:val="00C55340"/>
    <w:rsid w:val="00C57D4B"/>
    <w:rsid w:val="00C62EB2"/>
    <w:rsid w:val="00C63086"/>
    <w:rsid w:val="00C6403B"/>
    <w:rsid w:val="00C6623E"/>
    <w:rsid w:val="00C775DF"/>
    <w:rsid w:val="00C85887"/>
    <w:rsid w:val="00C86459"/>
    <w:rsid w:val="00C90364"/>
    <w:rsid w:val="00C9344F"/>
    <w:rsid w:val="00CA0A1A"/>
    <w:rsid w:val="00CA3340"/>
    <w:rsid w:val="00CA4C7A"/>
    <w:rsid w:val="00CB2DA9"/>
    <w:rsid w:val="00CB43CE"/>
    <w:rsid w:val="00CB5B67"/>
    <w:rsid w:val="00CB5BBC"/>
    <w:rsid w:val="00CC30D6"/>
    <w:rsid w:val="00CC3926"/>
    <w:rsid w:val="00CC41A8"/>
    <w:rsid w:val="00CC5500"/>
    <w:rsid w:val="00CC5D90"/>
    <w:rsid w:val="00CC5EF1"/>
    <w:rsid w:val="00CD042B"/>
    <w:rsid w:val="00CF051E"/>
    <w:rsid w:val="00CF4C91"/>
    <w:rsid w:val="00CF73F7"/>
    <w:rsid w:val="00D02344"/>
    <w:rsid w:val="00D0562A"/>
    <w:rsid w:val="00D1063C"/>
    <w:rsid w:val="00D30B3B"/>
    <w:rsid w:val="00D33B70"/>
    <w:rsid w:val="00D35E8D"/>
    <w:rsid w:val="00D360C4"/>
    <w:rsid w:val="00D36FAE"/>
    <w:rsid w:val="00D37071"/>
    <w:rsid w:val="00D4422C"/>
    <w:rsid w:val="00D57D13"/>
    <w:rsid w:val="00D63848"/>
    <w:rsid w:val="00D71DAF"/>
    <w:rsid w:val="00D7351D"/>
    <w:rsid w:val="00D7666D"/>
    <w:rsid w:val="00D76CAA"/>
    <w:rsid w:val="00D82EEF"/>
    <w:rsid w:val="00D90785"/>
    <w:rsid w:val="00D92C56"/>
    <w:rsid w:val="00D92EEF"/>
    <w:rsid w:val="00D941EC"/>
    <w:rsid w:val="00D948E1"/>
    <w:rsid w:val="00D965C7"/>
    <w:rsid w:val="00D97C6F"/>
    <w:rsid w:val="00DA0034"/>
    <w:rsid w:val="00DA0F7B"/>
    <w:rsid w:val="00DA2EFB"/>
    <w:rsid w:val="00DA46AD"/>
    <w:rsid w:val="00DC64F8"/>
    <w:rsid w:val="00DC6E94"/>
    <w:rsid w:val="00DE2962"/>
    <w:rsid w:val="00DE37AD"/>
    <w:rsid w:val="00DE4383"/>
    <w:rsid w:val="00DE6CFF"/>
    <w:rsid w:val="00DE72F0"/>
    <w:rsid w:val="00DF4C7F"/>
    <w:rsid w:val="00DF6F96"/>
    <w:rsid w:val="00DF7D3F"/>
    <w:rsid w:val="00E00D7E"/>
    <w:rsid w:val="00E02A73"/>
    <w:rsid w:val="00E060C9"/>
    <w:rsid w:val="00E07410"/>
    <w:rsid w:val="00E10E91"/>
    <w:rsid w:val="00E16583"/>
    <w:rsid w:val="00E22756"/>
    <w:rsid w:val="00E319F8"/>
    <w:rsid w:val="00E467C7"/>
    <w:rsid w:val="00E51074"/>
    <w:rsid w:val="00E57653"/>
    <w:rsid w:val="00E62157"/>
    <w:rsid w:val="00E71675"/>
    <w:rsid w:val="00E8160D"/>
    <w:rsid w:val="00E85910"/>
    <w:rsid w:val="00E86295"/>
    <w:rsid w:val="00E865FD"/>
    <w:rsid w:val="00E87A66"/>
    <w:rsid w:val="00E87B8F"/>
    <w:rsid w:val="00E924B2"/>
    <w:rsid w:val="00E93A42"/>
    <w:rsid w:val="00E95A1D"/>
    <w:rsid w:val="00E964D6"/>
    <w:rsid w:val="00E97E7D"/>
    <w:rsid w:val="00EA24D2"/>
    <w:rsid w:val="00EA552D"/>
    <w:rsid w:val="00EA5B48"/>
    <w:rsid w:val="00EA6E58"/>
    <w:rsid w:val="00EB1D2E"/>
    <w:rsid w:val="00EE26AC"/>
    <w:rsid w:val="00EE30FF"/>
    <w:rsid w:val="00EE3138"/>
    <w:rsid w:val="00EE3545"/>
    <w:rsid w:val="00EE3816"/>
    <w:rsid w:val="00EE6E63"/>
    <w:rsid w:val="00EE7E91"/>
    <w:rsid w:val="00EF148E"/>
    <w:rsid w:val="00EF2A8B"/>
    <w:rsid w:val="00F01008"/>
    <w:rsid w:val="00F01621"/>
    <w:rsid w:val="00F041A4"/>
    <w:rsid w:val="00F049C4"/>
    <w:rsid w:val="00F11650"/>
    <w:rsid w:val="00F11B97"/>
    <w:rsid w:val="00F120AC"/>
    <w:rsid w:val="00F134BB"/>
    <w:rsid w:val="00F13DB5"/>
    <w:rsid w:val="00F20457"/>
    <w:rsid w:val="00F21A4E"/>
    <w:rsid w:val="00F2207C"/>
    <w:rsid w:val="00F23BA6"/>
    <w:rsid w:val="00F257A9"/>
    <w:rsid w:val="00F30D44"/>
    <w:rsid w:val="00F311C0"/>
    <w:rsid w:val="00F42B57"/>
    <w:rsid w:val="00F463A0"/>
    <w:rsid w:val="00F4776E"/>
    <w:rsid w:val="00F50D6E"/>
    <w:rsid w:val="00F55B18"/>
    <w:rsid w:val="00F57485"/>
    <w:rsid w:val="00F60296"/>
    <w:rsid w:val="00F66493"/>
    <w:rsid w:val="00F77DA9"/>
    <w:rsid w:val="00F80ED7"/>
    <w:rsid w:val="00F8692A"/>
    <w:rsid w:val="00F86C2F"/>
    <w:rsid w:val="00F94462"/>
    <w:rsid w:val="00F96D7F"/>
    <w:rsid w:val="00F97F35"/>
    <w:rsid w:val="00FA089A"/>
    <w:rsid w:val="00FA639F"/>
    <w:rsid w:val="00FB62FA"/>
    <w:rsid w:val="00FC2648"/>
    <w:rsid w:val="00FC3CDB"/>
    <w:rsid w:val="00FD26AB"/>
    <w:rsid w:val="00FD2936"/>
    <w:rsid w:val="00FD720F"/>
    <w:rsid w:val="00FE140C"/>
    <w:rsid w:val="00FE2497"/>
    <w:rsid w:val="00FE6AD0"/>
    <w:rsid w:val="00FE6E6E"/>
    <w:rsid w:val="00FE731F"/>
    <w:rsid w:val="00FF282B"/>
    <w:rsid w:val="00FF3C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fillcolor="white" stroke="f">
      <v:fill color="white"/>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caption" w:qFormat="1"/>
    <w:lsdException w:name="table of figures"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2EEC"/>
    <w:pPr>
      <w:overflowPunct w:val="0"/>
      <w:autoSpaceDE w:val="0"/>
      <w:autoSpaceDN w:val="0"/>
      <w:adjustRightInd w:val="0"/>
      <w:jc w:val="both"/>
      <w:textAlignment w:val="baseline"/>
    </w:pPr>
    <w:rPr>
      <w:rFonts w:ascii="Arial" w:hAnsi="Arial"/>
      <w:spacing w:val="-2"/>
      <w:lang w:val="en-AU"/>
    </w:rPr>
  </w:style>
  <w:style w:type="paragraph" w:styleId="Heading1">
    <w:name w:val="heading 1"/>
    <w:aliases w:val="New D&amp;M Heading 1,D&amp;M,D&amp;M 1"/>
    <w:basedOn w:val="Headings"/>
    <w:next w:val="Text"/>
    <w:qFormat/>
    <w:rsid w:val="002A2EEC"/>
    <w:pPr>
      <w:keepNext/>
      <w:numPr>
        <w:numId w:val="1"/>
      </w:numPr>
      <w:spacing w:after="60"/>
      <w:outlineLvl w:val="0"/>
    </w:pPr>
    <w:rPr>
      <w:rFonts w:ascii="Tahoma" w:hAnsi="Tahoma"/>
      <w:b/>
      <w:smallCaps/>
      <w:kern w:val="28"/>
      <w:sz w:val="32"/>
    </w:rPr>
  </w:style>
  <w:style w:type="paragraph" w:styleId="Heading2">
    <w:name w:val="heading 2"/>
    <w:aliases w:val="D&amp;M2,New D&amp;M Heading 2,D&amp;M 2"/>
    <w:basedOn w:val="Heading1"/>
    <w:next w:val="Text"/>
    <w:link w:val="Heading2Char"/>
    <w:qFormat/>
    <w:rsid w:val="00B26EF8"/>
    <w:pPr>
      <w:numPr>
        <w:ilvl w:val="1"/>
      </w:numPr>
      <w:ind w:right="1701"/>
      <w:outlineLvl w:val="1"/>
    </w:pPr>
    <w:rPr>
      <w:smallCaps w:val="0"/>
      <w:sz w:val="28"/>
    </w:rPr>
  </w:style>
  <w:style w:type="paragraph" w:styleId="Heading3">
    <w:name w:val="heading 3"/>
    <w:aliases w:val="New D&amp;M Heading 3,D&amp;M3,D&amp;M 3"/>
    <w:basedOn w:val="Heading2"/>
    <w:next w:val="Text"/>
    <w:link w:val="Heading3Char"/>
    <w:qFormat/>
    <w:rsid w:val="00B26EF8"/>
    <w:pPr>
      <w:numPr>
        <w:ilvl w:val="2"/>
      </w:numPr>
      <w:outlineLvl w:val="2"/>
    </w:pPr>
    <w:rPr>
      <w:sz w:val="24"/>
    </w:rPr>
  </w:style>
  <w:style w:type="paragraph" w:styleId="Heading4">
    <w:name w:val="heading 4"/>
    <w:aliases w:val="New D&amp;M Heading 4,D&amp;M4,D&amp;M 4,h4,LDM_4,D&amp;M41,D&amp;M 41,h41,LDM_41,H41,D&amp;M42,D&amp;M 42,h42,LDM_42,H42"/>
    <w:basedOn w:val="Heading3"/>
    <w:next w:val="Text"/>
    <w:qFormat/>
    <w:rsid w:val="002A2EEC"/>
    <w:pPr>
      <w:numPr>
        <w:ilvl w:val="3"/>
      </w:numPr>
      <w:outlineLvl w:val="3"/>
    </w:pPr>
    <w:rPr>
      <w:b w:val="0"/>
      <w:i/>
    </w:rPr>
  </w:style>
  <w:style w:type="paragraph" w:styleId="Heading5">
    <w:name w:val="heading 5"/>
    <w:basedOn w:val="Normal"/>
    <w:next w:val="Normal"/>
    <w:qFormat/>
    <w:rsid w:val="002A2EEC"/>
    <w:pPr>
      <w:numPr>
        <w:ilvl w:val="4"/>
        <w:numId w:val="1"/>
      </w:numPr>
      <w:spacing w:before="240" w:after="60"/>
      <w:outlineLvl w:val="4"/>
    </w:pPr>
  </w:style>
  <w:style w:type="paragraph" w:styleId="Heading6">
    <w:name w:val="heading 6"/>
    <w:basedOn w:val="Normal"/>
    <w:next w:val="Normal"/>
    <w:qFormat/>
    <w:rsid w:val="002A2EEC"/>
    <w:pPr>
      <w:numPr>
        <w:ilvl w:val="5"/>
        <w:numId w:val="1"/>
      </w:numPr>
      <w:spacing w:before="240" w:after="60"/>
      <w:outlineLvl w:val="5"/>
    </w:pPr>
    <w:rPr>
      <w:i/>
    </w:rPr>
  </w:style>
  <w:style w:type="paragraph" w:styleId="Heading7">
    <w:name w:val="heading 7"/>
    <w:basedOn w:val="Normal"/>
    <w:next w:val="Normal"/>
    <w:qFormat/>
    <w:rsid w:val="002A2EEC"/>
    <w:pPr>
      <w:numPr>
        <w:ilvl w:val="6"/>
        <w:numId w:val="1"/>
      </w:numPr>
      <w:spacing w:before="240" w:after="60"/>
      <w:outlineLvl w:val="6"/>
    </w:pPr>
  </w:style>
  <w:style w:type="paragraph" w:styleId="Heading8">
    <w:name w:val="heading 8"/>
    <w:basedOn w:val="Normal"/>
    <w:next w:val="Normal"/>
    <w:qFormat/>
    <w:rsid w:val="002A2EEC"/>
    <w:pPr>
      <w:numPr>
        <w:ilvl w:val="7"/>
        <w:numId w:val="1"/>
      </w:numPr>
      <w:spacing w:before="240" w:after="60"/>
      <w:outlineLvl w:val="7"/>
    </w:pPr>
    <w:rPr>
      <w:i/>
    </w:rPr>
  </w:style>
  <w:style w:type="paragraph" w:styleId="Heading9">
    <w:name w:val="heading 9"/>
    <w:basedOn w:val="Heading1"/>
    <w:next w:val="Text"/>
    <w:qFormat/>
    <w:rsid w:val="002A2EEC"/>
    <w:pPr>
      <w:numPr>
        <w:ilvl w:val="8"/>
      </w:numPr>
      <w:tabs>
        <w:tab w:val="num" w:pos="360"/>
      </w:tabs>
      <w:ind w:hanging="226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
    <w:name w:val="Headings"/>
    <w:basedOn w:val="Normal"/>
    <w:rsid w:val="002A2EEC"/>
    <w:pPr>
      <w:spacing w:before="240" w:after="240"/>
      <w:ind w:left="851" w:hanging="851"/>
    </w:pPr>
  </w:style>
  <w:style w:type="paragraph" w:customStyle="1" w:styleId="Text">
    <w:name w:val="Text"/>
    <w:aliases w:val="Body,b,B,bu,b Char Char,b Char Char Char Char Char Char Char Char,bullet,b Char Char Char,b Char Char Char Char Char Char,Body Char1 Char1,Block,First,Indent,Macro,Plain,body"/>
    <w:basedOn w:val="Normal"/>
    <w:link w:val="TextChar1"/>
    <w:rsid w:val="002A2EEC"/>
    <w:pPr>
      <w:spacing w:before="220" w:line="300" w:lineRule="atLeast"/>
      <w:ind w:left="851"/>
    </w:pPr>
  </w:style>
  <w:style w:type="paragraph" w:styleId="TOC1">
    <w:name w:val="toc 1"/>
    <w:basedOn w:val="Headings"/>
    <w:next w:val="Normal"/>
    <w:uiPriority w:val="39"/>
    <w:rsid w:val="002A2EEC"/>
    <w:pPr>
      <w:tabs>
        <w:tab w:val="left" w:pos="1304"/>
        <w:tab w:val="right" w:pos="9639"/>
      </w:tabs>
      <w:spacing w:before="360" w:after="120"/>
      <w:ind w:firstLine="0"/>
      <w:jc w:val="left"/>
    </w:pPr>
    <w:rPr>
      <w:b/>
      <w:smallCaps/>
      <w:noProof/>
      <w:sz w:val="26"/>
      <w:szCs w:val="32"/>
    </w:rPr>
  </w:style>
  <w:style w:type="paragraph" w:styleId="Header">
    <w:name w:val="header"/>
    <w:basedOn w:val="Normal"/>
    <w:link w:val="HeaderChar"/>
    <w:uiPriority w:val="99"/>
    <w:rsid w:val="002A2EEC"/>
    <w:pPr>
      <w:pBdr>
        <w:bottom w:val="single" w:sz="6" w:space="1" w:color="auto"/>
      </w:pBdr>
      <w:tabs>
        <w:tab w:val="right" w:pos="9072"/>
      </w:tabs>
    </w:pPr>
    <w:rPr>
      <w:smallCaps/>
    </w:rPr>
  </w:style>
  <w:style w:type="paragraph" w:styleId="TOC2">
    <w:name w:val="toc 2"/>
    <w:basedOn w:val="TOC1"/>
    <w:next w:val="Normal"/>
    <w:uiPriority w:val="39"/>
    <w:rsid w:val="002A2EEC"/>
    <w:pPr>
      <w:spacing w:before="120" w:after="0"/>
      <w:ind w:left="1304"/>
    </w:pPr>
    <w:rPr>
      <w:smallCaps w:val="0"/>
      <w:sz w:val="22"/>
    </w:rPr>
  </w:style>
  <w:style w:type="paragraph" w:styleId="TOC3">
    <w:name w:val="toc 3"/>
    <w:basedOn w:val="TOC2"/>
    <w:next w:val="Normal"/>
    <w:uiPriority w:val="39"/>
    <w:rsid w:val="002A2EEC"/>
    <w:pPr>
      <w:ind w:left="1701"/>
    </w:pPr>
    <w:rPr>
      <w:b w:val="0"/>
    </w:rPr>
  </w:style>
  <w:style w:type="paragraph" w:styleId="TOC4">
    <w:name w:val="toc 4"/>
    <w:basedOn w:val="TOC3"/>
    <w:next w:val="Normal"/>
    <w:uiPriority w:val="39"/>
    <w:rsid w:val="002A2EEC"/>
    <w:pPr>
      <w:ind w:left="2098"/>
    </w:pPr>
    <w:rPr>
      <w:i/>
      <w:sz w:val="20"/>
    </w:rPr>
  </w:style>
  <w:style w:type="paragraph" w:styleId="TOC5">
    <w:name w:val="toc 5"/>
    <w:basedOn w:val="Normal"/>
    <w:next w:val="Normal"/>
    <w:semiHidden/>
    <w:rsid w:val="002A2EEC"/>
    <w:pPr>
      <w:tabs>
        <w:tab w:val="right" w:pos="9071"/>
      </w:tabs>
      <w:ind w:left="660"/>
      <w:jc w:val="left"/>
    </w:pPr>
    <w:rPr>
      <w:sz w:val="18"/>
    </w:rPr>
  </w:style>
  <w:style w:type="paragraph" w:styleId="TOC6">
    <w:name w:val="toc 6"/>
    <w:basedOn w:val="Normal"/>
    <w:next w:val="Normal"/>
    <w:semiHidden/>
    <w:rsid w:val="002A2EEC"/>
    <w:pPr>
      <w:tabs>
        <w:tab w:val="right" w:pos="9071"/>
      </w:tabs>
      <w:ind w:left="880"/>
      <w:jc w:val="left"/>
    </w:pPr>
    <w:rPr>
      <w:sz w:val="18"/>
    </w:rPr>
  </w:style>
  <w:style w:type="paragraph" w:styleId="TOC7">
    <w:name w:val="toc 7"/>
    <w:basedOn w:val="Normal"/>
    <w:next w:val="Normal"/>
    <w:semiHidden/>
    <w:rsid w:val="002A2EEC"/>
    <w:pPr>
      <w:tabs>
        <w:tab w:val="right" w:pos="9071"/>
      </w:tabs>
      <w:ind w:left="1100"/>
      <w:jc w:val="left"/>
    </w:pPr>
    <w:rPr>
      <w:sz w:val="18"/>
    </w:rPr>
  </w:style>
  <w:style w:type="paragraph" w:styleId="TOC8">
    <w:name w:val="toc 8"/>
    <w:basedOn w:val="Normal"/>
    <w:next w:val="Normal"/>
    <w:semiHidden/>
    <w:rsid w:val="002A2EEC"/>
    <w:pPr>
      <w:shd w:val="pct10" w:color="auto" w:fill="auto"/>
      <w:tabs>
        <w:tab w:val="right" w:pos="9071"/>
      </w:tabs>
      <w:spacing w:before="60"/>
      <w:ind w:left="851"/>
      <w:jc w:val="left"/>
    </w:pPr>
    <w:rPr>
      <w:b/>
    </w:rPr>
  </w:style>
  <w:style w:type="paragraph" w:styleId="TOC9">
    <w:name w:val="toc 9"/>
    <w:basedOn w:val="Normal"/>
    <w:next w:val="Normal"/>
    <w:semiHidden/>
    <w:rsid w:val="002A2EEC"/>
    <w:pPr>
      <w:tabs>
        <w:tab w:val="right" w:pos="9071"/>
      </w:tabs>
      <w:ind w:left="1540"/>
      <w:jc w:val="left"/>
    </w:pPr>
    <w:rPr>
      <w:sz w:val="18"/>
    </w:rPr>
  </w:style>
  <w:style w:type="paragraph" w:styleId="Footer">
    <w:name w:val="footer"/>
    <w:basedOn w:val="Text"/>
    <w:rsid w:val="002A2EEC"/>
    <w:pPr>
      <w:tabs>
        <w:tab w:val="center" w:pos="4153"/>
        <w:tab w:val="right" w:pos="8306"/>
      </w:tabs>
      <w:spacing w:before="0" w:line="240" w:lineRule="auto"/>
    </w:pPr>
    <w:rPr>
      <w:rFonts w:ascii="Univers (W1)" w:hAnsi="Univers (W1)"/>
      <w:i/>
      <w:caps/>
      <w:sz w:val="12"/>
    </w:rPr>
  </w:style>
  <w:style w:type="paragraph" w:customStyle="1" w:styleId="Heading0">
    <w:name w:val="Heading 0"/>
    <w:basedOn w:val="Normal"/>
    <w:rsid w:val="002A2EEC"/>
    <w:pPr>
      <w:keepNext/>
      <w:spacing w:before="240" w:after="60"/>
    </w:pPr>
    <w:rPr>
      <w:b/>
      <w:smallCaps/>
      <w:kern w:val="28"/>
      <w:sz w:val="32"/>
    </w:rPr>
  </w:style>
  <w:style w:type="paragraph" w:styleId="TableofFigures">
    <w:name w:val="table of figures"/>
    <w:basedOn w:val="Normal"/>
    <w:next w:val="Normal"/>
    <w:uiPriority w:val="99"/>
    <w:rsid w:val="002A2EEC"/>
    <w:pPr>
      <w:tabs>
        <w:tab w:val="right" w:pos="9071"/>
      </w:tabs>
      <w:spacing w:before="120"/>
      <w:ind w:left="2269" w:hanging="1418"/>
      <w:jc w:val="left"/>
    </w:pPr>
    <w:rPr>
      <w:b/>
    </w:rPr>
  </w:style>
  <w:style w:type="paragraph" w:styleId="Caption">
    <w:name w:val="caption"/>
    <w:basedOn w:val="Text"/>
    <w:next w:val="Text"/>
    <w:link w:val="CaptionChar"/>
    <w:qFormat/>
    <w:rsid w:val="002A2EEC"/>
    <w:pPr>
      <w:spacing w:before="120" w:after="120"/>
      <w:jc w:val="center"/>
    </w:pPr>
    <w:rPr>
      <w:b/>
    </w:rPr>
  </w:style>
  <w:style w:type="character" w:styleId="PageNumber">
    <w:name w:val="page number"/>
    <w:basedOn w:val="DefaultParagraphFont"/>
    <w:rsid w:val="002A2EEC"/>
    <w:rPr>
      <w:rFonts w:ascii="Univers (W1)" w:hAnsi="Univers (W1)"/>
      <w:b/>
      <w:sz w:val="28"/>
    </w:rPr>
  </w:style>
  <w:style w:type="paragraph" w:customStyle="1" w:styleId="AppendixTitle">
    <w:name w:val="AppendixTitle"/>
    <w:basedOn w:val="Normal"/>
    <w:next w:val="Normal"/>
    <w:rsid w:val="002A2EEC"/>
    <w:pPr>
      <w:jc w:val="center"/>
    </w:pPr>
    <w:rPr>
      <w:b/>
      <w:smallCaps/>
      <w:sz w:val="40"/>
    </w:rPr>
  </w:style>
  <w:style w:type="paragraph" w:customStyle="1" w:styleId="Bullets">
    <w:name w:val="Bullets"/>
    <w:basedOn w:val="Text"/>
    <w:link w:val="BulletsChar"/>
    <w:rsid w:val="002A2EEC"/>
    <w:pPr>
      <w:numPr>
        <w:numId w:val="3"/>
      </w:numPr>
      <w:spacing w:before="120"/>
      <w:jc w:val="left"/>
    </w:pPr>
  </w:style>
  <w:style w:type="paragraph" w:styleId="BodyTextIndent">
    <w:name w:val="Body Text Indent"/>
    <w:basedOn w:val="Normal"/>
    <w:rsid w:val="002A2EEC"/>
    <w:pPr>
      <w:spacing w:after="120"/>
      <w:ind w:left="283"/>
    </w:pPr>
  </w:style>
  <w:style w:type="paragraph" w:styleId="List2">
    <w:name w:val="List 2"/>
    <w:basedOn w:val="Normal"/>
    <w:rsid w:val="002A2EEC"/>
    <w:pPr>
      <w:ind w:left="566" w:hanging="283"/>
    </w:pPr>
  </w:style>
  <w:style w:type="paragraph" w:customStyle="1" w:styleId="PenPortrait">
    <w:name w:val="PenPortrait"/>
    <w:basedOn w:val="Text"/>
    <w:rsid w:val="002A2EEC"/>
    <w:pPr>
      <w:shd w:val="solid" w:color="auto" w:fill="auto"/>
      <w:jc w:val="left"/>
    </w:pPr>
    <w:rPr>
      <w:b/>
      <w:sz w:val="24"/>
    </w:rPr>
  </w:style>
  <w:style w:type="paragraph" w:customStyle="1" w:styleId="subhead">
    <w:name w:val="subhead"/>
    <w:basedOn w:val="Text"/>
    <w:rsid w:val="002A2EEC"/>
    <w:rPr>
      <w:b/>
      <w:sz w:val="24"/>
    </w:rPr>
  </w:style>
  <w:style w:type="paragraph" w:styleId="ListBullet2">
    <w:name w:val="List Bullet 2"/>
    <w:basedOn w:val="Normal"/>
    <w:rsid w:val="002A2EEC"/>
    <w:pPr>
      <w:tabs>
        <w:tab w:val="left" w:pos="-576"/>
        <w:tab w:val="left" w:pos="0"/>
        <w:tab w:val="left" w:pos="576"/>
        <w:tab w:val="left" w:pos="1008"/>
        <w:tab w:val="left" w:pos="1440"/>
      </w:tabs>
      <w:suppressAutoHyphens/>
    </w:pPr>
  </w:style>
  <w:style w:type="paragraph" w:styleId="BodyText">
    <w:name w:val="Body Text"/>
    <w:basedOn w:val="Normal"/>
    <w:rsid w:val="002A2EEC"/>
    <w:pPr>
      <w:tabs>
        <w:tab w:val="left" w:pos="-720"/>
      </w:tabs>
      <w:suppressAutoHyphens/>
      <w:jc w:val="left"/>
    </w:pPr>
  </w:style>
  <w:style w:type="paragraph" w:customStyle="1" w:styleId="ProjectName">
    <w:name w:val="ProjectName"/>
    <w:basedOn w:val="Normal"/>
    <w:rsid w:val="002A2EEC"/>
    <w:pPr>
      <w:pBdr>
        <w:bottom w:val="threeDEmboss" w:sz="24" w:space="6" w:color="0000FF"/>
      </w:pBdr>
      <w:overflowPunct/>
      <w:autoSpaceDE/>
      <w:autoSpaceDN/>
      <w:adjustRightInd/>
      <w:spacing w:before="220"/>
      <w:jc w:val="left"/>
      <w:textAlignment w:val="auto"/>
    </w:pPr>
    <w:rPr>
      <w:rFonts w:ascii="Tahoma" w:hAnsi="Tahoma"/>
      <w:b/>
      <w:color w:val="000080"/>
      <w:sz w:val="36"/>
    </w:rPr>
  </w:style>
  <w:style w:type="paragraph" w:styleId="ListContinue2">
    <w:name w:val="List Continue 2"/>
    <w:basedOn w:val="Normal"/>
    <w:rsid w:val="002A2EEC"/>
    <w:pPr>
      <w:tabs>
        <w:tab w:val="left" w:pos="-720"/>
      </w:tabs>
      <w:suppressAutoHyphens/>
      <w:jc w:val="left"/>
    </w:pPr>
  </w:style>
  <w:style w:type="paragraph" w:customStyle="1" w:styleId="CVNAME">
    <w:name w:val="CVNAME"/>
    <w:basedOn w:val="Normal"/>
    <w:rsid w:val="002A2EEC"/>
    <w:pPr>
      <w:shd w:val="solid" w:color="auto" w:fill="auto"/>
      <w:spacing w:before="120" w:after="120"/>
      <w:jc w:val="right"/>
    </w:pPr>
    <w:rPr>
      <w:b/>
      <w:smallCaps/>
      <w:sz w:val="36"/>
    </w:rPr>
  </w:style>
  <w:style w:type="paragraph" w:customStyle="1" w:styleId="Bullets2">
    <w:name w:val="Bullets2"/>
    <w:basedOn w:val="Bullets"/>
    <w:rsid w:val="002A2EEC"/>
    <w:pPr>
      <w:numPr>
        <w:numId w:val="2"/>
      </w:numPr>
    </w:pPr>
  </w:style>
  <w:style w:type="paragraph" w:styleId="BodyText2">
    <w:name w:val="Body Text 2"/>
    <w:aliases w:val="pr Side Comment Text"/>
    <w:basedOn w:val="Normal"/>
    <w:rsid w:val="002A2EEC"/>
    <w:pPr>
      <w:spacing w:line="312" w:lineRule="auto"/>
      <w:jc w:val="right"/>
    </w:pPr>
    <w:rPr>
      <w:rFonts w:ascii="Tahoma" w:hAnsi="Tahoma" w:cs="Tahoma"/>
      <w:b/>
      <w:bCs/>
      <w:iCs/>
      <w:lang w:val="en-US"/>
    </w:rPr>
  </w:style>
  <w:style w:type="paragraph" w:customStyle="1" w:styleId="prsidecomment">
    <w:name w:val="pr side comment"/>
    <w:rsid w:val="002A2EEC"/>
    <w:pPr>
      <w:framePr w:w="1701" w:wrap="around" w:vAnchor="text" w:hAnchor="margin" w:xAlign="right" w:y="1"/>
      <w:shd w:val="solid" w:color="FFFFFF" w:fill="FFFFFF"/>
      <w:spacing w:before="200" w:line="312" w:lineRule="auto"/>
      <w:jc w:val="right"/>
    </w:pPr>
    <w:rPr>
      <w:rFonts w:ascii="Tahoma" w:hAnsi="Tahoma"/>
      <w:b/>
    </w:rPr>
  </w:style>
  <w:style w:type="paragraph" w:styleId="DocumentMap">
    <w:name w:val="Document Map"/>
    <w:basedOn w:val="Normal"/>
    <w:semiHidden/>
    <w:rsid w:val="002A2EEC"/>
    <w:pPr>
      <w:shd w:val="clear" w:color="auto" w:fill="000080"/>
    </w:pPr>
    <w:rPr>
      <w:rFonts w:ascii="Tahoma" w:hAnsi="Tahoma" w:cs="Tahoma"/>
    </w:rPr>
  </w:style>
  <w:style w:type="paragraph" w:styleId="BodyTextIndent2">
    <w:name w:val="Body Text Indent 2"/>
    <w:basedOn w:val="Normal"/>
    <w:rsid w:val="002A2EEC"/>
    <w:pPr>
      <w:framePr w:w="5665" w:wrap="notBeside" w:hAnchor="margin" w:y="10207" w:anchorLock="1"/>
      <w:shd w:val="pct10" w:color="auto" w:fill="auto"/>
      <w:tabs>
        <w:tab w:val="left" w:pos="284"/>
        <w:tab w:val="left" w:pos="1560"/>
        <w:tab w:val="left" w:pos="2127"/>
        <w:tab w:val="left" w:pos="4536"/>
        <w:tab w:val="left" w:pos="5670"/>
      </w:tabs>
      <w:suppressAutoHyphens/>
      <w:ind w:left="1985" w:hanging="1985"/>
      <w:jc w:val="left"/>
    </w:pPr>
  </w:style>
  <w:style w:type="paragraph" w:customStyle="1" w:styleId="Numbers">
    <w:name w:val="Numbers"/>
    <w:basedOn w:val="Bullets"/>
    <w:rsid w:val="002A2EEC"/>
    <w:pPr>
      <w:numPr>
        <w:numId w:val="4"/>
      </w:numPr>
      <w:tabs>
        <w:tab w:val="left" w:pos="1247"/>
        <w:tab w:val="left" w:pos="1644"/>
        <w:tab w:val="left" w:pos="2041"/>
      </w:tabs>
    </w:pPr>
  </w:style>
  <w:style w:type="character" w:styleId="Hyperlink">
    <w:name w:val="Hyperlink"/>
    <w:basedOn w:val="DefaultParagraphFont"/>
    <w:rsid w:val="002A2EEC"/>
    <w:rPr>
      <w:color w:val="0000FF"/>
      <w:u w:val="single"/>
    </w:rPr>
  </w:style>
  <w:style w:type="paragraph" w:styleId="BodyText3">
    <w:name w:val="Body Text 3"/>
    <w:basedOn w:val="Normal"/>
    <w:rsid w:val="002A2EEC"/>
    <w:rPr>
      <w:b/>
      <w:bCs/>
      <w:sz w:val="36"/>
    </w:rPr>
  </w:style>
  <w:style w:type="paragraph" w:customStyle="1" w:styleId="CVHeadings">
    <w:name w:val="CVHeadings"/>
    <w:basedOn w:val="Normal"/>
    <w:rsid w:val="002A2EEC"/>
    <w:pPr>
      <w:tabs>
        <w:tab w:val="left" w:pos="2268"/>
      </w:tabs>
      <w:overflowPunct/>
      <w:autoSpaceDE/>
      <w:autoSpaceDN/>
      <w:adjustRightInd/>
      <w:ind w:left="2268" w:hanging="2268"/>
      <w:jc w:val="left"/>
      <w:textAlignment w:val="auto"/>
    </w:pPr>
    <w:rPr>
      <w:b/>
      <w:spacing w:val="0"/>
    </w:rPr>
  </w:style>
  <w:style w:type="paragraph" w:customStyle="1" w:styleId="Text1">
    <w:name w:val="Text1"/>
    <w:basedOn w:val="Normal"/>
    <w:link w:val="Text1Char"/>
    <w:autoRedefine/>
    <w:rsid w:val="009C53D0"/>
    <w:pPr>
      <w:spacing w:line="200" w:lineRule="atLeast"/>
      <w:ind w:left="1985" w:right="838" w:firstLine="397"/>
      <w:jc w:val="left"/>
    </w:pPr>
    <w:rPr>
      <w:rFonts w:cs="Arial"/>
      <w:sz w:val="18"/>
    </w:rPr>
  </w:style>
  <w:style w:type="paragraph" w:customStyle="1" w:styleId="BMTDivisionalEndorsement">
    <w:name w:val="BMT Divisional Endorsement"/>
    <w:rsid w:val="002A2EEC"/>
    <w:pPr>
      <w:jc w:val="right"/>
    </w:pPr>
    <w:rPr>
      <w:rFonts w:ascii="Arial" w:hAnsi="Arial" w:cs="Arial"/>
      <w:b/>
      <w:color w:val="005581"/>
      <w:lang w:val="en-GB" w:eastAsia="en-GB"/>
    </w:rPr>
  </w:style>
  <w:style w:type="paragraph" w:customStyle="1" w:styleId="BMTReportTitle">
    <w:name w:val="BMT Report Title"/>
    <w:rsid w:val="002A2EEC"/>
    <w:pPr>
      <w:spacing w:line="640" w:lineRule="exact"/>
      <w:ind w:right="-108"/>
    </w:pPr>
    <w:rPr>
      <w:rFonts w:ascii="Arial" w:hAnsi="Arial"/>
      <w:b/>
      <w:color w:val="4F5650"/>
      <w:w w:val="99"/>
      <w:sz w:val="56"/>
      <w:szCs w:val="134"/>
      <w:lang w:val="en-GB" w:eastAsia="en-GB"/>
    </w:rPr>
  </w:style>
  <w:style w:type="paragraph" w:customStyle="1" w:styleId="BMTReportProperties">
    <w:name w:val="BMT Report Properties"/>
    <w:rsid w:val="002A2EEC"/>
    <w:pPr>
      <w:spacing w:line="360" w:lineRule="exact"/>
    </w:pPr>
    <w:rPr>
      <w:rFonts w:ascii="Arial" w:hAnsi="Arial" w:cs="Arial"/>
      <w:color w:val="4F5650"/>
      <w:w w:val="99"/>
      <w:sz w:val="28"/>
      <w:szCs w:val="38"/>
      <w:lang w:val="en-GB" w:eastAsia="en-GB"/>
    </w:rPr>
  </w:style>
  <w:style w:type="paragraph" w:styleId="BalloonText">
    <w:name w:val="Balloon Text"/>
    <w:basedOn w:val="Normal"/>
    <w:semiHidden/>
    <w:rsid w:val="007A1AA9"/>
    <w:rPr>
      <w:rFonts w:ascii="Tahoma" w:hAnsi="Tahoma" w:cs="Tahoma"/>
      <w:sz w:val="16"/>
      <w:szCs w:val="16"/>
    </w:rPr>
  </w:style>
  <w:style w:type="character" w:styleId="PlaceholderText">
    <w:name w:val="Placeholder Text"/>
    <w:basedOn w:val="DefaultParagraphFont"/>
    <w:uiPriority w:val="99"/>
    <w:semiHidden/>
    <w:rsid w:val="000F7DF6"/>
    <w:rPr>
      <w:color w:val="808080"/>
    </w:rPr>
  </w:style>
  <w:style w:type="table" w:styleId="TableGrid">
    <w:name w:val="Table Grid"/>
    <w:basedOn w:val="TableNormal"/>
    <w:rsid w:val="007018E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rsid w:val="00A47558"/>
    <w:rPr>
      <w:sz w:val="16"/>
      <w:szCs w:val="16"/>
    </w:rPr>
  </w:style>
  <w:style w:type="paragraph" w:styleId="CommentText">
    <w:name w:val="annotation text"/>
    <w:basedOn w:val="Normal"/>
    <w:link w:val="CommentTextChar"/>
    <w:rsid w:val="00A47558"/>
  </w:style>
  <w:style w:type="character" w:customStyle="1" w:styleId="CommentTextChar">
    <w:name w:val="Comment Text Char"/>
    <w:basedOn w:val="DefaultParagraphFont"/>
    <w:link w:val="CommentText"/>
    <w:rsid w:val="00A47558"/>
    <w:rPr>
      <w:rFonts w:ascii="Arial" w:hAnsi="Arial"/>
      <w:spacing w:val="-2"/>
      <w:lang w:val="en-AU"/>
    </w:rPr>
  </w:style>
  <w:style w:type="paragraph" w:styleId="CommentSubject">
    <w:name w:val="annotation subject"/>
    <w:basedOn w:val="CommentText"/>
    <w:next w:val="CommentText"/>
    <w:link w:val="CommentSubjectChar"/>
    <w:rsid w:val="00A47558"/>
    <w:rPr>
      <w:b/>
      <w:bCs/>
    </w:rPr>
  </w:style>
  <w:style w:type="character" w:customStyle="1" w:styleId="CommentSubjectChar">
    <w:name w:val="Comment Subject Char"/>
    <w:basedOn w:val="CommentTextChar"/>
    <w:link w:val="CommentSubject"/>
    <w:rsid w:val="00A47558"/>
    <w:rPr>
      <w:rFonts w:ascii="Arial" w:hAnsi="Arial"/>
      <w:b/>
      <w:bCs/>
      <w:spacing w:val="-2"/>
      <w:lang w:val="en-AU"/>
    </w:rPr>
  </w:style>
  <w:style w:type="character" w:customStyle="1" w:styleId="TextChar1">
    <w:name w:val="Text Char1"/>
    <w:basedOn w:val="DefaultParagraphFont"/>
    <w:link w:val="Text"/>
    <w:locked/>
    <w:rsid w:val="00D76CAA"/>
    <w:rPr>
      <w:rFonts w:ascii="Arial" w:hAnsi="Arial"/>
      <w:spacing w:val="-2"/>
      <w:lang w:val="en-AU"/>
    </w:rPr>
  </w:style>
  <w:style w:type="character" w:customStyle="1" w:styleId="Heading2Char">
    <w:name w:val="Heading 2 Char"/>
    <w:aliases w:val="D&amp;M2 Char,New D&amp;M Heading 2 Char,D&amp;M 2 Char"/>
    <w:basedOn w:val="DefaultParagraphFont"/>
    <w:link w:val="Heading2"/>
    <w:rsid w:val="00B26EF8"/>
    <w:rPr>
      <w:rFonts w:ascii="Tahoma" w:hAnsi="Tahoma"/>
      <w:b/>
      <w:spacing w:val="-2"/>
      <w:kern w:val="28"/>
      <w:sz w:val="28"/>
      <w:lang w:val="en-AU"/>
    </w:rPr>
  </w:style>
  <w:style w:type="character" w:customStyle="1" w:styleId="Heading3Char">
    <w:name w:val="Heading 3 Char"/>
    <w:aliases w:val="New D&amp;M Heading 3 Char,D&amp;M3 Char,D&amp;M 3 Char"/>
    <w:basedOn w:val="DefaultParagraphFont"/>
    <w:link w:val="Heading3"/>
    <w:rsid w:val="00B26EF8"/>
    <w:rPr>
      <w:rFonts w:ascii="Tahoma" w:hAnsi="Tahoma"/>
      <w:b/>
      <w:spacing w:val="-2"/>
      <w:kern w:val="28"/>
      <w:sz w:val="24"/>
      <w:lang w:val="en-AU"/>
    </w:rPr>
  </w:style>
  <w:style w:type="character" w:customStyle="1" w:styleId="CaptionChar">
    <w:name w:val="Caption Char"/>
    <w:basedOn w:val="DefaultParagraphFont"/>
    <w:link w:val="Caption"/>
    <w:rsid w:val="00E93A42"/>
    <w:rPr>
      <w:rFonts w:ascii="Arial" w:hAnsi="Arial"/>
      <w:b/>
      <w:spacing w:val="-2"/>
      <w:lang w:val="en-AU"/>
    </w:rPr>
  </w:style>
  <w:style w:type="paragraph" w:styleId="Revision">
    <w:name w:val="Revision"/>
    <w:hidden/>
    <w:uiPriority w:val="99"/>
    <w:semiHidden/>
    <w:rsid w:val="00574EEB"/>
    <w:rPr>
      <w:rFonts w:ascii="Arial" w:hAnsi="Arial"/>
      <w:spacing w:val="-2"/>
      <w:lang w:val="en-AU"/>
    </w:rPr>
  </w:style>
  <w:style w:type="character" w:customStyle="1" w:styleId="TextChar">
    <w:name w:val="Text Char"/>
    <w:basedOn w:val="DefaultParagraphFont"/>
    <w:locked/>
    <w:rsid w:val="00201269"/>
    <w:rPr>
      <w:rFonts w:ascii="Arial" w:hAnsi="Arial"/>
      <w:spacing w:val="-2"/>
      <w:lang w:eastAsia="en-US"/>
    </w:rPr>
  </w:style>
  <w:style w:type="character" w:customStyle="1" w:styleId="BulletsChar">
    <w:name w:val="Bullets Char"/>
    <w:basedOn w:val="TextChar"/>
    <w:link w:val="Bullets"/>
    <w:rsid w:val="00201269"/>
    <w:rPr>
      <w:rFonts w:ascii="Arial" w:hAnsi="Arial"/>
      <w:spacing w:val="-2"/>
      <w:lang w:val="en-AU" w:eastAsia="en-US"/>
    </w:rPr>
  </w:style>
  <w:style w:type="paragraph" w:styleId="ListParagraph">
    <w:name w:val="List Paragraph"/>
    <w:basedOn w:val="Normal"/>
    <w:uiPriority w:val="34"/>
    <w:qFormat/>
    <w:rsid w:val="0047013F"/>
    <w:pPr>
      <w:ind w:left="720"/>
      <w:contextualSpacing/>
    </w:pPr>
  </w:style>
  <w:style w:type="character" w:customStyle="1" w:styleId="Text1Char">
    <w:name w:val="Text1 Char"/>
    <w:basedOn w:val="DefaultParagraphFont"/>
    <w:link w:val="Text1"/>
    <w:rsid w:val="009C53D0"/>
    <w:rPr>
      <w:rFonts w:ascii="Arial" w:hAnsi="Arial" w:cs="Arial"/>
      <w:spacing w:val="-2"/>
      <w:sz w:val="18"/>
      <w:lang w:val="en-AU"/>
    </w:rPr>
  </w:style>
  <w:style w:type="paragraph" w:customStyle="1" w:styleId="NormInd">
    <w:name w:val="Norm_Ind"/>
    <w:basedOn w:val="Normal"/>
    <w:rsid w:val="00E060C9"/>
    <w:pPr>
      <w:spacing w:after="160"/>
      <w:ind w:left="567"/>
    </w:pPr>
    <w:rPr>
      <w:color w:val="000000"/>
      <w:spacing w:val="0"/>
      <w:sz w:val="22"/>
      <w:lang w:val="en-GB"/>
    </w:rPr>
  </w:style>
  <w:style w:type="character" w:customStyle="1" w:styleId="HeaderChar">
    <w:name w:val="Header Char"/>
    <w:basedOn w:val="DefaultParagraphFont"/>
    <w:link w:val="Header"/>
    <w:uiPriority w:val="99"/>
    <w:rsid w:val="00E060C9"/>
    <w:rPr>
      <w:rFonts w:ascii="Arial" w:hAnsi="Arial"/>
      <w:smallCaps/>
      <w:spacing w:val="-2"/>
      <w:lang w:val="en-AU"/>
    </w:rPr>
  </w:style>
  <w:style w:type="paragraph" w:customStyle="1" w:styleId="Default">
    <w:name w:val="Default"/>
    <w:rsid w:val="003B6902"/>
    <w:pPr>
      <w:autoSpaceDE w:val="0"/>
      <w:autoSpaceDN w:val="0"/>
      <w:adjustRightInd w:val="0"/>
    </w:pPr>
    <w:rPr>
      <w:rFonts w:ascii="Arial" w:hAnsi="Arial" w:cs="Arial"/>
      <w:color w:val="000000"/>
      <w:sz w:val="24"/>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uiPriority="99"/>
    <w:lsdException w:name="caption" w:qFormat="1"/>
    <w:lsdException w:name="table of figures"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2EEC"/>
    <w:pPr>
      <w:overflowPunct w:val="0"/>
      <w:autoSpaceDE w:val="0"/>
      <w:autoSpaceDN w:val="0"/>
      <w:adjustRightInd w:val="0"/>
      <w:jc w:val="both"/>
      <w:textAlignment w:val="baseline"/>
    </w:pPr>
    <w:rPr>
      <w:rFonts w:ascii="Arial" w:hAnsi="Arial"/>
      <w:spacing w:val="-2"/>
      <w:lang w:val="en-AU"/>
    </w:rPr>
  </w:style>
  <w:style w:type="paragraph" w:styleId="Heading1">
    <w:name w:val="heading 1"/>
    <w:aliases w:val="New D&amp;M Heading 1,D&amp;M,D&amp;M 1"/>
    <w:basedOn w:val="Headings"/>
    <w:next w:val="Text"/>
    <w:qFormat/>
    <w:rsid w:val="002A2EEC"/>
    <w:pPr>
      <w:keepNext/>
      <w:numPr>
        <w:numId w:val="1"/>
      </w:numPr>
      <w:spacing w:after="60"/>
      <w:outlineLvl w:val="0"/>
    </w:pPr>
    <w:rPr>
      <w:rFonts w:ascii="Tahoma" w:hAnsi="Tahoma"/>
      <w:b/>
      <w:smallCaps/>
      <w:kern w:val="28"/>
      <w:sz w:val="32"/>
    </w:rPr>
  </w:style>
  <w:style w:type="paragraph" w:styleId="Heading2">
    <w:name w:val="heading 2"/>
    <w:aliases w:val="D&amp;M2,New D&amp;M Heading 2,D&amp;M 2"/>
    <w:basedOn w:val="Heading1"/>
    <w:next w:val="Text"/>
    <w:link w:val="Heading2Char"/>
    <w:qFormat/>
    <w:rsid w:val="00B26EF8"/>
    <w:pPr>
      <w:numPr>
        <w:ilvl w:val="1"/>
      </w:numPr>
      <w:ind w:right="1701"/>
      <w:outlineLvl w:val="1"/>
    </w:pPr>
    <w:rPr>
      <w:smallCaps w:val="0"/>
      <w:sz w:val="28"/>
    </w:rPr>
  </w:style>
  <w:style w:type="paragraph" w:styleId="Heading3">
    <w:name w:val="heading 3"/>
    <w:aliases w:val="New D&amp;M Heading 3,D&amp;M3,D&amp;M 3"/>
    <w:basedOn w:val="Heading2"/>
    <w:next w:val="Text"/>
    <w:link w:val="Heading3Char"/>
    <w:qFormat/>
    <w:rsid w:val="00B26EF8"/>
    <w:pPr>
      <w:numPr>
        <w:ilvl w:val="2"/>
      </w:numPr>
      <w:outlineLvl w:val="2"/>
    </w:pPr>
    <w:rPr>
      <w:sz w:val="24"/>
    </w:rPr>
  </w:style>
  <w:style w:type="paragraph" w:styleId="Heading4">
    <w:name w:val="heading 4"/>
    <w:aliases w:val="New D&amp;M Heading 4,D&amp;M4,D&amp;M 4,h4,LDM_4,D&amp;M41,D&amp;M 41,h41,LDM_41,H41,D&amp;M42,D&amp;M 42,h42,LDM_42,H42"/>
    <w:basedOn w:val="Heading3"/>
    <w:next w:val="Text"/>
    <w:qFormat/>
    <w:rsid w:val="002A2EEC"/>
    <w:pPr>
      <w:numPr>
        <w:ilvl w:val="3"/>
      </w:numPr>
      <w:outlineLvl w:val="3"/>
    </w:pPr>
    <w:rPr>
      <w:b w:val="0"/>
      <w:i/>
    </w:rPr>
  </w:style>
  <w:style w:type="paragraph" w:styleId="Heading5">
    <w:name w:val="heading 5"/>
    <w:basedOn w:val="Normal"/>
    <w:next w:val="Normal"/>
    <w:qFormat/>
    <w:rsid w:val="002A2EEC"/>
    <w:pPr>
      <w:numPr>
        <w:ilvl w:val="4"/>
        <w:numId w:val="1"/>
      </w:numPr>
      <w:spacing w:before="240" w:after="60"/>
      <w:outlineLvl w:val="4"/>
    </w:pPr>
  </w:style>
  <w:style w:type="paragraph" w:styleId="Heading6">
    <w:name w:val="heading 6"/>
    <w:basedOn w:val="Normal"/>
    <w:next w:val="Normal"/>
    <w:qFormat/>
    <w:rsid w:val="002A2EEC"/>
    <w:pPr>
      <w:numPr>
        <w:ilvl w:val="5"/>
        <w:numId w:val="1"/>
      </w:numPr>
      <w:spacing w:before="240" w:after="60"/>
      <w:outlineLvl w:val="5"/>
    </w:pPr>
    <w:rPr>
      <w:i/>
    </w:rPr>
  </w:style>
  <w:style w:type="paragraph" w:styleId="Heading7">
    <w:name w:val="heading 7"/>
    <w:basedOn w:val="Normal"/>
    <w:next w:val="Normal"/>
    <w:qFormat/>
    <w:rsid w:val="002A2EEC"/>
    <w:pPr>
      <w:numPr>
        <w:ilvl w:val="6"/>
        <w:numId w:val="1"/>
      </w:numPr>
      <w:spacing w:before="240" w:after="60"/>
      <w:outlineLvl w:val="6"/>
    </w:pPr>
  </w:style>
  <w:style w:type="paragraph" w:styleId="Heading8">
    <w:name w:val="heading 8"/>
    <w:basedOn w:val="Normal"/>
    <w:next w:val="Normal"/>
    <w:qFormat/>
    <w:rsid w:val="002A2EEC"/>
    <w:pPr>
      <w:numPr>
        <w:ilvl w:val="7"/>
        <w:numId w:val="1"/>
      </w:numPr>
      <w:spacing w:before="240" w:after="60"/>
      <w:outlineLvl w:val="7"/>
    </w:pPr>
    <w:rPr>
      <w:i/>
    </w:rPr>
  </w:style>
  <w:style w:type="paragraph" w:styleId="Heading9">
    <w:name w:val="heading 9"/>
    <w:basedOn w:val="Heading1"/>
    <w:next w:val="Text"/>
    <w:qFormat/>
    <w:rsid w:val="002A2EEC"/>
    <w:pPr>
      <w:numPr>
        <w:ilvl w:val="8"/>
      </w:numPr>
      <w:tabs>
        <w:tab w:val="num" w:pos="360"/>
      </w:tabs>
      <w:ind w:hanging="226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
    <w:name w:val="Headings"/>
    <w:basedOn w:val="Normal"/>
    <w:rsid w:val="002A2EEC"/>
    <w:pPr>
      <w:spacing w:before="240" w:after="240"/>
      <w:ind w:left="851" w:hanging="851"/>
    </w:pPr>
  </w:style>
  <w:style w:type="paragraph" w:customStyle="1" w:styleId="Text">
    <w:name w:val="Text"/>
    <w:aliases w:val="Body,b,B,bu,b Char Char,b Char Char Char Char Char Char Char Char,bullet,b Char Char Char,b Char Char Char Char Char Char,Body Char1 Char1,Block,First,Indent,Macro,Plain,body"/>
    <w:basedOn w:val="Normal"/>
    <w:link w:val="TextChar1"/>
    <w:rsid w:val="002A2EEC"/>
    <w:pPr>
      <w:spacing w:before="220" w:line="300" w:lineRule="atLeast"/>
      <w:ind w:left="851"/>
    </w:pPr>
  </w:style>
  <w:style w:type="paragraph" w:styleId="TOC1">
    <w:name w:val="toc 1"/>
    <w:basedOn w:val="Headings"/>
    <w:next w:val="Normal"/>
    <w:uiPriority w:val="39"/>
    <w:rsid w:val="002A2EEC"/>
    <w:pPr>
      <w:tabs>
        <w:tab w:val="left" w:pos="1304"/>
        <w:tab w:val="right" w:pos="9639"/>
      </w:tabs>
      <w:spacing w:before="360" w:after="120"/>
      <w:ind w:firstLine="0"/>
      <w:jc w:val="left"/>
    </w:pPr>
    <w:rPr>
      <w:b/>
      <w:smallCaps/>
      <w:noProof/>
      <w:sz w:val="26"/>
      <w:szCs w:val="32"/>
    </w:rPr>
  </w:style>
  <w:style w:type="paragraph" w:styleId="Header">
    <w:name w:val="header"/>
    <w:basedOn w:val="Normal"/>
    <w:link w:val="HeaderChar"/>
    <w:uiPriority w:val="99"/>
    <w:rsid w:val="002A2EEC"/>
    <w:pPr>
      <w:pBdr>
        <w:bottom w:val="single" w:sz="6" w:space="1" w:color="auto"/>
      </w:pBdr>
      <w:tabs>
        <w:tab w:val="right" w:pos="9072"/>
      </w:tabs>
    </w:pPr>
    <w:rPr>
      <w:smallCaps/>
    </w:rPr>
  </w:style>
  <w:style w:type="paragraph" w:styleId="TOC2">
    <w:name w:val="toc 2"/>
    <w:basedOn w:val="TOC1"/>
    <w:next w:val="Normal"/>
    <w:uiPriority w:val="39"/>
    <w:rsid w:val="002A2EEC"/>
    <w:pPr>
      <w:spacing w:before="120" w:after="0"/>
      <w:ind w:left="1304"/>
    </w:pPr>
    <w:rPr>
      <w:smallCaps w:val="0"/>
      <w:sz w:val="22"/>
    </w:rPr>
  </w:style>
  <w:style w:type="paragraph" w:styleId="TOC3">
    <w:name w:val="toc 3"/>
    <w:basedOn w:val="TOC2"/>
    <w:next w:val="Normal"/>
    <w:uiPriority w:val="39"/>
    <w:rsid w:val="002A2EEC"/>
    <w:pPr>
      <w:ind w:left="1701"/>
    </w:pPr>
    <w:rPr>
      <w:b w:val="0"/>
    </w:rPr>
  </w:style>
  <w:style w:type="paragraph" w:styleId="TOC4">
    <w:name w:val="toc 4"/>
    <w:basedOn w:val="TOC3"/>
    <w:next w:val="Normal"/>
    <w:uiPriority w:val="39"/>
    <w:rsid w:val="002A2EEC"/>
    <w:pPr>
      <w:ind w:left="2098"/>
    </w:pPr>
    <w:rPr>
      <w:i/>
      <w:sz w:val="20"/>
    </w:rPr>
  </w:style>
  <w:style w:type="paragraph" w:styleId="TOC5">
    <w:name w:val="toc 5"/>
    <w:basedOn w:val="Normal"/>
    <w:next w:val="Normal"/>
    <w:semiHidden/>
    <w:rsid w:val="002A2EEC"/>
    <w:pPr>
      <w:tabs>
        <w:tab w:val="right" w:pos="9071"/>
      </w:tabs>
      <w:ind w:left="660"/>
      <w:jc w:val="left"/>
    </w:pPr>
    <w:rPr>
      <w:sz w:val="18"/>
    </w:rPr>
  </w:style>
  <w:style w:type="paragraph" w:styleId="TOC6">
    <w:name w:val="toc 6"/>
    <w:basedOn w:val="Normal"/>
    <w:next w:val="Normal"/>
    <w:semiHidden/>
    <w:rsid w:val="002A2EEC"/>
    <w:pPr>
      <w:tabs>
        <w:tab w:val="right" w:pos="9071"/>
      </w:tabs>
      <w:ind w:left="880"/>
      <w:jc w:val="left"/>
    </w:pPr>
    <w:rPr>
      <w:sz w:val="18"/>
    </w:rPr>
  </w:style>
  <w:style w:type="paragraph" w:styleId="TOC7">
    <w:name w:val="toc 7"/>
    <w:basedOn w:val="Normal"/>
    <w:next w:val="Normal"/>
    <w:semiHidden/>
    <w:rsid w:val="002A2EEC"/>
    <w:pPr>
      <w:tabs>
        <w:tab w:val="right" w:pos="9071"/>
      </w:tabs>
      <w:ind w:left="1100"/>
      <w:jc w:val="left"/>
    </w:pPr>
    <w:rPr>
      <w:sz w:val="18"/>
    </w:rPr>
  </w:style>
  <w:style w:type="paragraph" w:styleId="TOC8">
    <w:name w:val="toc 8"/>
    <w:basedOn w:val="Normal"/>
    <w:next w:val="Normal"/>
    <w:semiHidden/>
    <w:rsid w:val="002A2EEC"/>
    <w:pPr>
      <w:shd w:val="pct10" w:color="auto" w:fill="auto"/>
      <w:tabs>
        <w:tab w:val="right" w:pos="9071"/>
      </w:tabs>
      <w:spacing w:before="60"/>
      <w:ind w:left="851"/>
      <w:jc w:val="left"/>
    </w:pPr>
    <w:rPr>
      <w:b/>
    </w:rPr>
  </w:style>
  <w:style w:type="paragraph" w:styleId="TOC9">
    <w:name w:val="toc 9"/>
    <w:basedOn w:val="Normal"/>
    <w:next w:val="Normal"/>
    <w:semiHidden/>
    <w:rsid w:val="002A2EEC"/>
    <w:pPr>
      <w:tabs>
        <w:tab w:val="right" w:pos="9071"/>
      </w:tabs>
      <w:ind w:left="1540"/>
      <w:jc w:val="left"/>
    </w:pPr>
    <w:rPr>
      <w:sz w:val="18"/>
    </w:rPr>
  </w:style>
  <w:style w:type="paragraph" w:styleId="Footer">
    <w:name w:val="footer"/>
    <w:basedOn w:val="Text"/>
    <w:rsid w:val="002A2EEC"/>
    <w:pPr>
      <w:tabs>
        <w:tab w:val="center" w:pos="4153"/>
        <w:tab w:val="right" w:pos="8306"/>
      </w:tabs>
      <w:spacing w:before="0" w:line="240" w:lineRule="auto"/>
    </w:pPr>
    <w:rPr>
      <w:rFonts w:ascii="Univers (W1)" w:hAnsi="Univers (W1)"/>
      <w:i/>
      <w:caps/>
      <w:sz w:val="12"/>
    </w:rPr>
  </w:style>
  <w:style w:type="paragraph" w:customStyle="1" w:styleId="Heading0">
    <w:name w:val="Heading 0"/>
    <w:basedOn w:val="Normal"/>
    <w:rsid w:val="002A2EEC"/>
    <w:pPr>
      <w:keepNext/>
      <w:spacing w:before="240" w:after="60"/>
    </w:pPr>
    <w:rPr>
      <w:b/>
      <w:smallCaps/>
      <w:kern w:val="28"/>
      <w:sz w:val="32"/>
    </w:rPr>
  </w:style>
  <w:style w:type="paragraph" w:styleId="TableofFigures">
    <w:name w:val="table of figures"/>
    <w:basedOn w:val="Normal"/>
    <w:next w:val="Normal"/>
    <w:uiPriority w:val="99"/>
    <w:rsid w:val="002A2EEC"/>
    <w:pPr>
      <w:tabs>
        <w:tab w:val="right" w:pos="9071"/>
      </w:tabs>
      <w:spacing w:before="120"/>
      <w:ind w:left="2269" w:hanging="1418"/>
      <w:jc w:val="left"/>
    </w:pPr>
    <w:rPr>
      <w:b/>
    </w:rPr>
  </w:style>
  <w:style w:type="paragraph" w:styleId="Caption">
    <w:name w:val="caption"/>
    <w:basedOn w:val="Text"/>
    <w:next w:val="Text"/>
    <w:link w:val="CaptionChar"/>
    <w:qFormat/>
    <w:rsid w:val="002A2EEC"/>
    <w:pPr>
      <w:spacing w:before="120" w:after="120"/>
      <w:jc w:val="center"/>
    </w:pPr>
    <w:rPr>
      <w:b/>
    </w:rPr>
  </w:style>
  <w:style w:type="character" w:styleId="PageNumber">
    <w:name w:val="page number"/>
    <w:basedOn w:val="DefaultParagraphFont"/>
    <w:rsid w:val="002A2EEC"/>
    <w:rPr>
      <w:rFonts w:ascii="Univers (W1)" w:hAnsi="Univers (W1)"/>
      <w:b/>
      <w:sz w:val="28"/>
    </w:rPr>
  </w:style>
  <w:style w:type="paragraph" w:customStyle="1" w:styleId="AppendixTitle">
    <w:name w:val="AppendixTitle"/>
    <w:basedOn w:val="Normal"/>
    <w:next w:val="Normal"/>
    <w:rsid w:val="002A2EEC"/>
    <w:pPr>
      <w:jc w:val="center"/>
    </w:pPr>
    <w:rPr>
      <w:b/>
      <w:smallCaps/>
      <w:sz w:val="40"/>
    </w:rPr>
  </w:style>
  <w:style w:type="paragraph" w:customStyle="1" w:styleId="Bullets">
    <w:name w:val="Bullets"/>
    <w:basedOn w:val="Text"/>
    <w:link w:val="BulletsChar"/>
    <w:rsid w:val="002A2EEC"/>
    <w:pPr>
      <w:numPr>
        <w:numId w:val="3"/>
      </w:numPr>
      <w:spacing w:before="120"/>
      <w:jc w:val="left"/>
    </w:pPr>
  </w:style>
  <w:style w:type="paragraph" w:styleId="BodyTextIndent">
    <w:name w:val="Body Text Indent"/>
    <w:basedOn w:val="Normal"/>
    <w:rsid w:val="002A2EEC"/>
    <w:pPr>
      <w:spacing w:after="120"/>
      <w:ind w:left="283"/>
    </w:pPr>
  </w:style>
  <w:style w:type="paragraph" w:styleId="List2">
    <w:name w:val="List 2"/>
    <w:basedOn w:val="Normal"/>
    <w:rsid w:val="002A2EEC"/>
    <w:pPr>
      <w:ind w:left="566" w:hanging="283"/>
    </w:pPr>
  </w:style>
  <w:style w:type="paragraph" w:customStyle="1" w:styleId="PenPortrait">
    <w:name w:val="PenPortrait"/>
    <w:basedOn w:val="Text"/>
    <w:rsid w:val="002A2EEC"/>
    <w:pPr>
      <w:shd w:val="solid" w:color="auto" w:fill="auto"/>
      <w:jc w:val="left"/>
    </w:pPr>
    <w:rPr>
      <w:b/>
      <w:sz w:val="24"/>
    </w:rPr>
  </w:style>
  <w:style w:type="paragraph" w:customStyle="1" w:styleId="subhead">
    <w:name w:val="subhead"/>
    <w:basedOn w:val="Text"/>
    <w:rsid w:val="002A2EEC"/>
    <w:rPr>
      <w:b/>
      <w:sz w:val="24"/>
    </w:rPr>
  </w:style>
  <w:style w:type="paragraph" w:styleId="ListBullet2">
    <w:name w:val="List Bullet 2"/>
    <w:basedOn w:val="Normal"/>
    <w:rsid w:val="002A2EEC"/>
    <w:pPr>
      <w:tabs>
        <w:tab w:val="left" w:pos="-576"/>
        <w:tab w:val="left" w:pos="0"/>
        <w:tab w:val="left" w:pos="576"/>
        <w:tab w:val="left" w:pos="1008"/>
        <w:tab w:val="left" w:pos="1440"/>
      </w:tabs>
      <w:suppressAutoHyphens/>
    </w:pPr>
  </w:style>
  <w:style w:type="paragraph" w:styleId="BodyText">
    <w:name w:val="Body Text"/>
    <w:basedOn w:val="Normal"/>
    <w:rsid w:val="002A2EEC"/>
    <w:pPr>
      <w:tabs>
        <w:tab w:val="left" w:pos="-720"/>
      </w:tabs>
      <w:suppressAutoHyphens/>
      <w:jc w:val="left"/>
    </w:pPr>
  </w:style>
  <w:style w:type="paragraph" w:customStyle="1" w:styleId="ProjectName">
    <w:name w:val="ProjectName"/>
    <w:basedOn w:val="Normal"/>
    <w:rsid w:val="002A2EEC"/>
    <w:pPr>
      <w:pBdr>
        <w:bottom w:val="threeDEmboss" w:sz="24" w:space="6" w:color="0000FF"/>
      </w:pBdr>
      <w:overflowPunct/>
      <w:autoSpaceDE/>
      <w:autoSpaceDN/>
      <w:adjustRightInd/>
      <w:spacing w:before="220"/>
      <w:jc w:val="left"/>
      <w:textAlignment w:val="auto"/>
    </w:pPr>
    <w:rPr>
      <w:rFonts w:ascii="Tahoma" w:hAnsi="Tahoma"/>
      <w:b/>
      <w:color w:val="000080"/>
      <w:sz w:val="36"/>
    </w:rPr>
  </w:style>
  <w:style w:type="paragraph" w:styleId="ListContinue2">
    <w:name w:val="List Continue 2"/>
    <w:basedOn w:val="Normal"/>
    <w:rsid w:val="002A2EEC"/>
    <w:pPr>
      <w:tabs>
        <w:tab w:val="left" w:pos="-720"/>
      </w:tabs>
      <w:suppressAutoHyphens/>
      <w:jc w:val="left"/>
    </w:pPr>
  </w:style>
  <w:style w:type="paragraph" w:customStyle="1" w:styleId="CVNAME">
    <w:name w:val="CVNAME"/>
    <w:basedOn w:val="Normal"/>
    <w:rsid w:val="002A2EEC"/>
    <w:pPr>
      <w:shd w:val="solid" w:color="auto" w:fill="auto"/>
      <w:spacing w:before="120" w:after="120"/>
      <w:jc w:val="right"/>
    </w:pPr>
    <w:rPr>
      <w:b/>
      <w:smallCaps/>
      <w:sz w:val="36"/>
    </w:rPr>
  </w:style>
  <w:style w:type="paragraph" w:customStyle="1" w:styleId="Bullets2">
    <w:name w:val="Bullets2"/>
    <w:basedOn w:val="Bullets"/>
    <w:rsid w:val="002A2EEC"/>
    <w:pPr>
      <w:numPr>
        <w:numId w:val="2"/>
      </w:numPr>
    </w:pPr>
  </w:style>
  <w:style w:type="paragraph" w:styleId="BodyText2">
    <w:name w:val="Body Text 2"/>
    <w:aliases w:val="pr Side Comment Text"/>
    <w:basedOn w:val="Normal"/>
    <w:rsid w:val="002A2EEC"/>
    <w:pPr>
      <w:spacing w:line="312" w:lineRule="auto"/>
      <w:jc w:val="right"/>
    </w:pPr>
    <w:rPr>
      <w:rFonts w:ascii="Tahoma" w:hAnsi="Tahoma" w:cs="Tahoma"/>
      <w:b/>
      <w:bCs/>
      <w:iCs/>
      <w:lang w:val="en-US"/>
    </w:rPr>
  </w:style>
  <w:style w:type="paragraph" w:customStyle="1" w:styleId="prsidecomment">
    <w:name w:val="pr side comment"/>
    <w:rsid w:val="002A2EEC"/>
    <w:pPr>
      <w:framePr w:w="1701" w:wrap="around" w:vAnchor="text" w:hAnchor="margin" w:xAlign="right" w:y="1"/>
      <w:shd w:val="solid" w:color="FFFFFF" w:fill="FFFFFF"/>
      <w:spacing w:before="200" w:line="312" w:lineRule="auto"/>
      <w:jc w:val="right"/>
    </w:pPr>
    <w:rPr>
      <w:rFonts w:ascii="Tahoma" w:hAnsi="Tahoma"/>
      <w:b/>
    </w:rPr>
  </w:style>
  <w:style w:type="paragraph" w:styleId="DocumentMap">
    <w:name w:val="Document Map"/>
    <w:basedOn w:val="Normal"/>
    <w:semiHidden/>
    <w:rsid w:val="002A2EEC"/>
    <w:pPr>
      <w:shd w:val="clear" w:color="auto" w:fill="000080"/>
    </w:pPr>
    <w:rPr>
      <w:rFonts w:ascii="Tahoma" w:hAnsi="Tahoma" w:cs="Tahoma"/>
    </w:rPr>
  </w:style>
  <w:style w:type="paragraph" w:styleId="BodyTextIndent2">
    <w:name w:val="Body Text Indent 2"/>
    <w:basedOn w:val="Normal"/>
    <w:rsid w:val="002A2EEC"/>
    <w:pPr>
      <w:framePr w:w="5665" w:wrap="notBeside" w:hAnchor="margin" w:y="10207" w:anchorLock="1"/>
      <w:shd w:val="pct10" w:color="auto" w:fill="auto"/>
      <w:tabs>
        <w:tab w:val="left" w:pos="284"/>
        <w:tab w:val="left" w:pos="1560"/>
        <w:tab w:val="left" w:pos="2127"/>
        <w:tab w:val="left" w:pos="4536"/>
        <w:tab w:val="left" w:pos="5670"/>
      </w:tabs>
      <w:suppressAutoHyphens/>
      <w:ind w:left="1985" w:hanging="1985"/>
      <w:jc w:val="left"/>
    </w:pPr>
  </w:style>
  <w:style w:type="paragraph" w:customStyle="1" w:styleId="Numbers">
    <w:name w:val="Numbers"/>
    <w:basedOn w:val="Bullets"/>
    <w:rsid w:val="002A2EEC"/>
    <w:pPr>
      <w:numPr>
        <w:numId w:val="4"/>
      </w:numPr>
      <w:tabs>
        <w:tab w:val="left" w:pos="1247"/>
        <w:tab w:val="left" w:pos="1644"/>
        <w:tab w:val="left" w:pos="2041"/>
      </w:tabs>
    </w:pPr>
  </w:style>
  <w:style w:type="character" w:styleId="Hyperlink">
    <w:name w:val="Hyperlink"/>
    <w:basedOn w:val="DefaultParagraphFont"/>
    <w:rsid w:val="002A2EEC"/>
    <w:rPr>
      <w:color w:val="0000FF"/>
      <w:u w:val="single"/>
    </w:rPr>
  </w:style>
  <w:style w:type="paragraph" w:styleId="BodyText3">
    <w:name w:val="Body Text 3"/>
    <w:basedOn w:val="Normal"/>
    <w:rsid w:val="002A2EEC"/>
    <w:rPr>
      <w:b/>
      <w:bCs/>
      <w:sz w:val="36"/>
    </w:rPr>
  </w:style>
  <w:style w:type="paragraph" w:customStyle="1" w:styleId="CVHeadings">
    <w:name w:val="CVHeadings"/>
    <w:basedOn w:val="Normal"/>
    <w:rsid w:val="002A2EEC"/>
    <w:pPr>
      <w:tabs>
        <w:tab w:val="left" w:pos="2268"/>
      </w:tabs>
      <w:overflowPunct/>
      <w:autoSpaceDE/>
      <w:autoSpaceDN/>
      <w:adjustRightInd/>
      <w:ind w:left="2268" w:hanging="2268"/>
      <w:jc w:val="left"/>
      <w:textAlignment w:val="auto"/>
    </w:pPr>
    <w:rPr>
      <w:b/>
      <w:spacing w:val="0"/>
    </w:rPr>
  </w:style>
  <w:style w:type="paragraph" w:customStyle="1" w:styleId="Text1">
    <w:name w:val="Text1"/>
    <w:basedOn w:val="Normal"/>
    <w:link w:val="Text1Char"/>
    <w:autoRedefine/>
    <w:rsid w:val="009C53D0"/>
    <w:pPr>
      <w:spacing w:line="200" w:lineRule="atLeast"/>
      <w:ind w:left="1985" w:right="838" w:firstLine="397"/>
      <w:jc w:val="left"/>
    </w:pPr>
    <w:rPr>
      <w:rFonts w:cs="Arial"/>
      <w:sz w:val="18"/>
    </w:rPr>
  </w:style>
  <w:style w:type="paragraph" w:customStyle="1" w:styleId="BMTDivisionalEndorsement">
    <w:name w:val="BMT Divisional Endorsement"/>
    <w:rsid w:val="002A2EEC"/>
    <w:pPr>
      <w:jc w:val="right"/>
    </w:pPr>
    <w:rPr>
      <w:rFonts w:ascii="Arial" w:hAnsi="Arial" w:cs="Arial"/>
      <w:b/>
      <w:color w:val="005581"/>
      <w:lang w:val="en-GB" w:eastAsia="en-GB"/>
    </w:rPr>
  </w:style>
  <w:style w:type="paragraph" w:customStyle="1" w:styleId="BMTReportTitle">
    <w:name w:val="BMT Report Title"/>
    <w:rsid w:val="002A2EEC"/>
    <w:pPr>
      <w:spacing w:line="640" w:lineRule="exact"/>
      <w:ind w:right="-108"/>
    </w:pPr>
    <w:rPr>
      <w:rFonts w:ascii="Arial" w:hAnsi="Arial"/>
      <w:b/>
      <w:color w:val="4F5650"/>
      <w:w w:val="99"/>
      <w:sz w:val="56"/>
      <w:szCs w:val="134"/>
      <w:lang w:val="en-GB" w:eastAsia="en-GB"/>
    </w:rPr>
  </w:style>
  <w:style w:type="paragraph" w:customStyle="1" w:styleId="BMTReportProperties">
    <w:name w:val="BMT Report Properties"/>
    <w:rsid w:val="002A2EEC"/>
    <w:pPr>
      <w:spacing w:line="360" w:lineRule="exact"/>
    </w:pPr>
    <w:rPr>
      <w:rFonts w:ascii="Arial" w:hAnsi="Arial" w:cs="Arial"/>
      <w:color w:val="4F5650"/>
      <w:w w:val="99"/>
      <w:sz w:val="28"/>
      <w:szCs w:val="38"/>
      <w:lang w:val="en-GB" w:eastAsia="en-GB"/>
    </w:rPr>
  </w:style>
  <w:style w:type="paragraph" w:styleId="BalloonText">
    <w:name w:val="Balloon Text"/>
    <w:basedOn w:val="Normal"/>
    <w:semiHidden/>
    <w:rsid w:val="007A1AA9"/>
    <w:rPr>
      <w:rFonts w:ascii="Tahoma" w:hAnsi="Tahoma" w:cs="Tahoma"/>
      <w:sz w:val="16"/>
      <w:szCs w:val="16"/>
    </w:rPr>
  </w:style>
  <w:style w:type="character" w:styleId="PlaceholderText">
    <w:name w:val="Placeholder Text"/>
    <w:basedOn w:val="DefaultParagraphFont"/>
    <w:uiPriority w:val="99"/>
    <w:semiHidden/>
    <w:rsid w:val="000F7DF6"/>
    <w:rPr>
      <w:color w:val="808080"/>
    </w:rPr>
  </w:style>
  <w:style w:type="table" w:styleId="TableGrid">
    <w:name w:val="Table Grid"/>
    <w:basedOn w:val="TableNormal"/>
    <w:rsid w:val="007018E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rsid w:val="00A47558"/>
    <w:rPr>
      <w:sz w:val="16"/>
      <w:szCs w:val="16"/>
    </w:rPr>
  </w:style>
  <w:style w:type="paragraph" w:styleId="CommentText">
    <w:name w:val="annotation text"/>
    <w:basedOn w:val="Normal"/>
    <w:link w:val="CommentTextChar"/>
    <w:rsid w:val="00A47558"/>
  </w:style>
  <w:style w:type="character" w:customStyle="1" w:styleId="CommentTextChar">
    <w:name w:val="Comment Text Char"/>
    <w:basedOn w:val="DefaultParagraphFont"/>
    <w:link w:val="CommentText"/>
    <w:rsid w:val="00A47558"/>
    <w:rPr>
      <w:rFonts w:ascii="Arial" w:hAnsi="Arial"/>
      <w:spacing w:val="-2"/>
      <w:lang w:val="en-AU"/>
    </w:rPr>
  </w:style>
  <w:style w:type="paragraph" w:styleId="CommentSubject">
    <w:name w:val="annotation subject"/>
    <w:basedOn w:val="CommentText"/>
    <w:next w:val="CommentText"/>
    <w:link w:val="CommentSubjectChar"/>
    <w:rsid w:val="00A47558"/>
    <w:rPr>
      <w:b/>
      <w:bCs/>
    </w:rPr>
  </w:style>
  <w:style w:type="character" w:customStyle="1" w:styleId="CommentSubjectChar">
    <w:name w:val="Comment Subject Char"/>
    <w:basedOn w:val="CommentTextChar"/>
    <w:link w:val="CommentSubject"/>
    <w:rsid w:val="00A47558"/>
    <w:rPr>
      <w:rFonts w:ascii="Arial" w:hAnsi="Arial"/>
      <w:b/>
      <w:bCs/>
      <w:spacing w:val="-2"/>
      <w:lang w:val="en-AU"/>
    </w:rPr>
  </w:style>
  <w:style w:type="character" w:customStyle="1" w:styleId="TextChar1">
    <w:name w:val="Text Char1"/>
    <w:basedOn w:val="DefaultParagraphFont"/>
    <w:link w:val="Text"/>
    <w:locked/>
    <w:rsid w:val="00D76CAA"/>
    <w:rPr>
      <w:rFonts w:ascii="Arial" w:hAnsi="Arial"/>
      <w:spacing w:val="-2"/>
      <w:lang w:val="en-AU"/>
    </w:rPr>
  </w:style>
  <w:style w:type="character" w:customStyle="1" w:styleId="Heading2Char">
    <w:name w:val="Heading 2 Char"/>
    <w:aliases w:val="D&amp;M2 Char,New D&amp;M Heading 2 Char,D&amp;M 2 Char"/>
    <w:basedOn w:val="DefaultParagraphFont"/>
    <w:link w:val="Heading2"/>
    <w:rsid w:val="00B26EF8"/>
    <w:rPr>
      <w:rFonts w:ascii="Tahoma" w:hAnsi="Tahoma"/>
      <w:b/>
      <w:spacing w:val="-2"/>
      <w:kern w:val="28"/>
      <w:sz w:val="28"/>
      <w:lang w:val="en-AU"/>
    </w:rPr>
  </w:style>
  <w:style w:type="character" w:customStyle="1" w:styleId="Heading3Char">
    <w:name w:val="Heading 3 Char"/>
    <w:aliases w:val="New D&amp;M Heading 3 Char,D&amp;M3 Char,D&amp;M 3 Char"/>
    <w:basedOn w:val="DefaultParagraphFont"/>
    <w:link w:val="Heading3"/>
    <w:rsid w:val="00B26EF8"/>
    <w:rPr>
      <w:rFonts w:ascii="Tahoma" w:hAnsi="Tahoma"/>
      <w:b/>
      <w:spacing w:val="-2"/>
      <w:kern w:val="28"/>
      <w:sz w:val="24"/>
      <w:lang w:val="en-AU"/>
    </w:rPr>
  </w:style>
  <w:style w:type="character" w:customStyle="1" w:styleId="CaptionChar">
    <w:name w:val="Caption Char"/>
    <w:basedOn w:val="DefaultParagraphFont"/>
    <w:link w:val="Caption"/>
    <w:rsid w:val="00E93A42"/>
    <w:rPr>
      <w:rFonts w:ascii="Arial" w:hAnsi="Arial"/>
      <w:b/>
      <w:spacing w:val="-2"/>
      <w:lang w:val="en-AU"/>
    </w:rPr>
  </w:style>
  <w:style w:type="paragraph" w:styleId="Revision">
    <w:name w:val="Revision"/>
    <w:hidden/>
    <w:uiPriority w:val="99"/>
    <w:semiHidden/>
    <w:rsid w:val="00574EEB"/>
    <w:rPr>
      <w:rFonts w:ascii="Arial" w:hAnsi="Arial"/>
      <w:spacing w:val="-2"/>
      <w:lang w:val="en-AU"/>
    </w:rPr>
  </w:style>
  <w:style w:type="character" w:customStyle="1" w:styleId="TextChar">
    <w:name w:val="Text Char"/>
    <w:basedOn w:val="DefaultParagraphFont"/>
    <w:locked/>
    <w:rsid w:val="00201269"/>
    <w:rPr>
      <w:rFonts w:ascii="Arial" w:hAnsi="Arial"/>
      <w:spacing w:val="-2"/>
      <w:lang w:eastAsia="en-US"/>
    </w:rPr>
  </w:style>
  <w:style w:type="character" w:customStyle="1" w:styleId="BulletsChar">
    <w:name w:val="Bullets Char"/>
    <w:basedOn w:val="TextChar"/>
    <w:link w:val="Bullets"/>
    <w:rsid w:val="00201269"/>
    <w:rPr>
      <w:rFonts w:ascii="Arial" w:hAnsi="Arial"/>
      <w:spacing w:val="-2"/>
      <w:lang w:val="en-AU" w:eastAsia="en-US"/>
    </w:rPr>
  </w:style>
  <w:style w:type="paragraph" w:styleId="ListParagraph">
    <w:name w:val="List Paragraph"/>
    <w:basedOn w:val="Normal"/>
    <w:uiPriority w:val="34"/>
    <w:qFormat/>
    <w:rsid w:val="0047013F"/>
    <w:pPr>
      <w:ind w:left="720"/>
      <w:contextualSpacing/>
    </w:pPr>
  </w:style>
  <w:style w:type="character" w:customStyle="1" w:styleId="Text1Char">
    <w:name w:val="Text1 Char"/>
    <w:basedOn w:val="DefaultParagraphFont"/>
    <w:link w:val="Text1"/>
    <w:rsid w:val="009C53D0"/>
    <w:rPr>
      <w:rFonts w:ascii="Arial" w:hAnsi="Arial" w:cs="Arial"/>
      <w:spacing w:val="-2"/>
      <w:sz w:val="18"/>
      <w:lang w:val="en-AU"/>
    </w:rPr>
  </w:style>
  <w:style w:type="paragraph" w:customStyle="1" w:styleId="NormInd">
    <w:name w:val="Norm_Ind"/>
    <w:basedOn w:val="Normal"/>
    <w:rsid w:val="00E060C9"/>
    <w:pPr>
      <w:spacing w:after="160"/>
      <w:ind w:left="567"/>
    </w:pPr>
    <w:rPr>
      <w:color w:val="000000"/>
      <w:spacing w:val="0"/>
      <w:sz w:val="22"/>
      <w:lang w:val="en-GB"/>
    </w:rPr>
  </w:style>
  <w:style w:type="character" w:customStyle="1" w:styleId="HeaderChar">
    <w:name w:val="Header Char"/>
    <w:basedOn w:val="DefaultParagraphFont"/>
    <w:link w:val="Header"/>
    <w:uiPriority w:val="99"/>
    <w:rsid w:val="00E060C9"/>
    <w:rPr>
      <w:rFonts w:ascii="Arial" w:hAnsi="Arial"/>
      <w:smallCaps/>
      <w:spacing w:val="-2"/>
      <w:lang w:val="en-AU"/>
    </w:rPr>
  </w:style>
  <w:style w:type="paragraph" w:customStyle="1" w:styleId="Default">
    <w:name w:val="Default"/>
    <w:rsid w:val="003B6902"/>
    <w:pPr>
      <w:autoSpaceDE w:val="0"/>
      <w:autoSpaceDN w:val="0"/>
      <w:adjustRightInd w:val="0"/>
    </w:pPr>
    <w:rPr>
      <w:rFonts w:ascii="Arial"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17079">
      <w:bodyDiv w:val="1"/>
      <w:marLeft w:val="0"/>
      <w:marRight w:val="0"/>
      <w:marTop w:val="0"/>
      <w:marBottom w:val="0"/>
      <w:divBdr>
        <w:top w:val="none" w:sz="0" w:space="0" w:color="auto"/>
        <w:left w:val="none" w:sz="0" w:space="0" w:color="auto"/>
        <w:bottom w:val="none" w:sz="0" w:space="0" w:color="auto"/>
        <w:right w:val="none" w:sz="0" w:space="0" w:color="auto"/>
      </w:divBdr>
    </w:div>
    <w:div w:id="788550268">
      <w:bodyDiv w:val="1"/>
      <w:marLeft w:val="0"/>
      <w:marRight w:val="0"/>
      <w:marTop w:val="0"/>
      <w:marBottom w:val="0"/>
      <w:divBdr>
        <w:top w:val="none" w:sz="0" w:space="0" w:color="auto"/>
        <w:left w:val="none" w:sz="0" w:space="0" w:color="auto"/>
        <w:bottom w:val="none" w:sz="0" w:space="0" w:color="auto"/>
        <w:right w:val="none" w:sz="0" w:space="0" w:color="auto"/>
      </w:divBdr>
    </w:div>
    <w:div w:id="1192886295">
      <w:bodyDiv w:val="1"/>
      <w:marLeft w:val="0"/>
      <w:marRight w:val="0"/>
      <w:marTop w:val="0"/>
      <w:marBottom w:val="0"/>
      <w:divBdr>
        <w:top w:val="none" w:sz="0" w:space="0" w:color="auto"/>
        <w:left w:val="none" w:sz="0" w:space="0" w:color="auto"/>
        <w:bottom w:val="none" w:sz="0" w:space="0" w:color="auto"/>
        <w:right w:val="none" w:sz="0" w:space="0" w:color="auto"/>
      </w:divBdr>
    </w:div>
    <w:div w:id="17573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chart" Target="charts/chart3.xml"/><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oleObject" Target="embeddings/oleObject3.bin"/><Relationship Id="rId42" Type="http://schemas.openxmlformats.org/officeDocument/2006/relationships/header" Target="header9.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wbmpl.com.au" TargetMode="External"/><Relationship Id="rId25" Type="http://schemas.openxmlformats.org/officeDocument/2006/relationships/chart" Target="charts/chart2.xml"/><Relationship Id="rId33" Type="http://schemas.openxmlformats.org/officeDocument/2006/relationships/image" Target="media/image9.wmf"/><Relationship Id="rId38" Type="http://schemas.openxmlformats.org/officeDocument/2006/relationships/header" Target="header7.xml"/><Relationship Id="rId46"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chart" Target="charts/chart6.xm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hart" Target="charts/chart1.xml"/><Relationship Id="rId32" Type="http://schemas.openxmlformats.org/officeDocument/2006/relationships/oleObject" Target="embeddings/oleObject2.bin"/><Relationship Id="rId37" Type="http://schemas.openxmlformats.org/officeDocument/2006/relationships/image" Target="media/image12.png"/><Relationship Id="rId40" Type="http://schemas.openxmlformats.org/officeDocument/2006/relationships/header" Target="header8.xml"/><Relationship Id="rId45"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chart" Target="charts/chart5.xml"/><Relationship Id="rId36" Type="http://schemas.openxmlformats.org/officeDocument/2006/relationships/image" Target="media/image11.png"/><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image" Target="media/image8.wmf"/><Relationship Id="rId44"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chart" Target="charts/chart4.xml"/><Relationship Id="rId30" Type="http://schemas.openxmlformats.org/officeDocument/2006/relationships/image" Target="media/image7.png"/><Relationship Id="rId35" Type="http://schemas.openxmlformats.org/officeDocument/2006/relationships/image" Target="media/image10.png"/><Relationship Id="rId43" Type="http://schemas.openxmlformats.org/officeDocument/2006/relationships/image" Target="media/image13.jpeg"/><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footer4.xml.rels><?xml version="1.0" encoding="UTF-8" standalone="yes"?>
<Relationships xmlns="http://schemas.openxmlformats.org/package/2006/relationships"><Relationship Id="rId1" Type="http://schemas.openxmlformats.org/officeDocument/2006/relationships/image" Target="media/image6.jpeg"/></Relationships>
</file>

<file path=word/_rels/footer5.xml.rels><?xml version="1.0" encoding="UTF-8" standalone="yes"?>
<Relationships xmlns="http://schemas.openxmlformats.org/package/2006/relationships"><Relationship Id="rId1" Type="http://schemas.openxmlformats.org/officeDocument/2006/relationships/image" Target="media/image6.jpeg"/></Relationships>
</file>

<file path=word/_rels/footer6.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L:\common2000\word\BMT\Report.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ARAGORN\tuflow\M8094.JL.Highton_DFS\Hydrology\HIG_Report_Hydro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ARAGORN\tuflow\M8094.JL.Highton_DFS\Hydrology\HIG_Report_Hydro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ARAGORN\tuflow\M8094.JL.Highton_DFS\Hydrology\HIG_Report_Hydro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ARAGORN\tuflow\M8094.JL.Highton_DFS\Hydrology\HIG_Report_Hydro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ARAGORN\tuflow\M8094.JL.Highton_DFS\Hydrology\HIG_Report_Hydrograph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ARAGORN\tuflow\M8094.JL.Highton_DFS\Hydrology\HIG_Report_Hydro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'Hyd Thorn'!$B$1</c:f>
              <c:strCache>
                <c:ptCount val="1"/>
                <c:pt idx="0">
                  <c:v>20% AEP</c:v>
                </c:pt>
              </c:strCache>
            </c:strRef>
          </c:tx>
          <c:marker>
            <c:symbol val="none"/>
          </c:marker>
          <c:xVal>
            <c:numRef>
              <c:f>'Hyd Thorn'!$A$2:$A$73</c:f>
              <c:numCache>
                <c:formatCode>General</c:formatCode>
                <c:ptCount val="72"/>
                <c:pt idx="0">
                  <c:v>0</c:v>
                </c:pt>
                <c:pt idx="1">
                  <c:v>8.000000000000021E-2</c:v>
                </c:pt>
                <c:pt idx="2">
                  <c:v>0.17</c:v>
                </c:pt>
                <c:pt idx="3">
                  <c:v>0.25</c:v>
                </c:pt>
                <c:pt idx="4">
                  <c:v>0.33000000000000146</c:v>
                </c:pt>
                <c:pt idx="5">
                  <c:v>0.42000000000000032</c:v>
                </c:pt>
                <c:pt idx="6">
                  <c:v>0.5</c:v>
                </c:pt>
                <c:pt idx="7">
                  <c:v>0.58000000000000063</c:v>
                </c:pt>
                <c:pt idx="8">
                  <c:v>0.67000000000000293</c:v>
                </c:pt>
                <c:pt idx="9">
                  <c:v>0.75000000000000233</c:v>
                </c:pt>
                <c:pt idx="10">
                  <c:v>0.83000000000000063</c:v>
                </c:pt>
                <c:pt idx="11">
                  <c:v>0.92</c:v>
                </c:pt>
                <c:pt idx="12">
                  <c:v>1</c:v>
                </c:pt>
                <c:pt idx="13">
                  <c:v>1.08</c:v>
                </c:pt>
                <c:pt idx="14">
                  <c:v>1.1700000000000021</c:v>
                </c:pt>
                <c:pt idx="15">
                  <c:v>1.25</c:v>
                </c:pt>
                <c:pt idx="16">
                  <c:v>1.33</c:v>
                </c:pt>
                <c:pt idx="17">
                  <c:v>1.42</c:v>
                </c:pt>
                <c:pt idx="18">
                  <c:v>1.5</c:v>
                </c:pt>
                <c:pt idx="19">
                  <c:v>1.58</c:v>
                </c:pt>
                <c:pt idx="20">
                  <c:v>1.6700000000000021</c:v>
                </c:pt>
                <c:pt idx="21">
                  <c:v>1.7500000000000011</c:v>
                </c:pt>
                <c:pt idx="22">
                  <c:v>1.83</c:v>
                </c:pt>
                <c:pt idx="23">
                  <c:v>1.9200000000000019</c:v>
                </c:pt>
                <c:pt idx="24">
                  <c:v>2</c:v>
                </c:pt>
                <c:pt idx="25">
                  <c:v>2.08</c:v>
                </c:pt>
                <c:pt idx="26">
                  <c:v>2.17</c:v>
                </c:pt>
                <c:pt idx="27">
                  <c:v>2.25</c:v>
                </c:pt>
                <c:pt idx="28">
                  <c:v>2.3299999999999987</c:v>
                </c:pt>
                <c:pt idx="29">
                  <c:v>2.42</c:v>
                </c:pt>
                <c:pt idx="30">
                  <c:v>2.5</c:v>
                </c:pt>
                <c:pt idx="31">
                  <c:v>2.58</c:v>
                </c:pt>
                <c:pt idx="32">
                  <c:v>2.67</c:v>
                </c:pt>
                <c:pt idx="33">
                  <c:v>2.75</c:v>
                </c:pt>
                <c:pt idx="34">
                  <c:v>2.8299999999999987</c:v>
                </c:pt>
                <c:pt idx="35">
                  <c:v>2.92</c:v>
                </c:pt>
                <c:pt idx="36">
                  <c:v>3</c:v>
                </c:pt>
                <c:pt idx="37">
                  <c:v>3.08</c:v>
                </c:pt>
                <c:pt idx="38">
                  <c:v>3.17</c:v>
                </c:pt>
                <c:pt idx="39">
                  <c:v>3.25</c:v>
                </c:pt>
                <c:pt idx="40">
                  <c:v>3.3299999999999987</c:v>
                </c:pt>
                <c:pt idx="41">
                  <c:v>3.42</c:v>
                </c:pt>
                <c:pt idx="42">
                  <c:v>3.5</c:v>
                </c:pt>
                <c:pt idx="43">
                  <c:v>3.58</c:v>
                </c:pt>
                <c:pt idx="44">
                  <c:v>3.67</c:v>
                </c:pt>
                <c:pt idx="45">
                  <c:v>3.75</c:v>
                </c:pt>
                <c:pt idx="46">
                  <c:v>3.8299999999999987</c:v>
                </c:pt>
                <c:pt idx="47">
                  <c:v>3.92</c:v>
                </c:pt>
                <c:pt idx="48">
                  <c:v>4</c:v>
                </c:pt>
                <c:pt idx="49">
                  <c:v>4.08</c:v>
                </c:pt>
                <c:pt idx="50">
                  <c:v>4.17</c:v>
                </c:pt>
                <c:pt idx="51">
                  <c:v>4.25</c:v>
                </c:pt>
                <c:pt idx="52">
                  <c:v>4.33</c:v>
                </c:pt>
                <c:pt idx="53">
                  <c:v>4.42</c:v>
                </c:pt>
                <c:pt idx="54">
                  <c:v>4.5</c:v>
                </c:pt>
                <c:pt idx="55">
                  <c:v>4.58</c:v>
                </c:pt>
                <c:pt idx="56">
                  <c:v>4.67</c:v>
                </c:pt>
                <c:pt idx="57">
                  <c:v>4.75</c:v>
                </c:pt>
                <c:pt idx="58">
                  <c:v>4.83</c:v>
                </c:pt>
                <c:pt idx="59">
                  <c:v>4.92</c:v>
                </c:pt>
                <c:pt idx="60">
                  <c:v>5</c:v>
                </c:pt>
                <c:pt idx="61">
                  <c:v>5.08</c:v>
                </c:pt>
                <c:pt idx="62">
                  <c:v>5.17</c:v>
                </c:pt>
                <c:pt idx="63">
                  <c:v>5.25</c:v>
                </c:pt>
                <c:pt idx="64">
                  <c:v>5.33</c:v>
                </c:pt>
                <c:pt idx="65">
                  <c:v>5.42</c:v>
                </c:pt>
                <c:pt idx="66">
                  <c:v>5.5</c:v>
                </c:pt>
                <c:pt idx="67">
                  <c:v>5.58</c:v>
                </c:pt>
                <c:pt idx="68">
                  <c:v>5.67</c:v>
                </c:pt>
                <c:pt idx="69">
                  <c:v>5.75</c:v>
                </c:pt>
                <c:pt idx="70">
                  <c:v>5.83</c:v>
                </c:pt>
                <c:pt idx="71">
                  <c:v>5.92</c:v>
                </c:pt>
              </c:numCache>
            </c:numRef>
          </c:xVal>
          <c:yVal>
            <c:numRef>
              <c:f>'Hyd Thorn'!$B$3:$B$73</c:f>
              <c:numCache>
                <c:formatCode>General</c:formatCode>
                <c:ptCount val="71"/>
                <c:pt idx="0">
                  <c:v>0</c:v>
                </c:pt>
                <c:pt idx="1">
                  <c:v>0</c:v>
                </c:pt>
                <c:pt idx="2">
                  <c:v>0</c:v>
                </c:pt>
                <c:pt idx="3">
                  <c:v>0</c:v>
                </c:pt>
                <c:pt idx="4">
                  <c:v>0</c:v>
                </c:pt>
                <c:pt idx="5">
                  <c:v>0</c:v>
                </c:pt>
                <c:pt idx="6">
                  <c:v>4.7900000000000116E-2</c:v>
                </c:pt>
                <c:pt idx="7">
                  <c:v>0.64840000000000064</c:v>
                </c:pt>
                <c:pt idx="8">
                  <c:v>2.1591</c:v>
                </c:pt>
                <c:pt idx="9">
                  <c:v>3.8222999999999967</c:v>
                </c:pt>
                <c:pt idx="10">
                  <c:v>4.0298999999999996</c:v>
                </c:pt>
                <c:pt idx="11">
                  <c:v>3.2680000000000002</c:v>
                </c:pt>
                <c:pt idx="12">
                  <c:v>2.8500999999999967</c:v>
                </c:pt>
                <c:pt idx="13">
                  <c:v>2.7357999999999998</c:v>
                </c:pt>
                <c:pt idx="14">
                  <c:v>2.7029000000000001</c:v>
                </c:pt>
                <c:pt idx="15">
                  <c:v>2.7088999999999999</c:v>
                </c:pt>
                <c:pt idx="16">
                  <c:v>2.7511000000000001</c:v>
                </c:pt>
                <c:pt idx="17">
                  <c:v>2.7970999999999999</c:v>
                </c:pt>
                <c:pt idx="18">
                  <c:v>2.8097999999999987</c:v>
                </c:pt>
                <c:pt idx="19">
                  <c:v>2.7458999999999998</c:v>
                </c:pt>
                <c:pt idx="20">
                  <c:v>2.7151000000000001</c:v>
                </c:pt>
                <c:pt idx="21">
                  <c:v>2.7836000000000012</c:v>
                </c:pt>
                <c:pt idx="22">
                  <c:v>2.8883999999999999</c:v>
                </c:pt>
                <c:pt idx="23">
                  <c:v>2.9581</c:v>
                </c:pt>
                <c:pt idx="24">
                  <c:v>2.9703999999999997</c:v>
                </c:pt>
                <c:pt idx="25">
                  <c:v>2.9247999999999998</c:v>
                </c:pt>
                <c:pt idx="26">
                  <c:v>2.8012999999999977</c:v>
                </c:pt>
                <c:pt idx="27">
                  <c:v>2.6315</c:v>
                </c:pt>
                <c:pt idx="28">
                  <c:v>2.4771000000000001</c:v>
                </c:pt>
                <c:pt idx="29">
                  <c:v>2.3785999999999987</c:v>
                </c:pt>
                <c:pt idx="30">
                  <c:v>2.323</c:v>
                </c:pt>
                <c:pt idx="31">
                  <c:v>2.2818999999999998</c:v>
                </c:pt>
                <c:pt idx="32">
                  <c:v>2.2313000000000001</c:v>
                </c:pt>
                <c:pt idx="33">
                  <c:v>2.1545000000000001</c:v>
                </c:pt>
                <c:pt idx="34">
                  <c:v>2.0529999999999977</c:v>
                </c:pt>
                <c:pt idx="35">
                  <c:v>1.940899999999999</c:v>
                </c:pt>
                <c:pt idx="36">
                  <c:v>1.827499999999995</c:v>
                </c:pt>
                <c:pt idx="37">
                  <c:v>1.7141000000000011</c:v>
                </c:pt>
                <c:pt idx="38">
                  <c:v>1.591799999999995</c:v>
                </c:pt>
                <c:pt idx="39">
                  <c:v>1.4245999999999948</c:v>
                </c:pt>
                <c:pt idx="40">
                  <c:v>1.1791</c:v>
                </c:pt>
                <c:pt idx="41">
                  <c:v>0.89970000000000117</c:v>
                </c:pt>
                <c:pt idx="42">
                  <c:v>0.67860000000000398</c:v>
                </c:pt>
                <c:pt idx="43">
                  <c:v>0.54920000000000002</c:v>
                </c:pt>
                <c:pt idx="44">
                  <c:v>0.47840000000000032</c:v>
                </c:pt>
                <c:pt idx="45">
                  <c:v>0.42960000000000031</c:v>
                </c:pt>
                <c:pt idx="46">
                  <c:v>0.38850000000000123</c:v>
                </c:pt>
                <c:pt idx="47">
                  <c:v>0.35270000000000001</c:v>
                </c:pt>
                <c:pt idx="48">
                  <c:v>0.32110000000000088</c:v>
                </c:pt>
                <c:pt idx="49">
                  <c:v>0.29310000000000008</c:v>
                </c:pt>
                <c:pt idx="50">
                  <c:v>0.26829999999999998</c:v>
                </c:pt>
                <c:pt idx="51">
                  <c:v>0.24610000000000001</c:v>
                </c:pt>
                <c:pt idx="52">
                  <c:v>0.22620000000000026</c:v>
                </c:pt>
                <c:pt idx="53">
                  <c:v>0.20840000000000058</c:v>
                </c:pt>
                <c:pt idx="54">
                  <c:v>0.19230000000000014</c:v>
                </c:pt>
                <c:pt idx="55">
                  <c:v>0.17780000000000001</c:v>
                </c:pt>
                <c:pt idx="56">
                  <c:v>0.16460000000000014</c:v>
                </c:pt>
                <c:pt idx="57">
                  <c:v>0.15270000000000059</c:v>
                </c:pt>
                <c:pt idx="58">
                  <c:v>0.14180000000000001</c:v>
                </c:pt>
                <c:pt idx="59">
                  <c:v>0.13189999999999999</c:v>
                </c:pt>
                <c:pt idx="60">
                  <c:v>0.12290000000000002</c:v>
                </c:pt>
                <c:pt idx="61">
                  <c:v>0.11459999999999999</c:v>
                </c:pt>
                <c:pt idx="62">
                  <c:v>0.10700000000000012</c:v>
                </c:pt>
                <c:pt idx="63">
                  <c:v>0.10009999999999998</c:v>
                </c:pt>
                <c:pt idx="64">
                  <c:v>9.370000000000045E-2</c:v>
                </c:pt>
                <c:pt idx="65">
                  <c:v>8.7800000000000045E-2</c:v>
                </c:pt>
                <c:pt idx="66">
                  <c:v>8.2400000000000015E-2</c:v>
                </c:pt>
                <c:pt idx="67">
                  <c:v>7.7400000000000191E-2</c:v>
                </c:pt>
                <c:pt idx="68">
                  <c:v>7.2800000000000198E-2</c:v>
                </c:pt>
                <c:pt idx="69">
                  <c:v>6.8500000000000033E-2</c:v>
                </c:pt>
                <c:pt idx="70">
                  <c:v>6.4500000000000154E-2</c:v>
                </c:pt>
              </c:numCache>
            </c:numRef>
          </c:yVal>
          <c:smooth val="0"/>
        </c:ser>
        <c:ser>
          <c:idx val="1"/>
          <c:order val="1"/>
          <c:tx>
            <c:strRef>
              <c:f>'Hyd Thorn'!$C$1</c:f>
              <c:strCache>
                <c:ptCount val="1"/>
                <c:pt idx="0">
                  <c:v>10% AEP</c:v>
                </c:pt>
              </c:strCache>
            </c:strRef>
          </c:tx>
          <c:marker>
            <c:symbol val="none"/>
          </c:marker>
          <c:xVal>
            <c:numRef>
              <c:f>'Hyd Thorn'!$A$2:$A$73</c:f>
              <c:numCache>
                <c:formatCode>General</c:formatCode>
                <c:ptCount val="72"/>
                <c:pt idx="0">
                  <c:v>0</c:v>
                </c:pt>
                <c:pt idx="1">
                  <c:v>8.000000000000021E-2</c:v>
                </c:pt>
                <c:pt idx="2">
                  <c:v>0.17</c:v>
                </c:pt>
                <c:pt idx="3">
                  <c:v>0.25</c:v>
                </c:pt>
                <c:pt idx="4">
                  <c:v>0.33000000000000146</c:v>
                </c:pt>
                <c:pt idx="5">
                  <c:v>0.42000000000000032</c:v>
                </c:pt>
                <c:pt idx="6">
                  <c:v>0.5</c:v>
                </c:pt>
                <c:pt idx="7">
                  <c:v>0.58000000000000063</c:v>
                </c:pt>
                <c:pt idx="8">
                  <c:v>0.67000000000000293</c:v>
                </c:pt>
                <c:pt idx="9">
                  <c:v>0.75000000000000233</c:v>
                </c:pt>
                <c:pt idx="10">
                  <c:v>0.83000000000000063</c:v>
                </c:pt>
                <c:pt idx="11">
                  <c:v>0.92</c:v>
                </c:pt>
                <c:pt idx="12">
                  <c:v>1</c:v>
                </c:pt>
                <c:pt idx="13">
                  <c:v>1.08</c:v>
                </c:pt>
                <c:pt idx="14">
                  <c:v>1.1700000000000021</c:v>
                </c:pt>
                <c:pt idx="15">
                  <c:v>1.25</c:v>
                </c:pt>
                <c:pt idx="16">
                  <c:v>1.33</c:v>
                </c:pt>
                <c:pt idx="17">
                  <c:v>1.42</c:v>
                </c:pt>
                <c:pt idx="18">
                  <c:v>1.5</c:v>
                </c:pt>
                <c:pt idx="19">
                  <c:v>1.58</c:v>
                </c:pt>
                <c:pt idx="20">
                  <c:v>1.6700000000000021</c:v>
                </c:pt>
                <c:pt idx="21">
                  <c:v>1.7500000000000011</c:v>
                </c:pt>
                <c:pt idx="22">
                  <c:v>1.83</c:v>
                </c:pt>
                <c:pt idx="23">
                  <c:v>1.9200000000000019</c:v>
                </c:pt>
                <c:pt idx="24">
                  <c:v>2</c:v>
                </c:pt>
                <c:pt idx="25">
                  <c:v>2.08</c:v>
                </c:pt>
                <c:pt idx="26">
                  <c:v>2.17</c:v>
                </c:pt>
                <c:pt idx="27">
                  <c:v>2.25</c:v>
                </c:pt>
                <c:pt idx="28">
                  <c:v>2.3299999999999987</c:v>
                </c:pt>
                <c:pt idx="29">
                  <c:v>2.42</c:v>
                </c:pt>
                <c:pt idx="30">
                  <c:v>2.5</c:v>
                </c:pt>
                <c:pt idx="31">
                  <c:v>2.58</c:v>
                </c:pt>
                <c:pt idx="32">
                  <c:v>2.67</c:v>
                </c:pt>
                <c:pt idx="33">
                  <c:v>2.75</c:v>
                </c:pt>
                <c:pt idx="34">
                  <c:v>2.8299999999999987</c:v>
                </c:pt>
                <c:pt idx="35">
                  <c:v>2.92</c:v>
                </c:pt>
                <c:pt idx="36">
                  <c:v>3</c:v>
                </c:pt>
                <c:pt idx="37">
                  <c:v>3.08</c:v>
                </c:pt>
                <c:pt idx="38">
                  <c:v>3.17</c:v>
                </c:pt>
                <c:pt idx="39">
                  <c:v>3.25</c:v>
                </c:pt>
                <c:pt idx="40">
                  <c:v>3.3299999999999987</c:v>
                </c:pt>
                <c:pt idx="41">
                  <c:v>3.42</c:v>
                </c:pt>
                <c:pt idx="42">
                  <c:v>3.5</c:v>
                </c:pt>
                <c:pt idx="43">
                  <c:v>3.58</c:v>
                </c:pt>
                <c:pt idx="44">
                  <c:v>3.67</c:v>
                </c:pt>
                <c:pt idx="45">
                  <c:v>3.75</c:v>
                </c:pt>
                <c:pt idx="46">
                  <c:v>3.8299999999999987</c:v>
                </c:pt>
                <c:pt idx="47">
                  <c:v>3.92</c:v>
                </c:pt>
                <c:pt idx="48">
                  <c:v>4</c:v>
                </c:pt>
                <c:pt idx="49">
                  <c:v>4.08</c:v>
                </c:pt>
                <c:pt idx="50">
                  <c:v>4.17</c:v>
                </c:pt>
                <c:pt idx="51">
                  <c:v>4.25</c:v>
                </c:pt>
                <c:pt idx="52">
                  <c:v>4.33</c:v>
                </c:pt>
                <c:pt idx="53">
                  <c:v>4.42</c:v>
                </c:pt>
                <c:pt idx="54">
                  <c:v>4.5</c:v>
                </c:pt>
                <c:pt idx="55">
                  <c:v>4.58</c:v>
                </c:pt>
                <c:pt idx="56">
                  <c:v>4.67</c:v>
                </c:pt>
                <c:pt idx="57">
                  <c:v>4.75</c:v>
                </c:pt>
                <c:pt idx="58">
                  <c:v>4.83</c:v>
                </c:pt>
                <c:pt idx="59">
                  <c:v>4.92</c:v>
                </c:pt>
                <c:pt idx="60">
                  <c:v>5</c:v>
                </c:pt>
                <c:pt idx="61">
                  <c:v>5.08</c:v>
                </c:pt>
                <c:pt idx="62">
                  <c:v>5.17</c:v>
                </c:pt>
                <c:pt idx="63">
                  <c:v>5.25</c:v>
                </c:pt>
                <c:pt idx="64">
                  <c:v>5.33</c:v>
                </c:pt>
                <c:pt idx="65">
                  <c:v>5.42</c:v>
                </c:pt>
                <c:pt idx="66">
                  <c:v>5.5</c:v>
                </c:pt>
                <c:pt idx="67">
                  <c:v>5.58</c:v>
                </c:pt>
                <c:pt idx="68">
                  <c:v>5.67</c:v>
                </c:pt>
                <c:pt idx="69">
                  <c:v>5.75</c:v>
                </c:pt>
                <c:pt idx="70">
                  <c:v>5.83</c:v>
                </c:pt>
                <c:pt idx="71">
                  <c:v>5.92</c:v>
                </c:pt>
              </c:numCache>
            </c:numRef>
          </c:xVal>
          <c:yVal>
            <c:numRef>
              <c:f>'Hyd Thorn'!$C$2:$C$73</c:f>
              <c:numCache>
                <c:formatCode>General</c:formatCode>
                <c:ptCount val="72"/>
                <c:pt idx="0">
                  <c:v>0</c:v>
                </c:pt>
                <c:pt idx="1">
                  <c:v>0</c:v>
                </c:pt>
                <c:pt idx="2">
                  <c:v>0</c:v>
                </c:pt>
                <c:pt idx="3">
                  <c:v>0</c:v>
                </c:pt>
                <c:pt idx="4">
                  <c:v>0</c:v>
                </c:pt>
                <c:pt idx="5">
                  <c:v>0</c:v>
                </c:pt>
                <c:pt idx="6">
                  <c:v>2.4400000000000012E-2</c:v>
                </c:pt>
                <c:pt idx="7">
                  <c:v>0.19330000000000014</c:v>
                </c:pt>
                <c:pt idx="8">
                  <c:v>1.3042</c:v>
                </c:pt>
                <c:pt idx="9">
                  <c:v>3.6997</c:v>
                </c:pt>
                <c:pt idx="10">
                  <c:v>5.6763000000000003</c:v>
                </c:pt>
                <c:pt idx="11">
                  <c:v>5.6574999999999855</c:v>
                </c:pt>
                <c:pt idx="12">
                  <c:v>4.6259999999999808</c:v>
                </c:pt>
                <c:pt idx="13">
                  <c:v>4.0522</c:v>
                </c:pt>
                <c:pt idx="14">
                  <c:v>3.9693000000000001</c:v>
                </c:pt>
                <c:pt idx="15">
                  <c:v>3.9634999999999998</c:v>
                </c:pt>
                <c:pt idx="16">
                  <c:v>3.8257999999999988</c:v>
                </c:pt>
                <c:pt idx="17">
                  <c:v>3.6927999999999988</c:v>
                </c:pt>
                <c:pt idx="18">
                  <c:v>3.7167999999999997</c:v>
                </c:pt>
                <c:pt idx="19">
                  <c:v>3.7696000000000001</c:v>
                </c:pt>
                <c:pt idx="20">
                  <c:v>3.6467000000000001</c:v>
                </c:pt>
                <c:pt idx="21">
                  <c:v>3.5072999999999999</c:v>
                </c:pt>
                <c:pt idx="22">
                  <c:v>3.4913999999999987</c:v>
                </c:pt>
                <c:pt idx="23">
                  <c:v>3.5108999999999977</c:v>
                </c:pt>
                <c:pt idx="24">
                  <c:v>3.5015000000000001</c:v>
                </c:pt>
                <c:pt idx="25">
                  <c:v>3.4887000000000001</c:v>
                </c:pt>
                <c:pt idx="26">
                  <c:v>3.4525999999999977</c:v>
                </c:pt>
                <c:pt idx="27">
                  <c:v>3.3150999999999913</c:v>
                </c:pt>
                <c:pt idx="28">
                  <c:v>3.117</c:v>
                </c:pt>
                <c:pt idx="29">
                  <c:v>2.9544999999999977</c:v>
                </c:pt>
                <c:pt idx="30">
                  <c:v>2.8656999999999977</c:v>
                </c:pt>
                <c:pt idx="31">
                  <c:v>2.8201999999999998</c:v>
                </c:pt>
                <c:pt idx="32">
                  <c:v>2.7917999999999998</c:v>
                </c:pt>
                <c:pt idx="33">
                  <c:v>2.7725</c:v>
                </c:pt>
                <c:pt idx="34">
                  <c:v>2.7565999999999997</c:v>
                </c:pt>
                <c:pt idx="35">
                  <c:v>2.7404999999999999</c:v>
                </c:pt>
                <c:pt idx="36">
                  <c:v>2.7229999999999999</c:v>
                </c:pt>
                <c:pt idx="37">
                  <c:v>2.7025000000000001</c:v>
                </c:pt>
                <c:pt idx="38">
                  <c:v>2.6757</c:v>
                </c:pt>
                <c:pt idx="39">
                  <c:v>2.6415000000000002</c:v>
                </c:pt>
                <c:pt idx="40">
                  <c:v>2.6019000000000001</c:v>
                </c:pt>
                <c:pt idx="41">
                  <c:v>2.5598999999999967</c:v>
                </c:pt>
                <c:pt idx="42">
                  <c:v>2.5166999999999913</c:v>
                </c:pt>
                <c:pt idx="43">
                  <c:v>2.4723999999999977</c:v>
                </c:pt>
                <c:pt idx="44">
                  <c:v>2.4274</c:v>
                </c:pt>
                <c:pt idx="45">
                  <c:v>2.3819999999999997</c:v>
                </c:pt>
                <c:pt idx="46">
                  <c:v>2.3353999999999977</c:v>
                </c:pt>
                <c:pt idx="47">
                  <c:v>2.2789000000000001</c:v>
                </c:pt>
                <c:pt idx="48">
                  <c:v>2.1865999999999999</c:v>
                </c:pt>
                <c:pt idx="49">
                  <c:v>2.0322999999999967</c:v>
                </c:pt>
                <c:pt idx="50">
                  <c:v>1.8206</c:v>
                </c:pt>
                <c:pt idx="51">
                  <c:v>1.5582</c:v>
                </c:pt>
                <c:pt idx="52">
                  <c:v>1.226</c:v>
                </c:pt>
                <c:pt idx="53">
                  <c:v>0.85390000000000221</c:v>
                </c:pt>
                <c:pt idx="54">
                  <c:v>0.54300000000000004</c:v>
                </c:pt>
                <c:pt idx="55">
                  <c:v>0.35310000000000002</c:v>
                </c:pt>
                <c:pt idx="56">
                  <c:v>0.26050000000000001</c:v>
                </c:pt>
                <c:pt idx="57">
                  <c:v>0.21820000000000067</c:v>
                </c:pt>
                <c:pt idx="58">
                  <c:v>0.19530000000000014</c:v>
                </c:pt>
                <c:pt idx="59">
                  <c:v>0.17910000000000001</c:v>
                </c:pt>
                <c:pt idx="60">
                  <c:v>0.16570000000000024</c:v>
                </c:pt>
                <c:pt idx="61">
                  <c:v>0.15390000000000068</c:v>
                </c:pt>
                <c:pt idx="62">
                  <c:v>0.14330000000000001</c:v>
                </c:pt>
                <c:pt idx="63">
                  <c:v>0.1336</c:v>
                </c:pt>
                <c:pt idx="64">
                  <c:v>0.12479999999999999</c:v>
                </c:pt>
                <c:pt idx="65">
                  <c:v>0.11660000000000015</c:v>
                </c:pt>
                <c:pt idx="66">
                  <c:v>0.10920000000000032</c:v>
                </c:pt>
                <c:pt idx="67">
                  <c:v>0.1023</c:v>
                </c:pt>
                <c:pt idx="68">
                  <c:v>9.6000000000000099E-2</c:v>
                </c:pt>
                <c:pt idx="69">
                  <c:v>9.0100000000000027E-2</c:v>
                </c:pt>
                <c:pt idx="70">
                  <c:v>8.4700000000000247E-2</c:v>
                </c:pt>
                <c:pt idx="71">
                  <c:v>7.9700000000000215E-2</c:v>
                </c:pt>
              </c:numCache>
            </c:numRef>
          </c:yVal>
          <c:smooth val="0"/>
        </c:ser>
        <c:ser>
          <c:idx val="2"/>
          <c:order val="2"/>
          <c:tx>
            <c:strRef>
              <c:f>'Hyd Thorn'!$D$1</c:f>
              <c:strCache>
                <c:ptCount val="1"/>
                <c:pt idx="0">
                  <c:v>5% AEP</c:v>
                </c:pt>
              </c:strCache>
            </c:strRef>
          </c:tx>
          <c:marker>
            <c:symbol val="none"/>
          </c:marker>
          <c:xVal>
            <c:numRef>
              <c:f>'Hyd Thorn'!$A$2:$A$73</c:f>
              <c:numCache>
                <c:formatCode>General</c:formatCode>
                <c:ptCount val="72"/>
                <c:pt idx="0">
                  <c:v>0</c:v>
                </c:pt>
                <c:pt idx="1">
                  <c:v>8.000000000000021E-2</c:v>
                </c:pt>
                <c:pt idx="2">
                  <c:v>0.17</c:v>
                </c:pt>
                <c:pt idx="3">
                  <c:v>0.25</c:v>
                </c:pt>
                <c:pt idx="4">
                  <c:v>0.33000000000000146</c:v>
                </c:pt>
                <c:pt idx="5">
                  <c:v>0.42000000000000032</c:v>
                </c:pt>
                <c:pt idx="6">
                  <c:v>0.5</c:v>
                </c:pt>
                <c:pt idx="7">
                  <c:v>0.58000000000000063</c:v>
                </c:pt>
                <c:pt idx="8">
                  <c:v>0.67000000000000293</c:v>
                </c:pt>
                <c:pt idx="9">
                  <c:v>0.75000000000000233</c:v>
                </c:pt>
                <c:pt idx="10">
                  <c:v>0.83000000000000063</c:v>
                </c:pt>
                <c:pt idx="11">
                  <c:v>0.92</c:v>
                </c:pt>
                <c:pt idx="12">
                  <c:v>1</c:v>
                </c:pt>
                <c:pt idx="13">
                  <c:v>1.08</c:v>
                </c:pt>
                <c:pt idx="14">
                  <c:v>1.1700000000000021</c:v>
                </c:pt>
                <c:pt idx="15">
                  <c:v>1.25</c:v>
                </c:pt>
                <c:pt idx="16">
                  <c:v>1.33</c:v>
                </c:pt>
                <c:pt idx="17">
                  <c:v>1.42</c:v>
                </c:pt>
                <c:pt idx="18">
                  <c:v>1.5</c:v>
                </c:pt>
                <c:pt idx="19">
                  <c:v>1.58</c:v>
                </c:pt>
                <c:pt idx="20">
                  <c:v>1.6700000000000021</c:v>
                </c:pt>
                <c:pt idx="21">
                  <c:v>1.7500000000000011</c:v>
                </c:pt>
                <c:pt idx="22">
                  <c:v>1.83</c:v>
                </c:pt>
                <c:pt idx="23">
                  <c:v>1.9200000000000019</c:v>
                </c:pt>
                <c:pt idx="24">
                  <c:v>2</c:v>
                </c:pt>
                <c:pt idx="25">
                  <c:v>2.08</c:v>
                </c:pt>
                <c:pt idx="26">
                  <c:v>2.17</c:v>
                </c:pt>
                <c:pt idx="27">
                  <c:v>2.25</c:v>
                </c:pt>
                <c:pt idx="28">
                  <c:v>2.3299999999999987</c:v>
                </c:pt>
                <c:pt idx="29">
                  <c:v>2.42</c:v>
                </c:pt>
                <c:pt idx="30">
                  <c:v>2.5</c:v>
                </c:pt>
                <c:pt idx="31">
                  <c:v>2.58</c:v>
                </c:pt>
                <c:pt idx="32">
                  <c:v>2.67</c:v>
                </c:pt>
                <c:pt idx="33">
                  <c:v>2.75</c:v>
                </c:pt>
                <c:pt idx="34">
                  <c:v>2.8299999999999987</c:v>
                </c:pt>
                <c:pt idx="35">
                  <c:v>2.92</c:v>
                </c:pt>
                <c:pt idx="36">
                  <c:v>3</c:v>
                </c:pt>
                <c:pt idx="37">
                  <c:v>3.08</c:v>
                </c:pt>
                <c:pt idx="38">
                  <c:v>3.17</c:v>
                </c:pt>
                <c:pt idx="39">
                  <c:v>3.25</c:v>
                </c:pt>
                <c:pt idx="40">
                  <c:v>3.3299999999999987</c:v>
                </c:pt>
                <c:pt idx="41">
                  <c:v>3.42</c:v>
                </c:pt>
                <c:pt idx="42">
                  <c:v>3.5</c:v>
                </c:pt>
                <c:pt idx="43">
                  <c:v>3.58</c:v>
                </c:pt>
                <c:pt idx="44">
                  <c:v>3.67</c:v>
                </c:pt>
                <c:pt idx="45">
                  <c:v>3.75</c:v>
                </c:pt>
                <c:pt idx="46">
                  <c:v>3.8299999999999987</c:v>
                </c:pt>
                <c:pt idx="47">
                  <c:v>3.92</c:v>
                </c:pt>
                <c:pt idx="48">
                  <c:v>4</c:v>
                </c:pt>
                <c:pt idx="49">
                  <c:v>4.08</c:v>
                </c:pt>
                <c:pt idx="50">
                  <c:v>4.17</c:v>
                </c:pt>
                <c:pt idx="51">
                  <c:v>4.25</c:v>
                </c:pt>
                <c:pt idx="52">
                  <c:v>4.33</c:v>
                </c:pt>
                <c:pt idx="53">
                  <c:v>4.42</c:v>
                </c:pt>
                <c:pt idx="54">
                  <c:v>4.5</c:v>
                </c:pt>
                <c:pt idx="55">
                  <c:v>4.58</c:v>
                </c:pt>
                <c:pt idx="56">
                  <c:v>4.67</c:v>
                </c:pt>
                <c:pt idx="57">
                  <c:v>4.75</c:v>
                </c:pt>
                <c:pt idx="58">
                  <c:v>4.83</c:v>
                </c:pt>
                <c:pt idx="59">
                  <c:v>4.92</c:v>
                </c:pt>
                <c:pt idx="60">
                  <c:v>5</c:v>
                </c:pt>
                <c:pt idx="61">
                  <c:v>5.08</c:v>
                </c:pt>
                <c:pt idx="62">
                  <c:v>5.17</c:v>
                </c:pt>
                <c:pt idx="63">
                  <c:v>5.25</c:v>
                </c:pt>
                <c:pt idx="64">
                  <c:v>5.33</c:v>
                </c:pt>
                <c:pt idx="65">
                  <c:v>5.42</c:v>
                </c:pt>
                <c:pt idx="66">
                  <c:v>5.5</c:v>
                </c:pt>
                <c:pt idx="67">
                  <c:v>5.58</c:v>
                </c:pt>
                <c:pt idx="68">
                  <c:v>5.67</c:v>
                </c:pt>
                <c:pt idx="69">
                  <c:v>5.75</c:v>
                </c:pt>
                <c:pt idx="70">
                  <c:v>5.83</c:v>
                </c:pt>
                <c:pt idx="71">
                  <c:v>5.92</c:v>
                </c:pt>
              </c:numCache>
            </c:numRef>
          </c:xVal>
          <c:yVal>
            <c:numRef>
              <c:f>'Hyd Thorn'!$D$2:$D$73</c:f>
              <c:numCache>
                <c:formatCode>General</c:formatCode>
                <c:ptCount val="72"/>
                <c:pt idx="0">
                  <c:v>0</c:v>
                </c:pt>
                <c:pt idx="1">
                  <c:v>0</c:v>
                </c:pt>
                <c:pt idx="2">
                  <c:v>0</c:v>
                </c:pt>
                <c:pt idx="3">
                  <c:v>0</c:v>
                </c:pt>
                <c:pt idx="4">
                  <c:v>0</c:v>
                </c:pt>
                <c:pt idx="5">
                  <c:v>0</c:v>
                </c:pt>
                <c:pt idx="6">
                  <c:v>0.15810000000000021</c:v>
                </c:pt>
                <c:pt idx="7">
                  <c:v>0.58949999999999969</c:v>
                </c:pt>
                <c:pt idx="8">
                  <c:v>2.5973999999999999</c:v>
                </c:pt>
                <c:pt idx="9">
                  <c:v>6.0639999999999965</c:v>
                </c:pt>
                <c:pt idx="10">
                  <c:v>8.1021000000000001</c:v>
                </c:pt>
                <c:pt idx="11">
                  <c:v>7.6084999999999985</c:v>
                </c:pt>
                <c:pt idx="12">
                  <c:v>5.9761000000000024</c:v>
                </c:pt>
                <c:pt idx="13">
                  <c:v>5.2100999999999997</c:v>
                </c:pt>
                <c:pt idx="14">
                  <c:v>5.2983000000000002</c:v>
                </c:pt>
                <c:pt idx="15">
                  <c:v>5.4003000000000014</c:v>
                </c:pt>
                <c:pt idx="16">
                  <c:v>5.2311000000000014</c:v>
                </c:pt>
                <c:pt idx="17">
                  <c:v>5.0503</c:v>
                </c:pt>
                <c:pt idx="18">
                  <c:v>5.0286</c:v>
                </c:pt>
                <c:pt idx="19">
                  <c:v>4.9535999999999998</c:v>
                </c:pt>
                <c:pt idx="20">
                  <c:v>4.627599999999978</c:v>
                </c:pt>
                <c:pt idx="21">
                  <c:v>4.3483000000000001</c:v>
                </c:pt>
                <c:pt idx="22">
                  <c:v>4.2977999999999996</c:v>
                </c:pt>
                <c:pt idx="23">
                  <c:v>4.3237999999999985</c:v>
                </c:pt>
                <c:pt idx="24">
                  <c:v>4.3003</c:v>
                </c:pt>
                <c:pt idx="25">
                  <c:v>4.2418000000000013</c:v>
                </c:pt>
                <c:pt idx="26">
                  <c:v>4.1521999999999855</c:v>
                </c:pt>
                <c:pt idx="27">
                  <c:v>3.9535999999999998</c:v>
                </c:pt>
                <c:pt idx="28">
                  <c:v>3.6857000000000002</c:v>
                </c:pt>
                <c:pt idx="29">
                  <c:v>3.4653</c:v>
                </c:pt>
                <c:pt idx="30">
                  <c:v>3.3462999999999967</c:v>
                </c:pt>
                <c:pt idx="31">
                  <c:v>3.2917999999999998</c:v>
                </c:pt>
                <c:pt idx="32">
                  <c:v>3.2636000000000012</c:v>
                </c:pt>
                <c:pt idx="33">
                  <c:v>3.2476000000000012</c:v>
                </c:pt>
                <c:pt idx="34">
                  <c:v>3.2357999999999998</c:v>
                </c:pt>
                <c:pt idx="35">
                  <c:v>3.2244000000000002</c:v>
                </c:pt>
                <c:pt idx="36">
                  <c:v>3.2127999999999997</c:v>
                </c:pt>
                <c:pt idx="37">
                  <c:v>3.2006000000000001</c:v>
                </c:pt>
                <c:pt idx="38">
                  <c:v>3.1873000000000098</c:v>
                </c:pt>
                <c:pt idx="39">
                  <c:v>3.1732</c:v>
                </c:pt>
                <c:pt idx="40">
                  <c:v>3.1583000000000001</c:v>
                </c:pt>
                <c:pt idx="41">
                  <c:v>3.1425000000000001</c:v>
                </c:pt>
                <c:pt idx="42">
                  <c:v>3.1261999999999999</c:v>
                </c:pt>
                <c:pt idx="43">
                  <c:v>3.1089000000000002</c:v>
                </c:pt>
                <c:pt idx="44">
                  <c:v>3.0891999999999999</c:v>
                </c:pt>
                <c:pt idx="45">
                  <c:v>3.0647000000000002</c:v>
                </c:pt>
                <c:pt idx="46">
                  <c:v>3.0350999999999977</c:v>
                </c:pt>
                <c:pt idx="47">
                  <c:v>3.0028999999999977</c:v>
                </c:pt>
                <c:pt idx="48">
                  <c:v>2.9703999999999997</c:v>
                </c:pt>
                <c:pt idx="49">
                  <c:v>2.9377999999999997</c:v>
                </c:pt>
                <c:pt idx="50">
                  <c:v>2.9051999999999998</c:v>
                </c:pt>
                <c:pt idx="51">
                  <c:v>2.8723999999999967</c:v>
                </c:pt>
                <c:pt idx="52">
                  <c:v>2.8396999999999899</c:v>
                </c:pt>
                <c:pt idx="53">
                  <c:v>2.8071000000000002</c:v>
                </c:pt>
                <c:pt idx="54">
                  <c:v>2.7745000000000002</c:v>
                </c:pt>
                <c:pt idx="55">
                  <c:v>2.7416999999999998</c:v>
                </c:pt>
                <c:pt idx="56">
                  <c:v>2.7067000000000001</c:v>
                </c:pt>
                <c:pt idx="57">
                  <c:v>2.6650999999999998</c:v>
                </c:pt>
                <c:pt idx="58">
                  <c:v>2.6143999999999998</c:v>
                </c:pt>
                <c:pt idx="59">
                  <c:v>2.5573000000000001</c:v>
                </c:pt>
                <c:pt idx="60">
                  <c:v>2.4991999999999988</c:v>
                </c:pt>
                <c:pt idx="61">
                  <c:v>2.4425999999999997</c:v>
                </c:pt>
                <c:pt idx="62">
                  <c:v>2.3871000000000002</c:v>
                </c:pt>
                <c:pt idx="63">
                  <c:v>2.3292999999999977</c:v>
                </c:pt>
                <c:pt idx="64">
                  <c:v>2.2513000000000001</c:v>
                </c:pt>
                <c:pt idx="65">
                  <c:v>2.1206</c:v>
                </c:pt>
                <c:pt idx="66">
                  <c:v>1.921399999999998</c:v>
                </c:pt>
                <c:pt idx="67">
                  <c:v>1.6600999999999999</c:v>
                </c:pt>
                <c:pt idx="68">
                  <c:v>1.3220000000000001</c:v>
                </c:pt>
                <c:pt idx="69">
                  <c:v>0.9153</c:v>
                </c:pt>
                <c:pt idx="70">
                  <c:v>0.5413</c:v>
                </c:pt>
                <c:pt idx="71">
                  <c:v>0.29570000000000002</c:v>
                </c:pt>
              </c:numCache>
            </c:numRef>
          </c:yVal>
          <c:smooth val="0"/>
        </c:ser>
        <c:ser>
          <c:idx val="3"/>
          <c:order val="3"/>
          <c:tx>
            <c:strRef>
              <c:f>'Hyd Thorn'!$E$1</c:f>
              <c:strCache>
                <c:ptCount val="1"/>
                <c:pt idx="0">
                  <c:v>1% AEP</c:v>
                </c:pt>
              </c:strCache>
            </c:strRef>
          </c:tx>
          <c:marker>
            <c:symbol val="none"/>
          </c:marker>
          <c:xVal>
            <c:numRef>
              <c:f>'Hyd Thorn'!$A$2:$A$73</c:f>
              <c:numCache>
                <c:formatCode>General</c:formatCode>
                <c:ptCount val="72"/>
                <c:pt idx="0">
                  <c:v>0</c:v>
                </c:pt>
                <c:pt idx="1">
                  <c:v>8.000000000000021E-2</c:v>
                </c:pt>
                <c:pt idx="2">
                  <c:v>0.17</c:v>
                </c:pt>
                <c:pt idx="3">
                  <c:v>0.25</c:v>
                </c:pt>
                <c:pt idx="4">
                  <c:v>0.33000000000000146</c:v>
                </c:pt>
                <c:pt idx="5">
                  <c:v>0.42000000000000032</c:v>
                </c:pt>
                <c:pt idx="6">
                  <c:v>0.5</c:v>
                </c:pt>
                <c:pt idx="7">
                  <c:v>0.58000000000000063</c:v>
                </c:pt>
                <c:pt idx="8">
                  <c:v>0.67000000000000293</c:v>
                </c:pt>
                <c:pt idx="9">
                  <c:v>0.75000000000000233</c:v>
                </c:pt>
                <c:pt idx="10">
                  <c:v>0.83000000000000063</c:v>
                </c:pt>
                <c:pt idx="11">
                  <c:v>0.92</c:v>
                </c:pt>
                <c:pt idx="12">
                  <c:v>1</c:v>
                </c:pt>
                <c:pt idx="13">
                  <c:v>1.08</c:v>
                </c:pt>
                <c:pt idx="14">
                  <c:v>1.1700000000000021</c:v>
                </c:pt>
                <c:pt idx="15">
                  <c:v>1.25</c:v>
                </c:pt>
                <c:pt idx="16">
                  <c:v>1.33</c:v>
                </c:pt>
                <c:pt idx="17">
                  <c:v>1.42</c:v>
                </c:pt>
                <c:pt idx="18">
                  <c:v>1.5</c:v>
                </c:pt>
                <c:pt idx="19">
                  <c:v>1.58</c:v>
                </c:pt>
                <c:pt idx="20">
                  <c:v>1.6700000000000021</c:v>
                </c:pt>
                <c:pt idx="21">
                  <c:v>1.7500000000000011</c:v>
                </c:pt>
                <c:pt idx="22">
                  <c:v>1.83</c:v>
                </c:pt>
                <c:pt idx="23">
                  <c:v>1.9200000000000019</c:v>
                </c:pt>
                <c:pt idx="24">
                  <c:v>2</c:v>
                </c:pt>
                <c:pt idx="25">
                  <c:v>2.08</c:v>
                </c:pt>
                <c:pt idx="26">
                  <c:v>2.17</c:v>
                </c:pt>
                <c:pt idx="27">
                  <c:v>2.25</c:v>
                </c:pt>
                <c:pt idx="28">
                  <c:v>2.3299999999999987</c:v>
                </c:pt>
                <c:pt idx="29">
                  <c:v>2.42</c:v>
                </c:pt>
                <c:pt idx="30">
                  <c:v>2.5</c:v>
                </c:pt>
                <c:pt idx="31">
                  <c:v>2.58</c:v>
                </c:pt>
                <c:pt idx="32">
                  <c:v>2.67</c:v>
                </c:pt>
                <c:pt idx="33">
                  <c:v>2.75</c:v>
                </c:pt>
                <c:pt idx="34">
                  <c:v>2.8299999999999987</c:v>
                </c:pt>
                <c:pt idx="35">
                  <c:v>2.92</c:v>
                </c:pt>
                <c:pt idx="36">
                  <c:v>3</c:v>
                </c:pt>
                <c:pt idx="37">
                  <c:v>3.08</c:v>
                </c:pt>
                <c:pt idx="38">
                  <c:v>3.17</c:v>
                </c:pt>
                <c:pt idx="39">
                  <c:v>3.25</c:v>
                </c:pt>
                <c:pt idx="40">
                  <c:v>3.3299999999999987</c:v>
                </c:pt>
                <c:pt idx="41">
                  <c:v>3.42</c:v>
                </c:pt>
                <c:pt idx="42">
                  <c:v>3.5</c:v>
                </c:pt>
                <c:pt idx="43">
                  <c:v>3.58</c:v>
                </c:pt>
                <c:pt idx="44">
                  <c:v>3.67</c:v>
                </c:pt>
                <c:pt idx="45">
                  <c:v>3.75</c:v>
                </c:pt>
                <c:pt idx="46">
                  <c:v>3.8299999999999987</c:v>
                </c:pt>
                <c:pt idx="47">
                  <c:v>3.92</c:v>
                </c:pt>
                <c:pt idx="48">
                  <c:v>4</c:v>
                </c:pt>
                <c:pt idx="49">
                  <c:v>4.08</c:v>
                </c:pt>
                <c:pt idx="50">
                  <c:v>4.17</c:v>
                </c:pt>
                <c:pt idx="51">
                  <c:v>4.25</c:v>
                </c:pt>
                <c:pt idx="52">
                  <c:v>4.33</c:v>
                </c:pt>
                <c:pt idx="53">
                  <c:v>4.42</c:v>
                </c:pt>
                <c:pt idx="54">
                  <c:v>4.5</c:v>
                </c:pt>
                <c:pt idx="55">
                  <c:v>4.58</c:v>
                </c:pt>
                <c:pt idx="56">
                  <c:v>4.67</c:v>
                </c:pt>
                <c:pt idx="57">
                  <c:v>4.75</c:v>
                </c:pt>
                <c:pt idx="58">
                  <c:v>4.83</c:v>
                </c:pt>
                <c:pt idx="59">
                  <c:v>4.92</c:v>
                </c:pt>
                <c:pt idx="60">
                  <c:v>5</c:v>
                </c:pt>
                <c:pt idx="61">
                  <c:v>5.08</c:v>
                </c:pt>
                <c:pt idx="62">
                  <c:v>5.17</c:v>
                </c:pt>
                <c:pt idx="63">
                  <c:v>5.25</c:v>
                </c:pt>
                <c:pt idx="64">
                  <c:v>5.33</c:v>
                </c:pt>
                <c:pt idx="65">
                  <c:v>5.42</c:v>
                </c:pt>
                <c:pt idx="66">
                  <c:v>5.5</c:v>
                </c:pt>
                <c:pt idx="67">
                  <c:v>5.58</c:v>
                </c:pt>
                <c:pt idx="68">
                  <c:v>5.67</c:v>
                </c:pt>
                <c:pt idx="69">
                  <c:v>5.75</c:v>
                </c:pt>
                <c:pt idx="70">
                  <c:v>5.83</c:v>
                </c:pt>
                <c:pt idx="71">
                  <c:v>5.92</c:v>
                </c:pt>
              </c:numCache>
            </c:numRef>
          </c:xVal>
          <c:yVal>
            <c:numRef>
              <c:f>'Hyd Thorn'!$E$2:$E$73</c:f>
              <c:numCache>
                <c:formatCode>General</c:formatCode>
                <c:ptCount val="72"/>
                <c:pt idx="0">
                  <c:v>0</c:v>
                </c:pt>
                <c:pt idx="1">
                  <c:v>0</c:v>
                </c:pt>
                <c:pt idx="2">
                  <c:v>0</c:v>
                </c:pt>
                <c:pt idx="3">
                  <c:v>1.5980000000000001</c:v>
                </c:pt>
                <c:pt idx="4">
                  <c:v>6.8942999999999985</c:v>
                </c:pt>
                <c:pt idx="5">
                  <c:v>12.443200000000001</c:v>
                </c:pt>
                <c:pt idx="6">
                  <c:v>11.5101</c:v>
                </c:pt>
                <c:pt idx="7">
                  <c:v>7.1567999999999996</c:v>
                </c:pt>
                <c:pt idx="8">
                  <c:v>4.8458999999999985</c:v>
                </c:pt>
                <c:pt idx="9">
                  <c:v>4.0506000000000002</c:v>
                </c:pt>
                <c:pt idx="10">
                  <c:v>3.7076000000000002</c:v>
                </c:pt>
                <c:pt idx="11">
                  <c:v>3.6111</c:v>
                </c:pt>
                <c:pt idx="12">
                  <c:v>3.613</c:v>
                </c:pt>
                <c:pt idx="13">
                  <c:v>3.6095000000000002</c:v>
                </c:pt>
                <c:pt idx="14">
                  <c:v>3.5215000000000001</c:v>
                </c:pt>
                <c:pt idx="15">
                  <c:v>3.3458999999999977</c:v>
                </c:pt>
                <c:pt idx="16">
                  <c:v>3.1985999999999999</c:v>
                </c:pt>
                <c:pt idx="17">
                  <c:v>3.1513</c:v>
                </c:pt>
                <c:pt idx="18">
                  <c:v>3.1541000000000001</c:v>
                </c:pt>
                <c:pt idx="19">
                  <c:v>3.1543000000000001</c:v>
                </c:pt>
                <c:pt idx="20">
                  <c:v>3.1493000000000002</c:v>
                </c:pt>
                <c:pt idx="21">
                  <c:v>3.1427999999999998</c:v>
                </c:pt>
                <c:pt idx="22">
                  <c:v>3.1341000000000001</c:v>
                </c:pt>
                <c:pt idx="23">
                  <c:v>3.1238000000000001</c:v>
                </c:pt>
                <c:pt idx="24">
                  <c:v>3.1119999999999997</c:v>
                </c:pt>
                <c:pt idx="25">
                  <c:v>3.0981999999999998</c:v>
                </c:pt>
                <c:pt idx="26">
                  <c:v>3.0808</c:v>
                </c:pt>
                <c:pt idx="27">
                  <c:v>3.0587</c:v>
                </c:pt>
                <c:pt idx="28">
                  <c:v>3.0325999999999977</c:v>
                </c:pt>
                <c:pt idx="29">
                  <c:v>3.0047999999999999</c:v>
                </c:pt>
                <c:pt idx="30">
                  <c:v>2.9762999999999913</c:v>
                </c:pt>
                <c:pt idx="31">
                  <c:v>2.9472</c:v>
                </c:pt>
                <c:pt idx="32">
                  <c:v>2.9175</c:v>
                </c:pt>
                <c:pt idx="33">
                  <c:v>2.8874</c:v>
                </c:pt>
                <c:pt idx="34">
                  <c:v>2.8569999999999967</c:v>
                </c:pt>
                <c:pt idx="35">
                  <c:v>2.8263999999999987</c:v>
                </c:pt>
                <c:pt idx="36">
                  <c:v>2.7955999999999999</c:v>
                </c:pt>
                <c:pt idx="37">
                  <c:v>2.7646999999999999</c:v>
                </c:pt>
                <c:pt idx="38">
                  <c:v>2.7332999999999998</c:v>
                </c:pt>
                <c:pt idx="39">
                  <c:v>2.6989000000000001</c:v>
                </c:pt>
                <c:pt idx="40">
                  <c:v>2.6572</c:v>
                </c:pt>
                <c:pt idx="41">
                  <c:v>2.6065</c:v>
                </c:pt>
                <c:pt idx="42">
                  <c:v>2.5505999999999998</c:v>
                </c:pt>
                <c:pt idx="43">
                  <c:v>2.4943999999999997</c:v>
                </c:pt>
                <c:pt idx="44">
                  <c:v>2.4394999999999967</c:v>
                </c:pt>
                <c:pt idx="45">
                  <c:v>2.3855999999999997</c:v>
                </c:pt>
                <c:pt idx="46">
                  <c:v>2.3295999999999997</c:v>
                </c:pt>
                <c:pt idx="47">
                  <c:v>2.2549000000000001</c:v>
                </c:pt>
                <c:pt idx="48">
                  <c:v>2.13</c:v>
                </c:pt>
                <c:pt idx="49">
                  <c:v>1.9401999999999988</c:v>
                </c:pt>
                <c:pt idx="50">
                  <c:v>1.6976</c:v>
                </c:pt>
                <c:pt idx="51">
                  <c:v>1.3841000000000001</c:v>
                </c:pt>
                <c:pt idx="52">
                  <c:v>0.9843999999999995</c:v>
                </c:pt>
                <c:pt idx="53">
                  <c:v>0.59249999999999969</c:v>
                </c:pt>
                <c:pt idx="54">
                  <c:v>0.32700000000000123</c:v>
                </c:pt>
                <c:pt idx="55">
                  <c:v>0.19490000000000032</c:v>
                </c:pt>
                <c:pt idx="56">
                  <c:v>0.13830000000000001</c:v>
                </c:pt>
                <c:pt idx="57">
                  <c:v>0.11350000000000009</c:v>
                </c:pt>
                <c:pt idx="58">
                  <c:v>0.10050000000000002</c:v>
                </c:pt>
                <c:pt idx="59">
                  <c:v>9.2300000000000021E-2</c:v>
                </c:pt>
                <c:pt idx="60">
                  <c:v>8.6000000000000063E-2</c:v>
                </c:pt>
                <c:pt idx="61">
                  <c:v>8.070000000000023E-2</c:v>
                </c:pt>
                <c:pt idx="62">
                  <c:v>7.6000000000000081E-2</c:v>
                </c:pt>
                <c:pt idx="63">
                  <c:v>7.1600000000000011E-2</c:v>
                </c:pt>
                <c:pt idx="64">
                  <c:v>6.7600000000000091E-2</c:v>
                </c:pt>
                <c:pt idx="65">
                  <c:v>6.3900000000000012E-2</c:v>
                </c:pt>
                <c:pt idx="66">
                  <c:v>6.0400000000000127E-2</c:v>
                </c:pt>
                <c:pt idx="67">
                  <c:v>5.7100000000000116E-2</c:v>
                </c:pt>
                <c:pt idx="68">
                  <c:v>5.4100000000000127E-2</c:v>
                </c:pt>
                <c:pt idx="69">
                  <c:v>5.1200000000000002E-2</c:v>
                </c:pt>
                <c:pt idx="70">
                  <c:v>4.8500000000000022E-2</c:v>
                </c:pt>
                <c:pt idx="71">
                  <c:v>4.6000000000000013E-2</c:v>
                </c:pt>
              </c:numCache>
            </c:numRef>
          </c:yVal>
          <c:smooth val="0"/>
        </c:ser>
        <c:dLbls>
          <c:showLegendKey val="0"/>
          <c:showVal val="0"/>
          <c:showCatName val="0"/>
          <c:showSerName val="0"/>
          <c:showPercent val="0"/>
          <c:showBubbleSize val="0"/>
        </c:dLbls>
        <c:axId val="153065728"/>
        <c:axId val="152633728"/>
      </c:scatterChart>
      <c:valAx>
        <c:axId val="153065728"/>
        <c:scaling>
          <c:orientation val="minMax"/>
          <c:max val="6"/>
        </c:scaling>
        <c:delete val="0"/>
        <c:axPos val="b"/>
        <c:title>
          <c:tx>
            <c:rich>
              <a:bodyPr/>
              <a:lstStyle/>
              <a:p>
                <a:pPr>
                  <a:defRPr lang="en-AU"/>
                </a:pPr>
                <a:r>
                  <a:rPr lang="en-AU"/>
                  <a:t>Time (hours)</a:t>
                </a:r>
              </a:p>
            </c:rich>
          </c:tx>
          <c:layout/>
          <c:overlay val="0"/>
        </c:title>
        <c:numFmt formatCode="General" sourceLinked="1"/>
        <c:majorTickMark val="out"/>
        <c:minorTickMark val="none"/>
        <c:tickLblPos val="nextTo"/>
        <c:txPr>
          <a:bodyPr/>
          <a:lstStyle/>
          <a:p>
            <a:pPr>
              <a:defRPr lang="en-AU"/>
            </a:pPr>
            <a:endParaRPr lang="en-US"/>
          </a:p>
        </c:txPr>
        <c:crossAx val="152633728"/>
        <c:crosses val="autoZero"/>
        <c:crossBetween val="midCat"/>
      </c:valAx>
      <c:valAx>
        <c:axId val="152633728"/>
        <c:scaling>
          <c:orientation val="minMax"/>
        </c:scaling>
        <c:delete val="0"/>
        <c:axPos val="l"/>
        <c:majorGridlines/>
        <c:title>
          <c:tx>
            <c:rich>
              <a:bodyPr rot="-5400000" vert="horz"/>
              <a:lstStyle/>
              <a:p>
                <a:pPr>
                  <a:defRPr lang="en-AU"/>
                </a:pPr>
                <a:r>
                  <a:rPr lang="en-AU"/>
                  <a:t>Flow (m</a:t>
                </a:r>
                <a:r>
                  <a:rPr lang="en-AU" baseline="30000"/>
                  <a:t>3</a:t>
                </a:r>
                <a:r>
                  <a:rPr lang="en-AU"/>
                  <a:t>/s)</a:t>
                </a:r>
              </a:p>
            </c:rich>
          </c:tx>
          <c:layout/>
          <c:overlay val="0"/>
        </c:title>
        <c:numFmt formatCode="General" sourceLinked="1"/>
        <c:majorTickMark val="out"/>
        <c:minorTickMark val="none"/>
        <c:tickLblPos val="nextTo"/>
        <c:txPr>
          <a:bodyPr/>
          <a:lstStyle/>
          <a:p>
            <a:pPr>
              <a:defRPr lang="en-AU"/>
            </a:pPr>
            <a:endParaRPr lang="en-US"/>
          </a:p>
        </c:txPr>
        <c:crossAx val="153065728"/>
        <c:crosses val="autoZero"/>
        <c:crossBetween val="midCat"/>
      </c:valAx>
    </c:plotArea>
    <c:legend>
      <c:legendPos val="r"/>
      <c:layout/>
      <c:overlay val="0"/>
      <c:txPr>
        <a:bodyPr/>
        <a:lstStyle/>
        <a:p>
          <a:pPr>
            <a:defRPr lang="en-AU"/>
          </a:pPr>
          <a:endParaRPr lang="en-US"/>
        </a:p>
      </c:txPr>
    </c:legend>
    <c:plotVisOnly val="1"/>
    <c:dispBlanksAs val="gap"/>
    <c:showDLblsOverMax val="0"/>
  </c:chart>
  <c:spPr>
    <a:ln w="6350">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'Hyd Van'!$B$1</c:f>
              <c:strCache>
                <c:ptCount val="1"/>
                <c:pt idx="0">
                  <c:v>20% AEP</c:v>
                </c:pt>
              </c:strCache>
            </c:strRef>
          </c:tx>
          <c:marker>
            <c:symbol val="none"/>
          </c:marker>
          <c:xVal>
            <c:numRef>
              <c:f>'Hyd Van'!$A$2:$A$73</c:f>
              <c:numCache>
                <c:formatCode>General</c:formatCode>
                <c:ptCount val="72"/>
                <c:pt idx="0">
                  <c:v>0</c:v>
                </c:pt>
                <c:pt idx="1">
                  <c:v>8.0000000000000043E-2</c:v>
                </c:pt>
                <c:pt idx="2">
                  <c:v>0.17</c:v>
                </c:pt>
                <c:pt idx="3">
                  <c:v>0.25</c:v>
                </c:pt>
                <c:pt idx="4">
                  <c:v>0.33000000000000146</c:v>
                </c:pt>
                <c:pt idx="5">
                  <c:v>0.42000000000000032</c:v>
                </c:pt>
                <c:pt idx="6">
                  <c:v>0.5</c:v>
                </c:pt>
                <c:pt idx="7">
                  <c:v>0.58000000000000007</c:v>
                </c:pt>
                <c:pt idx="8">
                  <c:v>0.67000000000000293</c:v>
                </c:pt>
                <c:pt idx="9">
                  <c:v>0.75000000000000233</c:v>
                </c:pt>
                <c:pt idx="10">
                  <c:v>0.83000000000000063</c:v>
                </c:pt>
                <c:pt idx="11">
                  <c:v>0.92</c:v>
                </c:pt>
                <c:pt idx="12">
                  <c:v>1</c:v>
                </c:pt>
                <c:pt idx="13">
                  <c:v>1.08</c:v>
                </c:pt>
                <c:pt idx="14">
                  <c:v>1.1700000000000021</c:v>
                </c:pt>
                <c:pt idx="15">
                  <c:v>1.25</c:v>
                </c:pt>
                <c:pt idx="16">
                  <c:v>1.33</c:v>
                </c:pt>
                <c:pt idx="17">
                  <c:v>1.42</c:v>
                </c:pt>
                <c:pt idx="18">
                  <c:v>1.5</c:v>
                </c:pt>
                <c:pt idx="19">
                  <c:v>1.58</c:v>
                </c:pt>
                <c:pt idx="20">
                  <c:v>1.6700000000000021</c:v>
                </c:pt>
                <c:pt idx="21">
                  <c:v>1.75</c:v>
                </c:pt>
                <c:pt idx="22">
                  <c:v>1.83</c:v>
                </c:pt>
                <c:pt idx="23">
                  <c:v>1.9200000000000021</c:v>
                </c:pt>
                <c:pt idx="24">
                  <c:v>2</c:v>
                </c:pt>
                <c:pt idx="25">
                  <c:v>2.08</c:v>
                </c:pt>
                <c:pt idx="26">
                  <c:v>2.17</c:v>
                </c:pt>
                <c:pt idx="27">
                  <c:v>2.25</c:v>
                </c:pt>
                <c:pt idx="28">
                  <c:v>2.3299999999999987</c:v>
                </c:pt>
                <c:pt idx="29">
                  <c:v>2.42</c:v>
                </c:pt>
                <c:pt idx="30">
                  <c:v>2.5</c:v>
                </c:pt>
                <c:pt idx="31">
                  <c:v>2.58</c:v>
                </c:pt>
                <c:pt idx="32">
                  <c:v>2.67</c:v>
                </c:pt>
                <c:pt idx="33">
                  <c:v>2.75</c:v>
                </c:pt>
                <c:pt idx="34">
                  <c:v>2.8299999999999987</c:v>
                </c:pt>
                <c:pt idx="35">
                  <c:v>2.92</c:v>
                </c:pt>
                <c:pt idx="36">
                  <c:v>3</c:v>
                </c:pt>
                <c:pt idx="37">
                  <c:v>3.08</c:v>
                </c:pt>
                <c:pt idx="38">
                  <c:v>3.17</c:v>
                </c:pt>
                <c:pt idx="39">
                  <c:v>3.25</c:v>
                </c:pt>
                <c:pt idx="40">
                  <c:v>3.3299999999999987</c:v>
                </c:pt>
                <c:pt idx="41">
                  <c:v>3.42</c:v>
                </c:pt>
                <c:pt idx="42">
                  <c:v>3.5</c:v>
                </c:pt>
                <c:pt idx="43">
                  <c:v>3.58</c:v>
                </c:pt>
                <c:pt idx="44">
                  <c:v>3.67</c:v>
                </c:pt>
                <c:pt idx="45">
                  <c:v>3.75</c:v>
                </c:pt>
                <c:pt idx="46">
                  <c:v>3.8299999999999987</c:v>
                </c:pt>
                <c:pt idx="47">
                  <c:v>3.92</c:v>
                </c:pt>
                <c:pt idx="48">
                  <c:v>4</c:v>
                </c:pt>
                <c:pt idx="49">
                  <c:v>4.08</c:v>
                </c:pt>
                <c:pt idx="50">
                  <c:v>4.17</c:v>
                </c:pt>
                <c:pt idx="51">
                  <c:v>4.25</c:v>
                </c:pt>
                <c:pt idx="52">
                  <c:v>4.33</c:v>
                </c:pt>
                <c:pt idx="53">
                  <c:v>4.42</c:v>
                </c:pt>
                <c:pt idx="54">
                  <c:v>4.5</c:v>
                </c:pt>
                <c:pt idx="55">
                  <c:v>4.58</c:v>
                </c:pt>
                <c:pt idx="56">
                  <c:v>4.67</c:v>
                </c:pt>
                <c:pt idx="57">
                  <c:v>4.75</c:v>
                </c:pt>
                <c:pt idx="58">
                  <c:v>4.83</c:v>
                </c:pt>
                <c:pt idx="59">
                  <c:v>4.92</c:v>
                </c:pt>
                <c:pt idx="60">
                  <c:v>5</c:v>
                </c:pt>
                <c:pt idx="61">
                  <c:v>5.08</c:v>
                </c:pt>
                <c:pt idx="62">
                  <c:v>5.17</c:v>
                </c:pt>
                <c:pt idx="63">
                  <c:v>5.25</c:v>
                </c:pt>
                <c:pt idx="64">
                  <c:v>5.33</c:v>
                </c:pt>
                <c:pt idx="65">
                  <c:v>5.42</c:v>
                </c:pt>
                <c:pt idx="66">
                  <c:v>5.5</c:v>
                </c:pt>
                <c:pt idx="67">
                  <c:v>5.58</c:v>
                </c:pt>
                <c:pt idx="68">
                  <c:v>5.67</c:v>
                </c:pt>
                <c:pt idx="69">
                  <c:v>5.75</c:v>
                </c:pt>
                <c:pt idx="70">
                  <c:v>5.83</c:v>
                </c:pt>
                <c:pt idx="71">
                  <c:v>5.92</c:v>
                </c:pt>
              </c:numCache>
            </c:numRef>
          </c:xVal>
          <c:yVal>
            <c:numRef>
              <c:f>'Hyd Van'!$B$2:$B$73</c:f>
              <c:numCache>
                <c:formatCode>General</c:formatCode>
                <c:ptCount val="72"/>
                <c:pt idx="0">
                  <c:v>0</c:v>
                </c:pt>
                <c:pt idx="1">
                  <c:v>0</c:v>
                </c:pt>
                <c:pt idx="2">
                  <c:v>0</c:v>
                </c:pt>
                <c:pt idx="3">
                  <c:v>0</c:v>
                </c:pt>
                <c:pt idx="4">
                  <c:v>0</c:v>
                </c:pt>
                <c:pt idx="5">
                  <c:v>0</c:v>
                </c:pt>
                <c:pt idx="6">
                  <c:v>2.8000000000000052E-3</c:v>
                </c:pt>
                <c:pt idx="7">
                  <c:v>8.8100000000000067E-2</c:v>
                </c:pt>
                <c:pt idx="8">
                  <c:v>1.0832999999999955</c:v>
                </c:pt>
                <c:pt idx="9">
                  <c:v>3.2278000000000002</c:v>
                </c:pt>
                <c:pt idx="10">
                  <c:v>4.4741</c:v>
                </c:pt>
                <c:pt idx="11">
                  <c:v>4.3358999999999996</c:v>
                </c:pt>
                <c:pt idx="12">
                  <c:v>4.0911999999999997</c:v>
                </c:pt>
                <c:pt idx="13">
                  <c:v>4.0686</c:v>
                </c:pt>
                <c:pt idx="14">
                  <c:v>4.1123999999999965</c:v>
                </c:pt>
                <c:pt idx="15">
                  <c:v>4.0653999999999995</c:v>
                </c:pt>
                <c:pt idx="16">
                  <c:v>3.8780999999999977</c:v>
                </c:pt>
                <c:pt idx="17">
                  <c:v>3.7972999999999999</c:v>
                </c:pt>
                <c:pt idx="18">
                  <c:v>3.8095999999999997</c:v>
                </c:pt>
                <c:pt idx="19">
                  <c:v>3.7054999999999998</c:v>
                </c:pt>
                <c:pt idx="20">
                  <c:v>3.5442</c:v>
                </c:pt>
                <c:pt idx="21">
                  <c:v>3.4954999999999967</c:v>
                </c:pt>
                <c:pt idx="22">
                  <c:v>3.4977999999999998</c:v>
                </c:pt>
                <c:pt idx="23">
                  <c:v>3.4095999999999997</c:v>
                </c:pt>
                <c:pt idx="24">
                  <c:v>3.2865000000000002</c:v>
                </c:pt>
                <c:pt idx="25">
                  <c:v>3.2465999999999999</c:v>
                </c:pt>
                <c:pt idx="26">
                  <c:v>3.2195</c:v>
                </c:pt>
                <c:pt idx="27">
                  <c:v>3.1116999999999977</c:v>
                </c:pt>
                <c:pt idx="28">
                  <c:v>2.9783999999999997</c:v>
                </c:pt>
                <c:pt idx="29">
                  <c:v>2.8785999999999987</c:v>
                </c:pt>
                <c:pt idx="30">
                  <c:v>2.7970000000000002</c:v>
                </c:pt>
                <c:pt idx="31">
                  <c:v>2.7303999999999999</c:v>
                </c:pt>
                <c:pt idx="32">
                  <c:v>2.6797999999999997</c:v>
                </c:pt>
                <c:pt idx="33">
                  <c:v>2.6333000000000002</c:v>
                </c:pt>
                <c:pt idx="34">
                  <c:v>2.5891999999999999</c:v>
                </c:pt>
                <c:pt idx="35">
                  <c:v>2.5451999999999999</c:v>
                </c:pt>
                <c:pt idx="36">
                  <c:v>2.4983</c:v>
                </c:pt>
                <c:pt idx="37">
                  <c:v>2.4465999999999997</c:v>
                </c:pt>
                <c:pt idx="38">
                  <c:v>2.3893999999999997</c:v>
                </c:pt>
                <c:pt idx="39">
                  <c:v>2.3250999999999977</c:v>
                </c:pt>
                <c:pt idx="40">
                  <c:v>2.2492000000000001</c:v>
                </c:pt>
                <c:pt idx="41">
                  <c:v>2.1597</c:v>
                </c:pt>
                <c:pt idx="42">
                  <c:v>2.0562999999999967</c:v>
                </c:pt>
                <c:pt idx="43">
                  <c:v>1.9353</c:v>
                </c:pt>
                <c:pt idx="44">
                  <c:v>1.791399999999995</c:v>
                </c:pt>
                <c:pt idx="45">
                  <c:v>1.625799999999995</c:v>
                </c:pt>
                <c:pt idx="46">
                  <c:v>1.452399999999995</c:v>
                </c:pt>
                <c:pt idx="47">
                  <c:v>1.279099999999995</c:v>
                </c:pt>
                <c:pt idx="48">
                  <c:v>1.0466</c:v>
                </c:pt>
                <c:pt idx="49">
                  <c:v>0.74150000000000005</c:v>
                </c:pt>
                <c:pt idx="50">
                  <c:v>0.51500000000000001</c:v>
                </c:pt>
                <c:pt idx="51">
                  <c:v>0.43700000000000111</c:v>
                </c:pt>
                <c:pt idx="52">
                  <c:v>0.41020000000000001</c:v>
                </c:pt>
                <c:pt idx="53">
                  <c:v>0.38160000000000038</c:v>
                </c:pt>
                <c:pt idx="54">
                  <c:v>0.36040000000000111</c:v>
                </c:pt>
                <c:pt idx="55">
                  <c:v>0.34130000000000038</c:v>
                </c:pt>
                <c:pt idx="56">
                  <c:v>0.32380000000000164</c:v>
                </c:pt>
                <c:pt idx="57">
                  <c:v>0.30850000000000088</c:v>
                </c:pt>
                <c:pt idx="58">
                  <c:v>0.29420000000000002</c:v>
                </c:pt>
                <c:pt idx="59">
                  <c:v>0.28150000000000008</c:v>
                </c:pt>
                <c:pt idx="60">
                  <c:v>0.26990000000000008</c:v>
                </c:pt>
                <c:pt idx="61">
                  <c:v>0.25929999999999997</c:v>
                </c:pt>
                <c:pt idx="62">
                  <c:v>0.24930000000000024</c:v>
                </c:pt>
                <c:pt idx="63">
                  <c:v>0.23860000000000001</c:v>
                </c:pt>
                <c:pt idx="64">
                  <c:v>0.2263</c:v>
                </c:pt>
                <c:pt idx="65">
                  <c:v>0.21290000000000067</c:v>
                </c:pt>
                <c:pt idx="66">
                  <c:v>0.19969999999999999</c:v>
                </c:pt>
                <c:pt idx="67">
                  <c:v>0.18740000000000079</c:v>
                </c:pt>
                <c:pt idx="68">
                  <c:v>0.17600000000000021</c:v>
                </c:pt>
                <c:pt idx="69">
                  <c:v>0.16539999999999999</c:v>
                </c:pt>
                <c:pt idx="70">
                  <c:v>0.15560000000000004</c:v>
                </c:pt>
                <c:pt idx="71">
                  <c:v>0.14650000000000021</c:v>
                </c:pt>
              </c:numCache>
            </c:numRef>
          </c:yVal>
          <c:smooth val="0"/>
        </c:ser>
        <c:ser>
          <c:idx val="1"/>
          <c:order val="1"/>
          <c:tx>
            <c:strRef>
              <c:f>'Hyd Van'!$C$1</c:f>
              <c:strCache>
                <c:ptCount val="1"/>
                <c:pt idx="0">
                  <c:v>10% AEP</c:v>
                </c:pt>
              </c:strCache>
            </c:strRef>
          </c:tx>
          <c:marker>
            <c:symbol val="none"/>
          </c:marker>
          <c:xVal>
            <c:numRef>
              <c:f>'Hyd Van'!$A$2:$A$73</c:f>
              <c:numCache>
                <c:formatCode>General</c:formatCode>
                <c:ptCount val="72"/>
                <c:pt idx="0">
                  <c:v>0</c:v>
                </c:pt>
                <c:pt idx="1">
                  <c:v>8.0000000000000043E-2</c:v>
                </c:pt>
                <c:pt idx="2">
                  <c:v>0.17</c:v>
                </c:pt>
                <c:pt idx="3">
                  <c:v>0.25</c:v>
                </c:pt>
                <c:pt idx="4">
                  <c:v>0.33000000000000146</c:v>
                </c:pt>
                <c:pt idx="5">
                  <c:v>0.42000000000000032</c:v>
                </c:pt>
                <c:pt idx="6">
                  <c:v>0.5</c:v>
                </c:pt>
                <c:pt idx="7">
                  <c:v>0.58000000000000007</c:v>
                </c:pt>
                <c:pt idx="8">
                  <c:v>0.67000000000000293</c:v>
                </c:pt>
                <c:pt idx="9">
                  <c:v>0.75000000000000233</c:v>
                </c:pt>
                <c:pt idx="10">
                  <c:v>0.83000000000000063</c:v>
                </c:pt>
                <c:pt idx="11">
                  <c:v>0.92</c:v>
                </c:pt>
                <c:pt idx="12">
                  <c:v>1</c:v>
                </c:pt>
                <c:pt idx="13">
                  <c:v>1.08</c:v>
                </c:pt>
                <c:pt idx="14">
                  <c:v>1.1700000000000021</c:v>
                </c:pt>
                <c:pt idx="15">
                  <c:v>1.25</c:v>
                </c:pt>
                <c:pt idx="16">
                  <c:v>1.33</c:v>
                </c:pt>
                <c:pt idx="17">
                  <c:v>1.42</c:v>
                </c:pt>
                <c:pt idx="18">
                  <c:v>1.5</c:v>
                </c:pt>
                <c:pt idx="19">
                  <c:v>1.58</c:v>
                </c:pt>
                <c:pt idx="20">
                  <c:v>1.6700000000000021</c:v>
                </c:pt>
                <c:pt idx="21">
                  <c:v>1.75</c:v>
                </c:pt>
                <c:pt idx="22">
                  <c:v>1.83</c:v>
                </c:pt>
                <c:pt idx="23">
                  <c:v>1.9200000000000021</c:v>
                </c:pt>
                <c:pt idx="24">
                  <c:v>2</c:v>
                </c:pt>
                <c:pt idx="25">
                  <c:v>2.08</c:v>
                </c:pt>
                <c:pt idx="26">
                  <c:v>2.17</c:v>
                </c:pt>
                <c:pt idx="27">
                  <c:v>2.25</c:v>
                </c:pt>
                <c:pt idx="28">
                  <c:v>2.3299999999999987</c:v>
                </c:pt>
                <c:pt idx="29">
                  <c:v>2.42</c:v>
                </c:pt>
                <c:pt idx="30">
                  <c:v>2.5</c:v>
                </c:pt>
                <c:pt idx="31">
                  <c:v>2.58</c:v>
                </c:pt>
                <c:pt idx="32">
                  <c:v>2.67</c:v>
                </c:pt>
                <c:pt idx="33">
                  <c:v>2.75</c:v>
                </c:pt>
                <c:pt idx="34">
                  <c:v>2.8299999999999987</c:v>
                </c:pt>
                <c:pt idx="35">
                  <c:v>2.92</c:v>
                </c:pt>
                <c:pt idx="36">
                  <c:v>3</c:v>
                </c:pt>
                <c:pt idx="37">
                  <c:v>3.08</c:v>
                </c:pt>
                <c:pt idx="38">
                  <c:v>3.17</c:v>
                </c:pt>
                <c:pt idx="39">
                  <c:v>3.25</c:v>
                </c:pt>
                <c:pt idx="40">
                  <c:v>3.3299999999999987</c:v>
                </c:pt>
                <c:pt idx="41">
                  <c:v>3.42</c:v>
                </c:pt>
                <c:pt idx="42">
                  <c:v>3.5</c:v>
                </c:pt>
                <c:pt idx="43">
                  <c:v>3.58</c:v>
                </c:pt>
                <c:pt idx="44">
                  <c:v>3.67</c:v>
                </c:pt>
                <c:pt idx="45">
                  <c:v>3.75</c:v>
                </c:pt>
                <c:pt idx="46">
                  <c:v>3.8299999999999987</c:v>
                </c:pt>
                <c:pt idx="47">
                  <c:v>3.92</c:v>
                </c:pt>
                <c:pt idx="48">
                  <c:v>4</c:v>
                </c:pt>
                <c:pt idx="49">
                  <c:v>4.08</c:v>
                </c:pt>
                <c:pt idx="50">
                  <c:v>4.17</c:v>
                </c:pt>
                <c:pt idx="51">
                  <c:v>4.25</c:v>
                </c:pt>
                <c:pt idx="52">
                  <c:v>4.33</c:v>
                </c:pt>
                <c:pt idx="53">
                  <c:v>4.42</c:v>
                </c:pt>
                <c:pt idx="54">
                  <c:v>4.5</c:v>
                </c:pt>
                <c:pt idx="55">
                  <c:v>4.58</c:v>
                </c:pt>
                <c:pt idx="56">
                  <c:v>4.67</c:v>
                </c:pt>
                <c:pt idx="57">
                  <c:v>4.75</c:v>
                </c:pt>
                <c:pt idx="58">
                  <c:v>4.83</c:v>
                </c:pt>
                <c:pt idx="59">
                  <c:v>4.92</c:v>
                </c:pt>
                <c:pt idx="60">
                  <c:v>5</c:v>
                </c:pt>
                <c:pt idx="61">
                  <c:v>5.08</c:v>
                </c:pt>
                <c:pt idx="62">
                  <c:v>5.17</c:v>
                </c:pt>
                <c:pt idx="63">
                  <c:v>5.25</c:v>
                </c:pt>
                <c:pt idx="64">
                  <c:v>5.33</c:v>
                </c:pt>
                <c:pt idx="65">
                  <c:v>5.42</c:v>
                </c:pt>
                <c:pt idx="66">
                  <c:v>5.5</c:v>
                </c:pt>
                <c:pt idx="67">
                  <c:v>5.58</c:v>
                </c:pt>
                <c:pt idx="68">
                  <c:v>5.67</c:v>
                </c:pt>
                <c:pt idx="69">
                  <c:v>5.75</c:v>
                </c:pt>
                <c:pt idx="70">
                  <c:v>5.83</c:v>
                </c:pt>
                <c:pt idx="71">
                  <c:v>5.92</c:v>
                </c:pt>
              </c:numCache>
            </c:numRef>
          </c:xVal>
          <c:yVal>
            <c:numRef>
              <c:f>'Hyd Van'!$C$2:$C$73</c:f>
              <c:numCache>
                <c:formatCode>General</c:formatCode>
                <c:ptCount val="72"/>
                <c:pt idx="0">
                  <c:v>0</c:v>
                </c:pt>
                <c:pt idx="1">
                  <c:v>0</c:v>
                </c:pt>
                <c:pt idx="2">
                  <c:v>0</c:v>
                </c:pt>
                <c:pt idx="3">
                  <c:v>0</c:v>
                </c:pt>
                <c:pt idx="4">
                  <c:v>0</c:v>
                </c:pt>
                <c:pt idx="5">
                  <c:v>0</c:v>
                </c:pt>
                <c:pt idx="6">
                  <c:v>3.7500000000000006E-2</c:v>
                </c:pt>
                <c:pt idx="7">
                  <c:v>0.41270000000000001</c:v>
                </c:pt>
                <c:pt idx="8">
                  <c:v>2.0516999999999967</c:v>
                </c:pt>
                <c:pt idx="9">
                  <c:v>4.6512000000000002</c:v>
                </c:pt>
                <c:pt idx="10">
                  <c:v>5.8734000000000002</c:v>
                </c:pt>
                <c:pt idx="11">
                  <c:v>5.4237000000000002</c:v>
                </c:pt>
                <c:pt idx="12">
                  <c:v>5.0272999999999985</c:v>
                </c:pt>
                <c:pt idx="13">
                  <c:v>5.0097000000000014</c:v>
                </c:pt>
                <c:pt idx="14">
                  <c:v>5.0974999999999975</c:v>
                </c:pt>
                <c:pt idx="15">
                  <c:v>5.0683999999999996</c:v>
                </c:pt>
                <c:pt idx="16">
                  <c:v>4.8649999999999789</c:v>
                </c:pt>
                <c:pt idx="17">
                  <c:v>4.8128999999999955</c:v>
                </c:pt>
                <c:pt idx="18">
                  <c:v>4.8498999999999999</c:v>
                </c:pt>
                <c:pt idx="19">
                  <c:v>4.7365000000000004</c:v>
                </c:pt>
                <c:pt idx="20">
                  <c:v>4.5590000000000002</c:v>
                </c:pt>
                <c:pt idx="21">
                  <c:v>4.5232000000000001</c:v>
                </c:pt>
                <c:pt idx="22">
                  <c:v>4.5428999999999995</c:v>
                </c:pt>
                <c:pt idx="23">
                  <c:v>4.4784000000000024</c:v>
                </c:pt>
                <c:pt idx="24">
                  <c:v>4.4035000000000002</c:v>
                </c:pt>
                <c:pt idx="25">
                  <c:v>4.3757999999999999</c:v>
                </c:pt>
                <c:pt idx="26">
                  <c:v>4.2887000000000004</c:v>
                </c:pt>
                <c:pt idx="27">
                  <c:v>4.0874999999999995</c:v>
                </c:pt>
                <c:pt idx="28">
                  <c:v>3.8266999999999967</c:v>
                </c:pt>
                <c:pt idx="29">
                  <c:v>3.6229</c:v>
                </c:pt>
                <c:pt idx="30">
                  <c:v>3.5139999999999998</c:v>
                </c:pt>
                <c:pt idx="31">
                  <c:v>3.4347999999999987</c:v>
                </c:pt>
                <c:pt idx="32">
                  <c:v>3.3617999999999997</c:v>
                </c:pt>
                <c:pt idx="33">
                  <c:v>3.2927999999999997</c:v>
                </c:pt>
                <c:pt idx="34">
                  <c:v>3.2250000000000001</c:v>
                </c:pt>
                <c:pt idx="35">
                  <c:v>3.1726999999999967</c:v>
                </c:pt>
                <c:pt idx="36">
                  <c:v>3.1320999999999977</c:v>
                </c:pt>
                <c:pt idx="37">
                  <c:v>3.0925999999999987</c:v>
                </c:pt>
                <c:pt idx="38">
                  <c:v>3.0565999999999987</c:v>
                </c:pt>
                <c:pt idx="39">
                  <c:v>3.0219999999999998</c:v>
                </c:pt>
                <c:pt idx="40">
                  <c:v>2.9883999999999999</c:v>
                </c:pt>
                <c:pt idx="41">
                  <c:v>2.9550999999999967</c:v>
                </c:pt>
                <c:pt idx="42">
                  <c:v>2.9209000000000001</c:v>
                </c:pt>
                <c:pt idx="43">
                  <c:v>2.8853</c:v>
                </c:pt>
                <c:pt idx="44">
                  <c:v>2.8472</c:v>
                </c:pt>
                <c:pt idx="45">
                  <c:v>2.8050999999999977</c:v>
                </c:pt>
                <c:pt idx="46">
                  <c:v>2.7591999999999999</c:v>
                </c:pt>
                <c:pt idx="47">
                  <c:v>2.7159</c:v>
                </c:pt>
                <c:pt idx="48">
                  <c:v>2.6743999999999999</c:v>
                </c:pt>
                <c:pt idx="49">
                  <c:v>2.6286</c:v>
                </c:pt>
                <c:pt idx="50">
                  <c:v>2.5758999999999967</c:v>
                </c:pt>
                <c:pt idx="51">
                  <c:v>2.5110999999999977</c:v>
                </c:pt>
                <c:pt idx="52">
                  <c:v>2.4295</c:v>
                </c:pt>
                <c:pt idx="53">
                  <c:v>2.3237000000000001</c:v>
                </c:pt>
                <c:pt idx="54">
                  <c:v>2.1825999999999999</c:v>
                </c:pt>
                <c:pt idx="55">
                  <c:v>2.0101</c:v>
                </c:pt>
                <c:pt idx="56">
                  <c:v>1.8176999999999948</c:v>
                </c:pt>
                <c:pt idx="57">
                  <c:v>1.6073999999999955</c:v>
                </c:pt>
                <c:pt idx="58">
                  <c:v>1.3853</c:v>
                </c:pt>
                <c:pt idx="59">
                  <c:v>1.0942000000000001</c:v>
                </c:pt>
                <c:pt idx="60">
                  <c:v>0.71680000000000221</c:v>
                </c:pt>
                <c:pt idx="61">
                  <c:v>0.43510000000000032</c:v>
                </c:pt>
                <c:pt idx="62">
                  <c:v>0.33790000000000164</c:v>
                </c:pt>
                <c:pt idx="63">
                  <c:v>0.31380000000000147</c:v>
                </c:pt>
                <c:pt idx="64">
                  <c:v>0.28910000000000002</c:v>
                </c:pt>
                <c:pt idx="65">
                  <c:v>0.26590000000000008</c:v>
                </c:pt>
                <c:pt idx="66">
                  <c:v>0.24810000000000001</c:v>
                </c:pt>
                <c:pt idx="67">
                  <c:v>0.23230000000000001</c:v>
                </c:pt>
                <c:pt idx="68">
                  <c:v>0.21750000000000044</c:v>
                </c:pt>
                <c:pt idx="69">
                  <c:v>0.20430000000000001</c:v>
                </c:pt>
                <c:pt idx="70">
                  <c:v>0.1918</c:v>
                </c:pt>
                <c:pt idx="71">
                  <c:v>0.18040000000000067</c:v>
                </c:pt>
              </c:numCache>
            </c:numRef>
          </c:yVal>
          <c:smooth val="0"/>
        </c:ser>
        <c:ser>
          <c:idx val="2"/>
          <c:order val="2"/>
          <c:tx>
            <c:strRef>
              <c:f>'Hyd Van'!$D$1</c:f>
              <c:strCache>
                <c:ptCount val="1"/>
                <c:pt idx="0">
                  <c:v>5% AEP</c:v>
                </c:pt>
              </c:strCache>
            </c:strRef>
          </c:tx>
          <c:marker>
            <c:symbol val="none"/>
          </c:marker>
          <c:xVal>
            <c:numRef>
              <c:f>'Hyd Van'!$A$2:$A$73</c:f>
              <c:numCache>
                <c:formatCode>General</c:formatCode>
                <c:ptCount val="72"/>
                <c:pt idx="0">
                  <c:v>0</c:v>
                </c:pt>
                <c:pt idx="1">
                  <c:v>8.0000000000000043E-2</c:v>
                </c:pt>
                <c:pt idx="2">
                  <c:v>0.17</c:v>
                </c:pt>
                <c:pt idx="3">
                  <c:v>0.25</c:v>
                </c:pt>
                <c:pt idx="4">
                  <c:v>0.33000000000000146</c:v>
                </c:pt>
                <c:pt idx="5">
                  <c:v>0.42000000000000032</c:v>
                </c:pt>
                <c:pt idx="6">
                  <c:v>0.5</c:v>
                </c:pt>
                <c:pt idx="7">
                  <c:v>0.58000000000000007</c:v>
                </c:pt>
                <c:pt idx="8">
                  <c:v>0.67000000000000293</c:v>
                </c:pt>
                <c:pt idx="9">
                  <c:v>0.75000000000000233</c:v>
                </c:pt>
                <c:pt idx="10">
                  <c:v>0.83000000000000063</c:v>
                </c:pt>
                <c:pt idx="11">
                  <c:v>0.92</c:v>
                </c:pt>
                <c:pt idx="12">
                  <c:v>1</c:v>
                </c:pt>
                <c:pt idx="13">
                  <c:v>1.08</c:v>
                </c:pt>
                <c:pt idx="14">
                  <c:v>1.1700000000000021</c:v>
                </c:pt>
                <c:pt idx="15">
                  <c:v>1.25</c:v>
                </c:pt>
                <c:pt idx="16">
                  <c:v>1.33</c:v>
                </c:pt>
                <c:pt idx="17">
                  <c:v>1.42</c:v>
                </c:pt>
                <c:pt idx="18">
                  <c:v>1.5</c:v>
                </c:pt>
                <c:pt idx="19">
                  <c:v>1.58</c:v>
                </c:pt>
                <c:pt idx="20">
                  <c:v>1.6700000000000021</c:v>
                </c:pt>
                <c:pt idx="21">
                  <c:v>1.75</c:v>
                </c:pt>
                <c:pt idx="22">
                  <c:v>1.83</c:v>
                </c:pt>
                <c:pt idx="23">
                  <c:v>1.9200000000000021</c:v>
                </c:pt>
                <c:pt idx="24">
                  <c:v>2</c:v>
                </c:pt>
                <c:pt idx="25">
                  <c:v>2.08</c:v>
                </c:pt>
                <c:pt idx="26">
                  <c:v>2.17</c:v>
                </c:pt>
                <c:pt idx="27">
                  <c:v>2.25</c:v>
                </c:pt>
                <c:pt idx="28">
                  <c:v>2.3299999999999987</c:v>
                </c:pt>
                <c:pt idx="29">
                  <c:v>2.42</c:v>
                </c:pt>
                <c:pt idx="30">
                  <c:v>2.5</c:v>
                </c:pt>
                <c:pt idx="31">
                  <c:v>2.58</c:v>
                </c:pt>
                <c:pt idx="32">
                  <c:v>2.67</c:v>
                </c:pt>
                <c:pt idx="33">
                  <c:v>2.75</c:v>
                </c:pt>
                <c:pt idx="34">
                  <c:v>2.8299999999999987</c:v>
                </c:pt>
                <c:pt idx="35">
                  <c:v>2.92</c:v>
                </c:pt>
                <c:pt idx="36">
                  <c:v>3</c:v>
                </c:pt>
                <c:pt idx="37">
                  <c:v>3.08</c:v>
                </c:pt>
                <c:pt idx="38">
                  <c:v>3.17</c:v>
                </c:pt>
                <c:pt idx="39">
                  <c:v>3.25</c:v>
                </c:pt>
                <c:pt idx="40">
                  <c:v>3.3299999999999987</c:v>
                </c:pt>
                <c:pt idx="41">
                  <c:v>3.42</c:v>
                </c:pt>
                <c:pt idx="42">
                  <c:v>3.5</c:v>
                </c:pt>
                <c:pt idx="43">
                  <c:v>3.58</c:v>
                </c:pt>
                <c:pt idx="44">
                  <c:v>3.67</c:v>
                </c:pt>
                <c:pt idx="45">
                  <c:v>3.75</c:v>
                </c:pt>
                <c:pt idx="46">
                  <c:v>3.8299999999999987</c:v>
                </c:pt>
                <c:pt idx="47">
                  <c:v>3.92</c:v>
                </c:pt>
                <c:pt idx="48">
                  <c:v>4</c:v>
                </c:pt>
                <c:pt idx="49">
                  <c:v>4.08</c:v>
                </c:pt>
                <c:pt idx="50">
                  <c:v>4.17</c:v>
                </c:pt>
                <c:pt idx="51">
                  <c:v>4.25</c:v>
                </c:pt>
                <c:pt idx="52">
                  <c:v>4.33</c:v>
                </c:pt>
                <c:pt idx="53">
                  <c:v>4.42</c:v>
                </c:pt>
                <c:pt idx="54">
                  <c:v>4.5</c:v>
                </c:pt>
                <c:pt idx="55">
                  <c:v>4.58</c:v>
                </c:pt>
                <c:pt idx="56">
                  <c:v>4.67</c:v>
                </c:pt>
                <c:pt idx="57">
                  <c:v>4.75</c:v>
                </c:pt>
                <c:pt idx="58">
                  <c:v>4.83</c:v>
                </c:pt>
                <c:pt idx="59">
                  <c:v>4.92</c:v>
                </c:pt>
                <c:pt idx="60">
                  <c:v>5</c:v>
                </c:pt>
                <c:pt idx="61">
                  <c:v>5.08</c:v>
                </c:pt>
                <c:pt idx="62">
                  <c:v>5.17</c:v>
                </c:pt>
                <c:pt idx="63">
                  <c:v>5.25</c:v>
                </c:pt>
                <c:pt idx="64">
                  <c:v>5.33</c:v>
                </c:pt>
                <c:pt idx="65">
                  <c:v>5.42</c:v>
                </c:pt>
                <c:pt idx="66">
                  <c:v>5.5</c:v>
                </c:pt>
                <c:pt idx="67">
                  <c:v>5.58</c:v>
                </c:pt>
                <c:pt idx="68">
                  <c:v>5.67</c:v>
                </c:pt>
                <c:pt idx="69">
                  <c:v>5.75</c:v>
                </c:pt>
                <c:pt idx="70">
                  <c:v>5.83</c:v>
                </c:pt>
                <c:pt idx="71">
                  <c:v>5.92</c:v>
                </c:pt>
              </c:numCache>
            </c:numRef>
          </c:xVal>
          <c:yVal>
            <c:numRef>
              <c:f>'Hyd Van'!$D$2:$D$73</c:f>
              <c:numCache>
                <c:formatCode>General</c:formatCode>
                <c:ptCount val="72"/>
                <c:pt idx="0">
                  <c:v>0</c:v>
                </c:pt>
                <c:pt idx="1">
                  <c:v>0</c:v>
                </c:pt>
                <c:pt idx="2">
                  <c:v>0</c:v>
                </c:pt>
                <c:pt idx="3">
                  <c:v>0</c:v>
                </c:pt>
                <c:pt idx="4">
                  <c:v>0</c:v>
                </c:pt>
                <c:pt idx="5">
                  <c:v>0</c:v>
                </c:pt>
                <c:pt idx="6">
                  <c:v>0.21890000000000079</c:v>
                </c:pt>
                <c:pt idx="7">
                  <c:v>1.179</c:v>
                </c:pt>
                <c:pt idx="8">
                  <c:v>3.5817999999999999</c:v>
                </c:pt>
                <c:pt idx="9">
                  <c:v>6.6142999999999965</c:v>
                </c:pt>
                <c:pt idx="10">
                  <c:v>7.5588999999999995</c:v>
                </c:pt>
                <c:pt idx="11">
                  <c:v>6.6583999999999985</c:v>
                </c:pt>
                <c:pt idx="12">
                  <c:v>6.1601999999999855</c:v>
                </c:pt>
                <c:pt idx="13">
                  <c:v>6.1838999999999995</c:v>
                </c:pt>
                <c:pt idx="14">
                  <c:v>6.3334999999999999</c:v>
                </c:pt>
                <c:pt idx="15">
                  <c:v>6.2731000000000003</c:v>
                </c:pt>
                <c:pt idx="16">
                  <c:v>5.9728000000000003</c:v>
                </c:pt>
                <c:pt idx="17">
                  <c:v>5.8860999999999999</c:v>
                </c:pt>
                <c:pt idx="18">
                  <c:v>5.9203999999999999</c:v>
                </c:pt>
                <c:pt idx="19">
                  <c:v>5.7588999999999997</c:v>
                </c:pt>
                <c:pt idx="20">
                  <c:v>5.5160999999999998</c:v>
                </c:pt>
                <c:pt idx="21">
                  <c:v>5.4577</c:v>
                </c:pt>
                <c:pt idx="22">
                  <c:v>5.4639999999999995</c:v>
                </c:pt>
                <c:pt idx="23">
                  <c:v>5.3636999999999997</c:v>
                </c:pt>
                <c:pt idx="24">
                  <c:v>5.2632000000000003</c:v>
                </c:pt>
                <c:pt idx="25">
                  <c:v>5.2357000000000014</c:v>
                </c:pt>
                <c:pt idx="26">
                  <c:v>5.1357999999999997</c:v>
                </c:pt>
                <c:pt idx="27">
                  <c:v>4.9378000000000002</c:v>
                </c:pt>
                <c:pt idx="28">
                  <c:v>4.7549999999999955</c:v>
                </c:pt>
                <c:pt idx="29">
                  <c:v>4.6314000000000002</c:v>
                </c:pt>
                <c:pt idx="30">
                  <c:v>4.5309999999999997</c:v>
                </c:pt>
                <c:pt idx="31">
                  <c:v>4.3765000000000001</c:v>
                </c:pt>
                <c:pt idx="32">
                  <c:v>4.1516000000000002</c:v>
                </c:pt>
                <c:pt idx="33">
                  <c:v>3.9947999999999997</c:v>
                </c:pt>
                <c:pt idx="34">
                  <c:v>3.9541999999999997</c:v>
                </c:pt>
                <c:pt idx="35">
                  <c:v>3.9339</c:v>
                </c:pt>
                <c:pt idx="36">
                  <c:v>3.9097999999999997</c:v>
                </c:pt>
                <c:pt idx="37">
                  <c:v>3.8835000000000002</c:v>
                </c:pt>
                <c:pt idx="38">
                  <c:v>3.8522999999999898</c:v>
                </c:pt>
                <c:pt idx="39">
                  <c:v>3.8214999999999977</c:v>
                </c:pt>
                <c:pt idx="40">
                  <c:v>3.7907999999999999</c:v>
                </c:pt>
                <c:pt idx="41">
                  <c:v>3.7616999999999998</c:v>
                </c:pt>
                <c:pt idx="42">
                  <c:v>3.7330999999999999</c:v>
                </c:pt>
                <c:pt idx="43">
                  <c:v>3.7056</c:v>
                </c:pt>
                <c:pt idx="44">
                  <c:v>3.6785000000000001</c:v>
                </c:pt>
                <c:pt idx="45">
                  <c:v>3.6520999999999977</c:v>
                </c:pt>
                <c:pt idx="46">
                  <c:v>3.6259999999999999</c:v>
                </c:pt>
                <c:pt idx="47">
                  <c:v>3.6002000000000001</c:v>
                </c:pt>
                <c:pt idx="48">
                  <c:v>3.5739000000000001</c:v>
                </c:pt>
                <c:pt idx="49">
                  <c:v>3.5446</c:v>
                </c:pt>
                <c:pt idx="50">
                  <c:v>3.5072999999999999</c:v>
                </c:pt>
                <c:pt idx="51">
                  <c:v>3.4613</c:v>
                </c:pt>
                <c:pt idx="52">
                  <c:v>3.4118999999999913</c:v>
                </c:pt>
                <c:pt idx="53">
                  <c:v>3.3631000000000002</c:v>
                </c:pt>
                <c:pt idx="54">
                  <c:v>3.3156999999999899</c:v>
                </c:pt>
                <c:pt idx="55">
                  <c:v>3.2625000000000002</c:v>
                </c:pt>
                <c:pt idx="56">
                  <c:v>3.2042000000000002</c:v>
                </c:pt>
                <c:pt idx="57">
                  <c:v>3.1561999999999997</c:v>
                </c:pt>
                <c:pt idx="58">
                  <c:v>3.1149</c:v>
                </c:pt>
                <c:pt idx="59">
                  <c:v>3.0712999999999977</c:v>
                </c:pt>
                <c:pt idx="60">
                  <c:v>3.0278999999999998</c:v>
                </c:pt>
                <c:pt idx="61">
                  <c:v>2.9834000000000001</c:v>
                </c:pt>
                <c:pt idx="62">
                  <c:v>2.9375</c:v>
                </c:pt>
                <c:pt idx="63">
                  <c:v>2.8895999999999997</c:v>
                </c:pt>
                <c:pt idx="64">
                  <c:v>2.8382999999999967</c:v>
                </c:pt>
                <c:pt idx="65">
                  <c:v>2.7818999999999998</c:v>
                </c:pt>
                <c:pt idx="66">
                  <c:v>2.7143999999999999</c:v>
                </c:pt>
                <c:pt idx="67">
                  <c:v>2.6389999999999998</c:v>
                </c:pt>
                <c:pt idx="68">
                  <c:v>2.5553999999999997</c:v>
                </c:pt>
                <c:pt idx="69">
                  <c:v>2.4495999999999998</c:v>
                </c:pt>
                <c:pt idx="70">
                  <c:v>2.3137999999999987</c:v>
                </c:pt>
                <c:pt idx="71">
                  <c:v>2.1393999999999997</c:v>
                </c:pt>
              </c:numCache>
            </c:numRef>
          </c:yVal>
          <c:smooth val="0"/>
        </c:ser>
        <c:ser>
          <c:idx val="3"/>
          <c:order val="3"/>
          <c:tx>
            <c:strRef>
              <c:f>'Hyd Van'!$E$1</c:f>
              <c:strCache>
                <c:ptCount val="1"/>
                <c:pt idx="0">
                  <c:v>1% AEP</c:v>
                </c:pt>
              </c:strCache>
            </c:strRef>
          </c:tx>
          <c:marker>
            <c:symbol val="none"/>
          </c:marker>
          <c:xVal>
            <c:numRef>
              <c:f>'Hyd Van'!$A$2:$A$73</c:f>
              <c:numCache>
                <c:formatCode>General</c:formatCode>
                <c:ptCount val="72"/>
                <c:pt idx="0">
                  <c:v>0</c:v>
                </c:pt>
                <c:pt idx="1">
                  <c:v>8.0000000000000043E-2</c:v>
                </c:pt>
                <c:pt idx="2">
                  <c:v>0.17</c:v>
                </c:pt>
                <c:pt idx="3">
                  <c:v>0.25</c:v>
                </c:pt>
                <c:pt idx="4">
                  <c:v>0.33000000000000146</c:v>
                </c:pt>
                <c:pt idx="5">
                  <c:v>0.42000000000000032</c:v>
                </c:pt>
                <c:pt idx="6">
                  <c:v>0.5</c:v>
                </c:pt>
                <c:pt idx="7">
                  <c:v>0.58000000000000007</c:v>
                </c:pt>
                <c:pt idx="8">
                  <c:v>0.67000000000000293</c:v>
                </c:pt>
                <c:pt idx="9">
                  <c:v>0.75000000000000233</c:v>
                </c:pt>
                <c:pt idx="10">
                  <c:v>0.83000000000000063</c:v>
                </c:pt>
                <c:pt idx="11">
                  <c:v>0.92</c:v>
                </c:pt>
                <c:pt idx="12">
                  <c:v>1</c:v>
                </c:pt>
                <c:pt idx="13">
                  <c:v>1.08</c:v>
                </c:pt>
                <c:pt idx="14">
                  <c:v>1.1700000000000021</c:v>
                </c:pt>
                <c:pt idx="15">
                  <c:v>1.25</c:v>
                </c:pt>
                <c:pt idx="16">
                  <c:v>1.33</c:v>
                </c:pt>
                <c:pt idx="17">
                  <c:v>1.42</c:v>
                </c:pt>
                <c:pt idx="18">
                  <c:v>1.5</c:v>
                </c:pt>
                <c:pt idx="19">
                  <c:v>1.58</c:v>
                </c:pt>
                <c:pt idx="20">
                  <c:v>1.6700000000000021</c:v>
                </c:pt>
                <c:pt idx="21">
                  <c:v>1.75</c:v>
                </c:pt>
                <c:pt idx="22">
                  <c:v>1.83</c:v>
                </c:pt>
                <c:pt idx="23">
                  <c:v>1.9200000000000021</c:v>
                </c:pt>
                <c:pt idx="24">
                  <c:v>2</c:v>
                </c:pt>
                <c:pt idx="25">
                  <c:v>2.08</c:v>
                </c:pt>
                <c:pt idx="26">
                  <c:v>2.17</c:v>
                </c:pt>
                <c:pt idx="27">
                  <c:v>2.25</c:v>
                </c:pt>
                <c:pt idx="28">
                  <c:v>2.3299999999999987</c:v>
                </c:pt>
                <c:pt idx="29">
                  <c:v>2.42</c:v>
                </c:pt>
                <c:pt idx="30">
                  <c:v>2.5</c:v>
                </c:pt>
                <c:pt idx="31">
                  <c:v>2.58</c:v>
                </c:pt>
                <c:pt idx="32">
                  <c:v>2.67</c:v>
                </c:pt>
                <c:pt idx="33">
                  <c:v>2.75</c:v>
                </c:pt>
                <c:pt idx="34">
                  <c:v>2.8299999999999987</c:v>
                </c:pt>
                <c:pt idx="35">
                  <c:v>2.92</c:v>
                </c:pt>
                <c:pt idx="36">
                  <c:v>3</c:v>
                </c:pt>
                <c:pt idx="37">
                  <c:v>3.08</c:v>
                </c:pt>
                <c:pt idx="38">
                  <c:v>3.17</c:v>
                </c:pt>
                <c:pt idx="39">
                  <c:v>3.25</c:v>
                </c:pt>
                <c:pt idx="40">
                  <c:v>3.3299999999999987</c:v>
                </c:pt>
                <c:pt idx="41">
                  <c:v>3.42</c:v>
                </c:pt>
                <c:pt idx="42">
                  <c:v>3.5</c:v>
                </c:pt>
                <c:pt idx="43">
                  <c:v>3.58</c:v>
                </c:pt>
                <c:pt idx="44">
                  <c:v>3.67</c:v>
                </c:pt>
                <c:pt idx="45">
                  <c:v>3.75</c:v>
                </c:pt>
                <c:pt idx="46">
                  <c:v>3.8299999999999987</c:v>
                </c:pt>
                <c:pt idx="47">
                  <c:v>3.92</c:v>
                </c:pt>
                <c:pt idx="48">
                  <c:v>4</c:v>
                </c:pt>
                <c:pt idx="49">
                  <c:v>4.08</c:v>
                </c:pt>
                <c:pt idx="50">
                  <c:v>4.17</c:v>
                </c:pt>
                <c:pt idx="51">
                  <c:v>4.25</c:v>
                </c:pt>
                <c:pt idx="52">
                  <c:v>4.33</c:v>
                </c:pt>
                <c:pt idx="53">
                  <c:v>4.42</c:v>
                </c:pt>
                <c:pt idx="54">
                  <c:v>4.5</c:v>
                </c:pt>
                <c:pt idx="55">
                  <c:v>4.58</c:v>
                </c:pt>
                <c:pt idx="56">
                  <c:v>4.67</c:v>
                </c:pt>
                <c:pt idx="57">
                  <c:v>4.75</c:v>
                </c:pt>
                <c:pt idx="58">
                  <c:v>4.83</c:v>
                </c:pt>
                <c:pt idx="59">
                  <c:v>4.92</c:v>
                </c:pt>
                <c:pt idx="60">
                  <c:v>5</c:v>
                </c:pt>
                <c:pt idx="61">
                  <c:v>5.08</c:v>
                </c:pt>
                <c:pt idx="62">
                  <c:v>5.17</c:v>
                </c:pt>
                <c:pt idx="63">
                  <c:v>5.25</c:v>
                </c:pt>
                <c:pt idx="64">
                  <c:v>5.33</c:v>
                </c:pt>
                <c:pt idx="65">
                  <c:v>5.42</c:v>
                </c:pt>
                <c:pt idx="66">
                  <c:v>5.5</c:v>
                </c:pt>
                <c:pt idx="67">
                  <c:v>5.58</c:v>
                </c:pt>
                <c:pt idx="68">
                  <c:v>5.67</c:v>
                </c:pt>
                <c:pt idx="69">
                  <c:v>5.75</c:v>
                </c:pt>
                <c:pt idx="70">
                  <c:v>5.83</c:v>
                </c:pt>
                <c:pt idx="71">
                  <c:v>5.92</c:v>
                </c:pt>
              </c:numCache>
            </c:numRef>
          </c:xVal>
          <c:yVal>
            <c:numRef>
              <c:f>'Hyd Van'!$E$2:$E$73</c:f>
              <c:numCache>
                <c:formatCode>General</c:formatCode>
                <c:ptCount val="72"/>
                <c:pt idx="0">
                  <c:v>0</c:v>
                </c:pt>
                <c:pt idx="1">
                  <c:v>0</c:v>
                </c:pt>
                <c:pt idx="2">
                  <c:v>0</c:v>
                </c:pt>
                <c:pt idx="3">
                  <c:v>1.1598999999999955</c:v>
                </c:pt>
                <c:pt idx="4">
                  <c:v>6.6627999999999945</c:v>
                </c:pt>
                <c:pt idx="5">
                  <c:v>11.0335</c:v>
                </c:pt>
                <c:pt idx="6">
                  <c:v>9.8570000000000046</c:v>
                </c:pt>
                <c:pt idx="7">
                  <c:v>8.1242000000000001</c:v>
                </c:pt>
                <c:pt idx="8">
                  <c:v>7.1365999999999996</c:v>
                </c:pt>
                <c:pt idx="9">
                  <c:v>6.2483000000000004</c:v>
                </c:pt>
                <c:pt idx="10">
                  <c:v>5.8669999999999956</c:v>
                </c:pt>
                <c:pt idx="11">
                  <c:v>5.5626999999999995</c:v>
                </c:pt>
                <c:pt idx="12">
                  <c:v>5.2481999999999998</c:v>
                </c:pt>
                <c:pt idx="13">
                  <c:v>4.9668000000000001</c:v>
                </c:pt>
                <c:pt idx="14">
                  <c:v>4.8022999999999998</c:v>
                </c:pt>
                <c:pt idx="15">
                  <c:v>4.7321</c:v>
                </c:pt>
                <c:pt idx="16">
                  <c:v>4.6689999999999845</c:v>
                </c:pt>
                <c:pt idx="17">
                  <c:v>4.6276999999999955</c:v>
                </c:pt>
                <c:pt idx="18">
                  <c:v>4.5765000000000002</c:v>
                </c:pt>
                <c:pt idx="19">
                  <c:v>4.5342000000000002</c:v>
                </c:pt>
                <c:pt idx="20">
                  <c:v>4.4859999999999998</c:v>
                </c:pt>
                <c:pt idx="21">
                  <c:v>4.4371</c:v>
                </c:pt>
                <c:pt idx="22">
                  <c:v>4.3773999999999997</c:v>
                </c:pt>
                <c:pt idx="23">
                  <c:v>4.2545999999999955</c:v>
                </c:pt>
                <c:pt idx="24">
                  <c:v>4.0495999999999999</c:v>
                </c:pt>
                <c:pt idx="25">
                  <c:v>3.9043000000000001</c:v>
                </c:pt>
                <c:pt idx="26">
                  <c:v>3.8637000000000001</c:v>
                </c:pt>
                <c:pt idx="27">
                  <c:v>3.8359999999999967</c:v>
                </c:pt>
                <c:pt idx="28">
                  <c:v>3.8071999999999999</c:v>
                </c:pt>
                <c:pt idx="29">
                  <c:v>3.7803000000000098</c:v>
                </c:pt>
                <c:pt idx="30">
                  <c:v>3.7530999999999999</c:v>
                </c:pt>
                <c:pt idx="31">
                  <c:v>3.7271000000000098</c:v>
                </c:pt>
                <c:pt idx="32">
                  <c:v>3.7012</c:v>
                </c:pt>
                <c:pt idx="33">
                  <c:v>3.6759999999999997</c:v>
                </c:pt>
                <c:pt idx="34">
                  <c:v>3.6511</c:v>
                </c:pt>
                <c:pt idx="35">
                  <c:v>3.6265000000000001</c:v>
                </c:pt>
                <c:pt idx="36">
                  <c:v>3.6021999999999998</c:v>
                </c:pt>
                <c:pt idx="37">
                  <c:v>3.5779000000000001</c:v>
                </c:pt>
                <c:pt idx="38">
                  <c:v>3.5519999999999987</c:v>
                </c:pt>
                <c:pt idx="39">
                  <c:v>3.5193999999999988</c:v>
                </c:pt>
                <c:pt idx="40">
                  <c:v>3.4777</c:v>
                </c:pt>
                <c:pt idx="41">
                  <c:v>3.4310999999999967</c:v>
                </c:pt>
                <c:pt idx="42">
                  <c:v>3.3843000000000001</c:v>
                </c:pt>
                <c:pt idx="43">
                  <c:v>3.3384999999999967</c:v>
                </c:pt>
                <c:pt idx="44">
                  <c:v>3.2906</c:v>
                </c:pt>
                <c:pt idx="45">
                  <c:v>3.2363</c:v>
                </c:pt>
                <c:pt idx="46">
                  <c:v>3.1840999999999999</c:v>
                </c:pt>
                <c:pt idx="47">
                  <c:v>3.1423999999999999</c:v>
                </c:pt>
                <c:pt idx="48">
                  <c:v>3.1021999999999998</c:v>
                </c:pt>
                <c:pt idx="49">
                  <c:v>3.0602</c:v>
                </c:pt>
                <c:pt idx="50">
                  <c:v>3.0183</c:v>
                </c:pt>
                <c:pt idx="51">
                  <c:v>2.9748999999999977</c:v>
                </c:pt>
                <c:pt idx="52">
                  <c:v>2.9301999999999997</c:v>
                </c:pt>
                <c:pt idx="53">
                  <c:v>2.8828999999999967</c:v>
                </c:pt>
                <c:pt idx="54">
                  <c:v>2.8322999999999898</c:v>
                </c:pt>
                <c:pt idx="55">
                  <c:v>2.7767999999999997</c:v>
                </c:pt>
                <c:pt idx="56">
                  <c:v>2.7105000000000001</c:v>
                </c:pt>
                <c:pt idx="57">
                  <c:v>2.6365999999999987</c:v>
                </c:pt>
                <c:pt idx="58">
                  <c:v>2.5547999999999997</c:v>
                </c:pt>
                <c:pt idx="59">
                  <c:v>2.4516999999999967</c:v>
                </c:pt>
                <c:pt idx="60">
                  <c:v>2.3193999999999977</c:v>
                </c:pt>
                <c:pt idx="61">
                  <c:v>2.1482000000000001</c:v>
                </c:pt>
                <c:pt idx="62">
                  <c:v>1.9408000000000001</c:v>
                </c:pt>
                <c:pt idx="63">
                  <c:v>1.714</c:v>
                </c:pt>
                <c:pt idx="64">
                  <c:v>1.4749999999999948</c:v>
                </c:pt>
                <c:pt idx="65">
                  <c:v>1.1211</c:v>
                </c:pt>
                <c:pt idx="66">
                  <c:v>0.62050000000000005</c:v>
                </c:pt>
                <c:pt idx="67">
                  <c:v>0.24420000000000044</c:v>
                </c:pt>
                <c:pt idx="68">
                  <c:v>0.1119</c:v>
                </c:pt>
                <c:pt idx="69">
                  <c:v>8.2500000000000004E-2</c:v>
                </c:pt>
                <c:pt idx="70">
                  <c:v>6.9200000000000012E-2</c:v>
                </c:pt>
                <c:pt idx="71">
                  <c:v>6.0700000000000122E-2</c:v>
                </c:pt>
              </c:numCache>
            </c:numRef>
          </c:yVal>
          <c:smooth val="0"/>
        </c:ser>
        <c:dLbls>
          <c:showLegendKey val="0"/>
          <c:showVal val="0"/>
          <c:showCatName val="0"/>
          <c:showSerName val="0"/>
          <c:showPercent val="0"/>
          <c:showBubbleSize val="0"/>
        </c:dLbls>
        <c:axId val="152652416"/>
        <c:axId val="152675072"/>
      </c:scatterChart>
      <c:valAx>
        <c:axId val="152652416"/>
        <c:scaling>
          <c:orientation val="minMax"/>
          <c:max val="6"/>
        </c:scaling>
        <c:delete val="0"/>
        <c:axPos val="b"/>
        <c:title>
          <c:tx>
            <c:rich>
              <a:bodyPr/>
              <a:lstStyle/>
              <a:p>
                <a:pPr>
                  <a:defRPr lang="en-AU"/>
                </a:pPr>
                <a:r>
                  <a:rPr lang="en-AU"/>
                  <a:t>Time (hours)</a:t>
                </a:r>
              </a:p>
            </c:rich>
          </c:tx>
          <c:layout/>
          <c:overlay val="0"/>
        </c:title>
        <c:numFmt formatCode="General" sourceLinked="1"/>
        <c:majorTickMark val="out"/>
        <c:minorTickMark val="none"/>
        <c:tickLblPos val="nextTo"/>
        <c:txPr>
          <a:bodyPr/>
          <a:lstStyle/>
          <a:p>
            <a:pPr>
              <a:defRPr lang="en-AU"/>
            </a:pPr>
            <a:endParaRPr lang="en-US"/>
          </a:p>
        </c:txPr>
        <c:crossAx val="152675072"/>
        <c:crosses val="autoZero"/>
        <c:crossBetween val="midCat"/>
      </c:valAx>
      <c:valAx>
        <c:axId val="152675072"/>
        <c:scaling>
          <c:orientation val="minMax"/>
        </c:scaling>
        <c:delete val="0"/>
        <c:axPos val="l"/>
        <c:majorGridlines/>
        <c:title>
          <c:tx>
            <c:rich>
              <a:bodyPr rot="-5400000" vert="horz"/>
              <a:lstStyle/>
              <a:p>
                <a:pPr>
                  <a:defRPr lang="en-AU"/>
                </a:pPr>
                <a:r>
                  <a:rPr lang="en-AU"/>
                  <a:t>Flow (m</a:t>
                </a:r>
                <a:r>
                  <a:rPr lang="en-AU" baseline="30000"/>
                  <a:t>3</a:t>
                </a:r>
                <a:r>
                  <a:rPr lang="en-AU"/>
                  <a:t>/s)</a:t>
                </a:r>
              </a:p>
            </c:rich>
          </c:tx>
          <c:layout/>
          <c:overlay val="0"/>
        </c:title>
        <c:numFmt formatCode="General" sourceLinked="1"/>
        <c:majorTickMark val="out"/>
        <c:minorTickMark val="none"/>
        <c:tickLblPos val="nextTo"/>
        <c:txPr>
          <a:bodyPr/>
          <a:lstStyle/>
          <a:p>
            <a:pPr>
              <a:defRPr lang="en-AU"/>
            </a:pPr>
            <a:endParaRPr lang="en-US"/>
          </a:p>
        </c:txPr>
        <c:crossAx val="152652416"/>
        <c:crosses val="autoZero"/>
        <c:crossBetween val="midCat"/>
      </c:valAx>
    </c:plotArea>
    <c:legend>
      <c:legendPos val="r"/>
      <c:layout/>
      <c:overlay val="0"/>
      <c:txPr>
        <a:bodyPr/>
        <a:lstStyle/>
        <a:p>
          <a:pPr>
            <a:defRPr lang="en-AU"/>
          </a:pPr>
          <a:endParaRPr lang="en-US"/>
        </a:p>
      </c:txPr>
    </c:legend>
    <c:plotVisOnly val="1"/>
    <c:dispBlanksAs val="gap"/>
    <c:showDLblsOverMax val="0"/>
  </c:chart>
  <c:spPr>
    <a:ln w="6350">
      <a:solidFill>
        <a:sysClr val="windowText" lastClr="00000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'Hyd Maus'!$B$1</c:f>
              <c:strCache>
                <c:ptCount val="1"/>
                <c:pt idx="0">
                  <c:v>20% AEP</c:v>
                </c:pt>
              </c:strCache>
            </c:strRef>
          </c:tx>
          <c:marker>
            <c:symbol val="none"/>
          </c:marker>
          <c:xVal>
            <c:numRef>
              <c:f>'Hyd Maus'!$A$2:$A$73</c:f>
              <c:numCache>
                <c:formatCode>General</c:formatCode>
                <c:ptCount val="72"/>
                <c:pt idx="0">
                  <c:v>0</c:v>
                </c:pt>
                <c:pt idx="1">
                  <c:v>8.0000000000000043E-2</c:v>
                </c:pt>
                <c:pt idx="2">
                  <c:v>0.17</c:v>
                </c:pt>
                <c:pt idx="3">
                  <c:v>0.25</c:v>
                </c:pt>
                <c:pt idx="4">
                  <c:v>0.33000000000000146</c:v>
                </c:pt>
                <c:pt idx="5">
                  <c:v>0.42000000000000032</c:v>
                </c:pt>
                <c:pt idx="6">
                  <c:v>0.5</c:v>
                </c:pt>
                <c:pt idx="7">
                  <c:v>0.58000000000000007</c:v>
                </c:pt>
                <c:pt idx="8">
                  <c:v>0.67000000000000293</c:v>
                </c:pt>
                <c:pt idx="9">
                  <c:v>0.75000000000000233</c:v>
                </c:pt>
                <c:pt idx="10">
                  <c:v>0.83000000000000063</c:v>
                </c:pt>
                <c:pt idx="11">
                  <c:v>0.92</c:v>
                </c:pt>
                <c:pt idx="12">
                  <c:v>1</c:v>
                </c:pt>
                <c:pt idx="13">
                  <c:v>1.08</c:v>
                </c:pt>
                <c:pt idx="14">
                  <c:v>1.1700000000000021</c:v>
                </c:pt>
                <c:pt idx="15">
                  <c:v>1.25</c:v>
                </c:pt>
                <c:pt idx="16">
                  <c:v>1.33</c:v>
                </c:pt>
                <c:pt idx="17">
                  <c:v>1.42</c:v>
                </c:pt>
                <c:pt idx="18">
                  <c:v>1.5</c:v>
                </c:pt>
                <c:pt idx="19">
                  <c:v>1.58</c:v>
                </c:pt>
                <c:pt idx="20">
                  <c:v>1.6700000000000021</c:v>
                </c:pt>
                <c:pt idx="21">
                  <c:v>1.75</c:v>
                </c:pt>
                <c:pt idx="22">
                  <c:v>1.83</c:v>
                </c:pt>
                <c:pt idx="23">
                  <c:v>1.9200000000000021</c:v>
                </c:pt>
                <c:pt idx="24">
                  <c:v>2</c:v>
                </c:pt>
                <c:pt idx="25">
                  <c:v>2.08</c:v>
                </c:pt>
                <c:pt idx="26">
                  <c:v>2.17</c:v>
                </c:pt>
                <c:pt idx="27">
                  <c:v>2.25</c:v>
                </c:pt>
                <c:pt idx="28">
                  <c:v>2.3299999999999987</c:v>
                </c:pt>
                <c:pt idx="29">
                  <c:v>2.42</c:v>
                </c:pt>
                <c:pt idx="30">
                  <c:v>2.5</c:v>
                </c:pt>
                <c:pt idx="31">
                  <c:v>2.58</c:v>
                </c:pt>
                <c:pt idx="32">
                  <c:v>2.67</c:v>
                </c:pt>
                <c:pt idx="33">
                  <c:v>2.75</c:v>
                </c:pt>
                <c:pt idx="34">
                  <c:v>2.8299999999999987</c:v>
                </c:pt>
                <c:pt idx="35">
                  <c:v>2.92</c:v>
                </c:pt>
                <c:pt idx="36">
                  <c:v>3</c:v>
                </c:pt>
                <c:pt idx="37">
                  <c:v>3.08</c:v>
                </c:pt>
                <c:pt idx="38">
                  <c:v>3.17</c:v>
                </c:pt>
                <c:pt idx="39">
                  <c:v>3.25</c:v>
                </c:pt>
                <c:pt idx="40">
                  <c:v>3.3299999999999987</c:v>
                </c:pt>
                <c:pt idx="41">
                  <c:v>3.42</c:v>
                </c:pt>
                <c:pt idx="42">
                  <c:v>3.5</c:v>
                </c:pt>
                <c:pt idx="43">
                  <c:v>3.58</c:v>
                </c:pt>
                <c:pt idx="44">
                  <c:v>3.67</c:v>
                </c:pt>
                <c:pt idx="45">
                  <c:v>3.75</c:v>
                </c:pt>
                <c:pt idx="46">
                  <c:v>3.8299999999999987</c:v>
                </c:pt>
                <c:pt idx="47">
                  <c:v>3.92</c:v>
                </c:pt>
                <c:pt idx="48">
                  <c:v>4</c:v>
                </c:pt>
                <c:pt idx="49">
                  <c:v>4.08</c:v>
                </c:pt>
                <c:pt idx="50">
                  <c:v>4.17</c:v>
                </c:pt>
                <c:pt idx="51">
                  <c:v>4.25</c:v>
                </c:pt>
                <c:pt idx="52">
                  <c:v>4.33</c:v>
                </c:pt>
                <c:pt idx="53">
                  <c:v>4.42</c:v>
                </c:pt>
                <c:pt idx="54">
                  <c:v>4.5</c:v>
                </c:pt>
                <c:pt idx="55">
                  <c:v>4.58</c:v>
                </c:pt>
                <c:pt idx="56">
                  <c:v>4.67</c:v>
                </c:pt>
                <c:pt idx="57">
                  <c:v>4.75</c:v>
                </c:pt>
                <c:pt idx="58">
                  <c:v>4.83</c:v>
                </c:pt>
                <c:pt idx="59">
                  <c:v>4.92</c:v>
                </c:pt>
                <c:pt idx="60">
                  <c:v>5</c:v>
                </c:pt>
                <c:pt idx="61">
                  <c:v>5.08</c:v>
                </c:pt>
                <c:pt idx="62">
                  <c:v>5.17</c:v>
                </c:pt>
                <c:pt idx="63">
                  <c:v>5.25</c:v>
                </c:pt>
                <c:pt idx="64">
                  <c:v>5.33</c:v>
                </c:pt>
                <c:pt idx="65">
                  <c:v>5.42</c:v>
                </c:pt>
                <c:pt idx="66">
                  <c:v>5.5</c:v>
                </c:pt>
                <c:pt idx="67">
                  <c:v>5.58</c:v>
                </c:pt>
                <c:pt idx="68">
                  <c:v>5.67</c:v>
                </c:pt>
                <c:pt idx="69">
                  <c:v>5.75</c:v>
                </c:pt>
                <c:pt idx="70">
                  <c:v>5.83</c:v>
                </c:pt>
                <c:pt idx="71">
                  <c:v>5.92</c:v>
                </c:pt>
              </c:numCache>
            </c:numRef>
          </c:xVal>
          <c:yVal>
            <c:numRef>
              <c:f>'Hyd Maus'!$B$2:$B$73</c:f>
              <c:numCache>
                <c:formatCode>General</c:formatCode>
                <c:ptCount val="72"/>
                <c:pt idx="0">
                  <c:v>0</c:v>
                </c:pt>
                <c:pt idx="1">
                  <c:v>0</c:v>
                </c:pt>
                <c:pt idx="2">
                  <c:v>0</c:v>
                </c:pt>
                <c:pt idx="3">
                  <c:v>0</c:v>
                </c:pt>
                <c:pt idx="4">
                  <c:v>0</c:v>
                </c:pt>
                <c:pt idx="5">
                  <c:v>0</c:v>
                </c:pt>
                <c:pt idx="6">
                  <c:v>1.0999999999999998E-2</c:v>
                </c:pt>
                <c:pt idx="7">
                  <c:v>0.16650000000000001</c:v>
                </c:pt>
                <c:pt idx="8">
                  <c:v>1.087</c:v>
                </c:pt>
                <c:pt idx="9">
                  <c:v>3.2292999999999998</c:v>
                </c:pt>
                <c:pt idx="10">
                  <c:v>5.8199999999999985</c:v>
                </c:pt>
                <c:pt idx="11">
                  <c:v>7.1852</c:v>
                </c:pt>
                <c:pt idx="12">
                  <c:v>6.6386000000000003</c:v>
                </c:pt>
                <c:pt idx="13">
                  <c:v>5.4268000000000001</c:v>
                </c:pt>
                <c:pt idx="14">
                  <c:v>4.4597000000000024</c:v>
                </c:pt>
                <c:pt idx="15">
                  <c:v>3.7967999999999997</c:v>
                </c:pt>
                <c:pt idx="16">
                  <c:v>3.3371999999999997</c:v>
                </c:pt>
                <c:pt idx="17">
                  <c:v>2.9764999999999913</c:v>
                </c:pt>
                <c:pt idx="18">
                  <c:v>2.7025999999999999</c:v>
                </c:pt>
                <c:pt idx="19">
                  <c:v>2.4328999999999898</c:v>
                </c:pt>
                <c:pt idx="20">
                  <c:v>2.1316999999999977</c:v>
                </c:pt>
                <c:pt idx="21">
                  <c:v>1.8606</c:v>
                </c:pt>
                <c:pt idx="22">
                  <c:v>1.679</c:v>
                </c:pt>
                <c:pt idx="23">
                  <c:v>1.5356999999999947</c:v>
                </c:pt>
                <c:pt idx="24">
                  <c:v>1.4178999999999911</c:v>
                </c:pt>
                <c:pt idx="25">
                  <c:v>1.3188</c:v>
                </c:pt>
                <c:pt idx="26">
                  <c:v>1.2147999999999948</c:v>
                </c:pt>
                <c:pt idx="27">
                  <c:v>1.0667</c:v>
                </c:pt>
                <c:pt idx="28">
                  <c:v>0.87190000000000245</c:v>
                </c:pt>
                <c:pt idx="29">
                  <c:v>0.67460000000000386</c:v>
                </c:pt>
                <c:pt idx="30">
                  <c:v>0.50700000000000001</c:v>
                </c:pt>
                <c:pt idx="31">
                  <c:v>0.37720000000000031</c:v>
                </c:pt>
                <c:pt idx="32">
                  <c:v>0.2767</c:v>
                </c:pt>
                <c:pt idx="33">
                  <c:v>0.2021</c:v>
                </c:pt>
                <c:pt idx="34">
                  <c:v>0.14890000000000067</c:v>
                </c:pt>
                <c:pt idx="35">
                  <c:v>0.1108</c:v>
                </c:pt>
                <c:pt idx="36">
                  <c:v>8.3900000000000044E-2</c:v>
                </c:pt>
                <c:pt idx="37">
                  <c:v>6.4300000000000287E-2</c:v>
                </c:pt>
                <c:pt idx="38">
                  <c:v>0.05</c:v>
                </c:pt>
                <c:pt idx="39">
                  <c:v>3.9399999999999998E-2</c:v>
                </c:pt>
                <c:pt idx="40">
                  <c:v>3.1300000000000001E-2</c:v>
                </c:pt>
                <c:pt idx="41">
                  <c:v>2.5200000000000011E-2</c:v>
                </c:pt>
                <c:pt idx="42">
                  <c:v>2.0400000000000001E-2</c:v>
                </c:pt>
                <c:pt idx="43">
                  <c:v>1.6700000000000072E-2</c:v>
                </c:pt>
                <c:pt idx="44">
                  <c:v>1.3800000000000066E-2</c:v>
                </c:pt>
                <c:pt idx="45">
                  <c:v>1.1400000000000058E-2</c:v>
                </c:pt>
                <c:pt idx="46">
                  <c:v>9.5000000000000067E-3</c:v>
                </c:pt>
                <c:pt idx="47">
                  <c:v>8.0000000000000227E-3</c:v>
                </c:pt>
                <c:pt idx="48">
                  <c:v>6.8000000000000196E-3</c:v>
                </c:pt>
                <c:pt idx="49">
                  <c:v>5.8000000000000013E-3</c:v>
                </c:pt>
                <c:pt idx="50">
                  <c:v>4.9000000000000224E-3</c:v>
                </c:pt>
                <c:pt idx="51">
                  <c:v>4.1999999999999997E-3</c:v>
                </c:pt>
                <c:pt idx="52">
                  <c:v>3.7000000000000179E-3</c:v>
                </c:pt>
                <c:pt idx="53">
                  <c:v>3.2000000000000153E-3</c:v>
                </c:pt>
                <c:pt idx="54">
                  <c:v>2.7000000000000114E-3</c:v>
                </c:pt>
                <c:pt idx="55">
                  <c:v>2.3999999999999998E-3</c:v>
                </c:pt>
                <c:pt idx="56">
                  <c:v>2.0999999999999999E-3</c:v>
                </c:pt>
                <c:pt idx="57">
                  <c:v>1.8000000000000069E-3</c:v>
                </c:pt>
                <c:pt idx="58">
                  <c:v>1.6000000000000077E-3</c:v>
                </c:pt>
                <c:pt idx="59">
                  <c:v>1.4000000000000041E-3</c:v>
                </c:pt>
                <c:pt idx="60">
                  <c:v>1.2999999999999978E-3</c:v>
                </c:pt>
                <c:pt idx="61">
                  <c:v>1.1000000000000051E-3</c:v>
                </c:pt>
                <c:pt idx="62">
                  <c:v>1.0000000000000041E-3</c:v>
                </c:pt>
                <c:pt idx="63">
                  <c:v>9.0000000000000247E-4</c:v>
                </c:pt>
                <c:pt idx="64">
                  <c:v>8.0000000000000264E-4</c:v>
                </c:pt>
                <c:pt idx="65">
                  <c:v>7.0000000000000314E-4</c:v>
                </c:pt>
                <c:pt idx="66">
                  <c:v>7.0000000000000314E-4</c:v>
                </c:pt>
                <c:pt idx="67">
                  <c:v>6.0000000000000266E-4</c:v>
                </c:pt>
                <c:pt idx="68">
                  <c:v>5.0000000000000034E-4</c:v>
                </c:pt>
                <c:pt idx="69">
                  <c:v>5.0000000000000034E-4</c:v>
                </c:pt>
                <c:pt idx="70">
                  <c:v>4.0000000000000034E-4</c:v>
                </c:pt>
                <c:pt idx="71">
                  <c:v>4.0000000000000034E-4</c:v>
                </c:pt>
              </c:numCache>
            </c:numRef>
          </c:yVal>
          <c:smooth val="0"/>
        </c:ser>
        <c:ser>
          <c:idx val="1"/>
          <c:order val="1"/>
          <c:tx>
            <c:strRef>
              <c:f>'Hyd Maus'!$C$1</c:f>
              <c:strCache>
                <c:ptCount val="1"/>
                <c:pt idx="0">
                  <c:v>10% AEP</c:v>
                </c:pt>
              </c:strCache>
            </c:strRef>
          </c:tx>
          <c:marker>
            <c:symbol val="none"/>
          </c:marker>
          <c:xVal>
            <c:numRef>
              <c:f>'Hyd Maus'!$A$2:$A$73</c:f>
              <c:numCache>
                <c:formatCode>General</c:formatCode>
                <c:ptCount val="72"/>
                <c:pt idx="0">
                  <c:v>0</c:v>
                </c:pt>
                <c:pt idx="1">
                  <c:v>8.0000000000000043E-2</c:v>
                </c:pt>
                <c:pt idx="2">
                  <c:v>0.17</c:v>
                </c:pt>
                <c:pt idx="3">
                  <c:v>0.25</c:v>
                </c:pt>
                <c:pt idx="4">
                  <c:v>0.33000000000000146</c:v>
                </c:pt>
                <c:pt idx="5">
                  <c:v>0.42000000000000032</c:v>
                </c:pt>
                <c:pt idx="6">
                  <c:v>0.5</c:v>
                </c:pt>
                <c:pt idx="7">
                  <c:v>0.58000000000000007</c:v>
                </c:pt>
                <c:pt idx="8">
                  <c:v>0.67000000000000293</c:v>
                </c:pt>
                <c:pt idx="9">
                  <c:v>0.75000000000000233</c:v>
                </c:pt>
                <c:pt idx="10">
                  <c:v>0.83000000000000063</c:v>
                </c:pt>
                <c:pt idx="11">
                  <c:v>0.92</c:v>
                </c:pt>
                <c:pt idx="12">
                  <c:v>1</c:v>
                </c:pt>
                <c:pt idx="13">
                  <c:v>1.08</c:v>
                </c:pt>
                <c:pt idx="14">
                  <c:v>1.1700000000000021</c:v>
                </c:pt>
                <c:pt idx="15">
                  <c:v>1.25</c:v>
                </c:pt>
                <c:pt idx="16">
                  <c:v>1.33</c:v>
                </c:pt>
                <c:pt idx="17">
                  <c:v>1.42</c:v>
                </c:pt>
                <c:pt idx="18">
                  <c:v>1.5</c:v>
                </c:pt>
                <c:pt idx="19">
                  <c:v>1.58</c:v>
                </c:pt>
                <c:pt idx="20">
                  <c:v>1.6700000000000021</c:v>
                </c:pt>
                <c:pt idx="21">
                  <c:v>1.75</c:v>
                </c:pt>
                <c:pt idx="22">
                  <c:v>1.83</c:v>
                </c:pt>
                <c:pt idx="23">
                  <c:v>1.9200000000000021</c:v>
                </c:pt>
                <c:pt idx="24">
                  <c:v>2</c:v>
                </c:pt>
                <c:pt idx="25">
                  <c:v>2.08</c:v>
                </c:pt>
                <c:pt idx="26">
                  <c:v>2.17</c:v>
                </c:pt>
                <c:pt idx="27">
                  <c:v>2.25</c:v>
                </c:pt>
                <c:pt idx="28">
                  <c:v>2.3299999999999987</c:v>
                </c:pt>
                <c:pt idx="29">
                  <c:v>2.42</c:v>
                </c:pt>
                <c:pt idx="30">
                  <c:v>2.5</c:v>
                </c:pt>
                <c:pt idx="31">
                  <c:v>2.58</c:v>
                </c:pt>
                <c:pt idx="32">
                  <c:v>2.67</c:v>
                </c:pt>
                <c:pt idx="33">
                  <c:v>2.75</c:v>
                </c:pt>
                <c:pt idx="34">
                  <c:v>2.8299999999999987</c:v>
                </c:pt>
                <c:pt idx="35">
                  <c:v>2.92</c:v>
                </c:pt>
                <c:pt idx="36">
                  <c:v>3</c:v>
                </c:pt>
                <c:pt idx="37">
                  <c:v>3.08</c:v>
                </c:pt>
                <c:pt idx="38">
                  <c:v>3.17</c:v>
                </c:pt>
                <c:pt idx="39">
                  <c:v>3.25</c:v>
                </c:pt>
                <c:pt idx="40">
                  <c:v>3.3299999999999987</c:v>
                </c:pt>
                <c:pt idx="41">
                  <c:v>3.42</c:v>
                </c:pt>
                <c:pt idx="42">
                  <c:v>3.5</c:v>
                </c:pt>
                <c:pt idx="43">
                  <c:v>3.58</c:v>
                </c:pt>
                <c:pt idx="44">
                  <c:v>3.67</c:v>
                </c:pt>
                <c:pt idx="45">
                  <c:v>3.75</c:v>
                </c:pt>
                <c:pt idx="46">
                  <c:v>3.8299999999999987</c:v>
                </c:pt>
                <c:pt idx="47">
                  <c:v>3.92</c:v>
                </c:pt>
                <c:pt idx="48">
                  <c:v>4</c:v>
                </c:pt>
                <c:pt idx="49">
                  <c:v>4.08</c:v>
                </c:pt>
                <c:pt idx="50">
                  <c:v>4.17</c:v>
                </c:pt>
                <c:pt idx="51">
                  <c:v>4.25</c:v>
                </c:pt>
                <c:pt idx="52">
                  <c:v>4.33</c:v>
                </c:pt>
                <c:pt idx="53">
                  <c:v>4.42</c:v>
                </c:pt>
                <c:pt idx="54">
                  <c:v>4.5</c:v>
                </c:pt>
                <c:pt idx="55">
                  <c:v>4.58</c:v>
                </c:pt>
                <c:pt idx="56">
                  <c:v>4.67</c:v>
                </c:pt>
                <c:pt idx="57">
                  <c:v>4.75</c:v>
                </c:pt>
                <c:pt idx="58">
                  <c:v>4.83</c:v>
                </c:pt>
                <c:pt idx="59">
                  <c:v>4.92</c:v>
                </c:pt>
                <c:pt idx="60">
                  <c:v>5</c:v>
                </c:pt>
                <c:pt idx="61">
                  <c:v>5.08</c:v>
                </c:pt>
                <c:pt idx="62">
                  <c:v>5.17</c:v>
                </c:pt>
                <c:pt idx="63">
                  <c:v>5.25</c:v>
                </c:pt>
                <c:pt idx="64">
                  <c:v>5.33</c:v>
                </c:pt>
                <c:pt idx="65">
                  <c:v>5.42</c:v>
                </c:pt>
                <c:pt idx="66">
                  <c:v>5.5</c:v>
                </c:pt>
                <c:pt idx="67">
                  <c:v>5.58</c:v>
                </c:pt>
                <c:pt idx="68">
                  <c:v>5.67</c:v>
                </c:pt>
                <c:pt idx="69">
                  <c:v>5.75</c:v>
                </c:pt>
                <c:pt idx="70">
                  <c:v>5.83</c:v>
                </c:pt>
                <c:pt idx="71">
                  <c:v>5.92</c:v>
                </c:pt>
              </c:numCache>
            </c:numRef>
          </c:xVal>
          <c:yVal>
            <c:numRef>
              <c:f>'Hyd Maus'!$C$2:$C$73</c:f>
              <c:numCache>
                <c:formatCode>General</c:formatCode>
                <c:ptCount val="72"/>
                <c:pt idx="0">
                  <c:v>0</c:v>
                </c:pt>
                <c:pt idx="1">
                  <c:v>0</c:v>
                </c:pt>
                <c:pt idx="2">
                  <c:v>0</c:v>
                </c:pt>
                <c:pt idx="3">
                  <c:v>0</c:v>
                </c:pt>
                <c:pt idx="4">
                  <c:v>0</c:v>
                </c:pt>
                <c:pt idx="5">
                  <c:v>1.0000000000000051E-4</c:v>
                </c:pt>
                <c:pt idx="6">
                  <c:v>8.5400000000000004E-2</c:v>
                </c:pt>
                <c:pt idx="7">
                  <c:v>0.49170000000000008</c:v>
                </c:pt>
                <c:pt idx="8">
                  <c:v>1.9691000000000001</c:v>
                </c:pt>
                <c:pt idx="9">
                  <c:v>5.1833</c:v>
                </c:pt>
                <c:pt idx="10">
                  <c:v>8.5724000000000267</c:v>
                </c:pt>
                <c:pt idx="11">
                  <c:v>9.7623000000000015</c:v>
                </c:pt>
                <c:pt idx="12">
                  <c:v>8.4805000000000028</c:v>
                </c:pt>
                <c:pt idx="13">
                  <c:v>6.6360999999999999</c:v>
                </c:pt>
                <c:pt idx="14">
                  <c:v>5.3926999999999996</c:v>
                </c:pt>
                <c:pt idx="15">
                  <c:v>4.6193999999999997</c:v>
                </c:pt>
                <c:pt idx="16">
                  <c:v>4.0867000000000004</c:v>
                </c:pt>
                <c:pt idx="17">
                  <c:v>3.6362999999999968</c:v>
                </c:pt>
                <c:pt idx="18">
                  <c:v>3.3091999999999997</c:v>
                </c:pt>
                <c:pt idx="19">
                  <c:v>2.9771999999999998</c:v>
                </c:pt>
                <c:pt idx="20">
                  <c:v>2.5981999999999998</c:v>
                </c:pt>
                <c:pt idx="21">
                  <c:v>2.2589999999999999</c:v>
                </c:pt>
                <c:pt idx="22">
                  <c:v>2.0385</c:v>
                </c:pt>
                <c:pt idx="23">
                  <c:v>1.8663000000000001</c:v>
                </c:pt>
                <c:pt idx="24">
                  <c:v>1.7217999999999924</c:v>
                </c:pt>
                <c:pt idx="25">
                  <c:v>1.6027</c:v>
                </c:pt>
                <c:pt idx="26">
                  <c:v>1.4763999999999955</c:v>
                </c:pt>
                <c:pt idx="27">
                  <c:v>1.289199999999995</c:v>
                </c:pt>
                <c:pt idx="28">
                  <c:v>1.0401</c:v>
                </c:pt>
                <c:pt idx="29">
                  <c:v>0.79339999999999999</c:v>
                </c:pt>
                <c:pt idx="30">
                  <c:v>0.58760000000000001</c:v>
                </c:pt>
                <c:pt idx="31">
                  <c:v>0.43130000000000146</c:v>
                </c:pt>
                <c:pt idx="32">
                  <c:v>0.31140000000000123</c:v>
                </c:pt>
                <c:pt idx="33">
                  <c:v>0.22489999999999999</c:v>
                </c:pt>
                <c:pt idx="34">
                  <c:v>0.16389999999999999</c:v>
                </c:pt>
                <c:pt idx="35">
                  <c:v>0.12130000000000002</c:v>
                </c:pt>
                <c:pt idx="36">
                  <c:v>9.11E-2</c:v>
                </c:pt>
                <c:pt idx="37">
                  <c:v>6.9700000000000123E-2</c:v>
                </c:pt>
                <c:pt idx="38">
                  <c:v>5.3900000000000003E-2</c:v>
                </c:pt>
                <c:pt idx="39">
                  <c:v>4.2299999999999997E-2</c:v>
                </c:pt>
                <c:pt idx="40">
                  <c:v>3.3500000000000002E-2</c:v>
                </c:pt>
                <c:pt idx="41">
                  <c:v>2.6900000000000011E-2</c:v>
                </c:pt>
                <c:pt idx="42">
                  <c:v>2.1700000000000001E-2</c:v>
                </c:pt>
                <c:pt idx="43">
                  <c:v>1.77E-2</c:v>
                </c:pt>
                <c:pt idx="44">
                  <c:v>1.4500000000000001E-2</c:v>
                </c:pt>
                <c:pt idx="45">
                  <c:v>1.2100000000000001E-2</c:v>
                </c:pt>
                <c:pt idx="46">
                  <c:v>1.0000000000000005E-2</c:v>
                </c:pt>
                <c:pt idx="47">
                  <c:v>8.4000000000000047E-3</c:v>
                </c:pt>
                <c:pt idx="48">
                  <c:v>7.1000000000000004E-3</c:v>
                </c:pt>
                <c:pt idx="49">
                  <c:v>6.0000000000000114E-3</c:v>
                </c:pt>
                <c:pt idx="50">
                  <c:v>5.1999999999999998E-3</c:v>
                </c:pt>
                <c:pt idx="51">
                  <c:v>4.4000000000000124E-3</c:v>
                </c:pt>
                <c:pt idx="52">
                  <c:v>3.8000000000000052E-3</c:v>
                </c:pt>
                <c:pt idx="53">
                  <c:v>3.3000000000000052E-3</c:v>
                </c:pt>
                <c:pt idx="54">
                  <c:v>2.8999999999999998E-3</c:v>
                </c:pt>
                <c:pt idx="55">
                  <c:v>2.5000000000000092E-3</c:v>
                </c:pt>
                <c:pt idx="56">
                  <c:v>2.2000000000000092E-3</c:v>
                </c:pt>
                <c:pt idx="57">
                  <c:v>1.9000000000000098E-3</c:v>
                </c:pt>
                <c:pt idx="58">
                  <c:v>1.7000000000000055E-3</c:v>
                </c:pt>
                <c:pt idx="59">
                  <c:v>1.5000000000000046E-3</c:v>
                </c:pt>
                <c:pt idx="60">
                  <c:v>1.2999999999999978E-3</c:v>
                </c:pt>
                <c:pt idx="61">
                  <c:v>1.1999999999999999E-3</c:v>
                </c:pt>
                <c:pt idx="62">
                  <c:v>1.0000000000000041E-3</c:v>
                </c:pt>
                <c:pt idx="63">
                  <c:v>9.0000000000000247E-4</c:v>
                </c:pt>
                <c:pt idx="64">
                  <c:v>8.0000000000000264E-4</c:v>
                </c:pt>
                <c:pt idx="65">
                  <c:v>7.0000000000000314E-4</c:v>
                </c:pt>
                <c:pt idx="66">
                  <c:v>7.0000000000000314E-4</c:v>
                </c:pt>
                <c:pt idx="67">
                  <c:v>6.0000000000000266E-4</c:v>
                </c:pt>
                <c:pt idx="68">
                  <c:v>5.0000000000000034E-4</c:v>
                </c:pt>
                <c:pt idx="69">
                  <c:v>5.0000000000000034E-4</c:v>
                </c:pt>
                <c:pt idx="70">
                  <c:v>5.0000000000000034E-4</c:v>
                </c:pt>
                <c:pt idx="71">
                  <c:v>4.0000000000000034E-4</c:v>
                </c:pt>
              </c:numCache>
            </c:numRef>
          </c:yVal>
          <c:smooth val="0"/>
        </c:ser>
        <c:ser>
          <c:idx val="2"/>
          <c:order val="2"/>
          <c:tx>
            <c:strRef>
              <c:f>'Hyd Maus'!$D$1</c:f>
              <c:strCache>
                <c:ptCount val="1"/>
                <c:pt idx="0">
                  <c:v>5% AEP</c:v>
                </c:pt>
              </c:strCache>
            </c:strRef>
          </c:tx>
          <c:marker>
            <c:symbol val="none"/>
          </c:marker>
          <c:xVal>
            <c:numRef>
              <c:f>'Hyd Maus'!$A$2:$A$73</c:f>
              <c:numCache>
                <c:formatCode>General</c:formatCode>
                <c:ptCount val="72"/>
                <c:pt idx="0">
                  <c:v>0</c:v>
                </c:pt>
                <c:pt idx="1">
                  <c:v>8.0000000000000043E-2</c:v>
                </c:pt>
                <c:pt idx="2">
                  <c:v>0.17</c:v>
                </c:pt>
                <c:pt idx="3">
                  <c:v>0.25</c:v>
                </c:pt>
                <c:pt idx="4">
                  <c:v>0.33000000000000146</c:v>
                </c:pt>
                <c:pt idx="5">
                  <c:v>0.42000000000000032</c:v>
                </c:pt>
                <c:pt idx="6">
                  <c:v>0.5</c:v>
                </c:pt>
                <c:pt idx="7">
                  <c:v>0.58000000000000007</c:v>
                </c:pt>
                <c:pt idx="8">
                  <c:v>0.67000000000000293</c:v>
                </c:pt>
                <c:pt idx="9">
                  <c:v>0.75000000000000233</c:v>
                </c:pt>
                <c:pt idx="10">
                  <c:v>0.83000000000000063</c:v>
                </c:pt>
                <c:pt idx="11">
                  <c:v>0.92</c:v>
                </c:pt>
                <c:pt idx="12">
                  <c:v>1</c:v>
                </c:pt>
                <c:pt idx="13">
                  <c:v>1.08</c:v>
                </c:pt>
                <c:pt idx="14">
                  <c:v>1.1700000000000021</c:v>
                </c:pt>
                <c:pt idx="15">
                  <c:v>1.25</c:v>
                </c:pt>
                <c:pt idx="16">
                  <c:v>1.33</c:v>
                </c:pt>
                <c:pt idx="17">
                  <c:v>1.42</c:v>
                </c:pt>
                <c:pt idx="18">
                  <c:v>1.5</c:v>
                </c:pt>
                <c:pt idx="19">
                  <c:v>1.58</c:v>
                </c:pt>
                <c:pt idx="20">
                  <c:v>1.6700000000000021</c:v>
                </c:pt>
                <c:pt idx="21">
                  <c:v>1.75</c:v>
                </c:pt>
                <c:pt idx="22">
                  <c:v>1.83</c:v>
                </c:pt>
                <c:pt idx="23">
                  <c:v>1.9200000000000021</c:v>
                </c:pt>
                <c:pt idx="24">
                  <c:v>2</c:v>
                </c:pt>
                <c:pt idx="25">
                  <c:v>2.08</c:v>
                </c:pt>
                <c:pt idx="26">
                  <c:v>2.17</c:v>
                </c:pt>
                <c:pt idx="27">
                  <c:v>2.25</c:v>
                </c:pt>
                <c:pt idx="28">
                  <c:v>2.3299999999999987</c:v>
                </c:pt>
                <c:pt idx="29">
                  <c:v>2.42</c:v>
                </c:pt>
                <c:pt idx="30">
                  <c:v>2.5</c:v>
                </c:pt>
                <c:pt idx="31">
                  <c:v>2.58</c:v>
                </c:pt>
                <c:pt idx="32">
                  <c:v>2.67</c:v>
                </c:pt>
                <c:pt idx="33">
                  <c:v>2.75</c:v>
                </c:pt>
                <c:pt idx="34">
                  <c:v>2.8299999999999987</c:v>
                </c:pt>
                <c:pt idx="35">
                  <c:v>2.92</c:v>
                </c:pt>
                <c:pt idx="36">
                  <c:v>3</c:v>
                </c:pt>
                <c:pt idx="37">
                  <c:v>3.08</c:v>
                </c:pt>
                <c:pt idx="38">
                  <c:v>3.17</c:v>
                </c:pt>
                <c:pt idx="39">
                  <c:v>3.25</c:v>
                </c:pt>
                <c:pt idx="40">
                  <c:v>3.3299999999999987</c:v>
                </c:pt>
                <c:pt idx="41">
                  <c:v>3.42</c:v>
                </c:pt>
                <c:pt idx="42">
                  <c:v>3.5</c:v>
                </c:pt>
                <c:pt idx="43">
                  <c:v>3.58</c:v>
                </c:pt>
                <c:pt idx="44">
                  <c:v>3.67</c:v>
                </c:pt>
                <c:pt idx="45">
                  <c:v>3.75</c:v>
                </c:pt>
                <c:pt idx="46">
                  <c:v>3.8299999999999987</c:v>
                </c:pt>
                <c:pt idx="47">
                  <c:v>3.92</c:v>
                </c:pt>
                <c:pt idx="48">
                  <c:v>4</c:v>
                </c:pt>
                <c:pt idx="49">
                  <c:v>4.08</c:v>
                </c:pt>
                <c:pt idx="50">
                  <c:v>4.17</c:v>
                </c:pt>
                <c:pt idx="51">
                  <c:v>4.25</c:v>
                </c:pt>
                <c:pt idx="52">
                  <c:v>4.33</c:v>
                </c:pt>
                <c:pt idx="53">
                  <c:v>4.42</c:v>
                </c:pt>
                <c:pt idx="54">
                  <c:v>4.5</c:v>
                </c:pt>
                <c:pt idx="55">
                  <c:v>4.58</c:v>
                </c:pt>
                <c:pt idx="56">
                  <c:v>4.67</c:v>
                </c:pt>
                <c:pt idx="57">
                  <c:v>4.75</c:v>
                </c:pt>
                <c:pt idx="58">
                  <c:v>4.83</c:v>
                </c:pt>
                <c:pt idx="59">
                  <c:v>4.92</c:v>
                </c:pt>
                <c:pt idx="60">
                  <c:v>5</c:v>
                </c:pt>
                <c:pt idx="61">
                  <c:v>5.08</c:v>
                </c:pt>
                <c:pt idx="62">
                  <c:v>5.17</c:v>
                </c:pt>
                <c:pt idx="63">
                  <c:v>5.25</c:v>
                </c:pt>
                <c:pt idx="64">
                  <c:v>5.33</c:v>
                </c:pt>
                <c:pt idx="65">
                  <c:v>5.42</c:v>
                </c:pt>
                <c:pt idx="66">
                  <c:v>5.5</c:v>
                </c:pt>
                <c:pt idx="67">
                  <c:v>5.58</c:v>
                </c:pt>
                <c:pt idx="68">
                  <c:v>5.67</c:v>
                </c:pt>
                <c:pt idx="69">
                  <c:v>5.75</c:v>
                </c:pt>
                <c:pt idx="70">
                  <c:v>5.83</c:v>
                </c:pt>
                <c:pt idx="71">
                  <c:v>5.92</c:v>
                </c:pt>
              </c:numCache>
            </c:numRef>
          </c:xVal>
          <c:yVal>
            <c:numRef>
              <c:f>'Hyd Maus'!$D$2:$D$73</c:f>
              <c:numCache>
                <c:formatCode>General</c:formatCode>
                <c:ptCount val="72"/>
                <c:pt idx="0">
                  <c:v>0</c:v>
                </c:pt>
                <c:pt idx="1">
                  <c:v>0</c:v>
                </c:pt>
                <c:pt idx="2">
                  <c:v>0</c:v>
                </c:pt>
                <c:pt idx="3">
                  <c:v>0</c:v>
                </c:pt>
                <c:pt idx="4">
                  <c:v>0</c:v>
                </c:pt>
                <c:pt idx="5">
                  <c:v>6.0000000000000266E-4</c:v>
                </c:pt>
                <c:pt idx="6">
                  <c:v>0.25669999999999998</c:v>
                </c:pt>
                <c:pt idx="7">
                  <c:v>1.1556</c:v>
                </c:pt>
                <c:pt idx="8">
                  <c:v>3.5966999999999967</c:v>
                </c:pt>
                <c:pt idx="9">
                  <c:v>8.3449000000000009</c:v>
                </c:pt>
                <c:pt idx="10">
                  <c:v>12.5276</c:v>
                </c:pt>
                <c:pt idx="11">
                  <c:v>13.1686</c:v>
                </c:pt>
                <c:pt idx="12">
                  <c:v>10.757900000000001</c:v>
                </c:pt>
                <c:pt idx="13">
                  <c:v>8.1748000000000012</c:v>
                </c:pt>
                <c:pt idx="14">
                  <c:v>6.6153999999999975</c:v>
                </c:pt>
                <c:pt idx="15">
                  <c:v>5.7117000000000004</c:v>
                </c:pt>
                <c:pt idx="16">
                  <c:v>5.0844999999999985</c:v>
                </c:pt>
                <c:pt idx="17">
                  <c:v>4.5209999999999955</c:v>
                </c:pt>
                <c:pt idx="18">
                  <c:v>4.124499999999979</c:v>
                </c:pt>
                <c:pt idx="19">
                  <c:v>3.7084999999999999</c:v>
                </c:pt>
                <c:pt idx="20">
                  <c:v>3.2248999999999999</c:v>
                </c:pt>
                <c:pt idx="21">
                  <c:v>2.7915999999999999</c:v>
                </c:pt>
                <c:pt idx="22">
                  <c:v>2.5215999999999998</c:v>
                </c:pt>
                <c:pt idx="23">
                  <c:v>2.3101999999999987</c:v>
                </c:pt>
                <c:pt idx="24">
                  <c:v>2.13</c:v>
                </c:pt>
                <c:pt idx="25">
                  <c:v>1.9851000000000001</c:v>
                </c:pt>
                <c:pt idx="26">
                  <c:v>1.83</c:v>
                </c:pt>
                <c:pt idx="27">
                  <c:v>1.587599999999995</c:v>
                </c:pt>
                <c:pt idx="28">
                  <c:v>1.262799999999995</c:v>
                </c:pt>
                <c:pt idx="29">
                  <c:v>0.94780000000000064</c:v>
                </c:pt>
                <c:pt idx="30">
                  <c:v>0.69080000000000064</c:v>
                </c:pt>
                <c:pt idx="31">
                  <c:v>0.49880000000000146</c:v>
                </c:pt>
                <c:pt idx="32">
                  <c:v>0.35390000000000038</c:v>
                </c:pt>
                <c:pt idx="33">
                  <c:v>0.25219999999999998</c:v>
                </c:pt>
                <c:pt idx="34">
                  <c:v>0.18200000000000024</c:v>
                </c:pt>
                <c:pt idx="35">
                  <c:v>0.1336</c:v>
                </c:pt>
                <c:pt idx="36">
                  <c:v>9.9700000000000066E-2</c:v>
                </c:pt>
                <c:pt idx="37">
                  <c:v>7.5900000000000009E-2</c:v>
                </c:pt>
                <c:pt idx="38">
                  <c:v>5.8299999999999998E-2</c:v>
                </c:pt>
                <c:pt idx="39">
                  <c:v>4.5600000000000002E-2</c:v>
                </c:pt>
                <c:pt idx="40">
                  <c:v>3.5999999999999997E-2</c:v>
                </c:pt>
                <c:pt idx="41">
                  <c:v>2.8799999999999999E-2</c:v>
                </c:pt>
                <c:pt idx="42">
                  <c:v>2.3099999999999999E-2</c:v>
                </c:pt>
                <c:pt idx="43">
                  <c:v>1.8900000000000073E-2</c:v>
                </c:pt>
                <c:pt idx="44">
                  <c:v>1.5400000000000021E-2</c:v>
                </c:pt>
                <c:pt idx="45">
                  <c:v>1.2800000000000021E-2</c:v>
                </c:pt>
                <c:pt idx="46">
                  <c:v>1.0600000000000021E-2</c:v>
                </c:pt>
                <c:pt idx="47">
                  <c:v>8.9000000000000207E-3</c:v>
                </c:pt>
                <c:pt idx="48">
                  <c:v>7.5000000000000231E-3</c:v>
                </c:pt>
                <c:pt idx="49">
                  <c:v>6.3000000000000113E-3</c:v>
                </c:pt>
                <c:pt idx="50">
                  <c:v>5.4000000000000124E-3</c:v>
                </c:pt>
                <c:pt idx="51">
                  <c:v>4.6000000000000034E-3</c:v>
                </c:pt>
                <c:pt idx="52">
                  <c:v>4.0000000000000114E-3</c:v>
                </c:pt>
                <c:pt idx="53">
                  <c:v>3.4000000000000107E-3</c:v>
                </c:pt>
                <c:pt idx="54">
                  <c:v>3.0000000000000092E-3</c:v>
                </c:pt>
                <c:pt idx="55">
                  <c:v>2.5999999999999999E-3</c:v>
                </c:pt>
                <c:pt idx="56">
                  <c:v>2.3000000000000052E-3</c:v>
                </c:pt>
                <c:pt idx="57">
                  <c:v>2.0000000000000052E-3</c:v>
                </c:pt>
                <c:pt idx="58">
                  <c:v>1.7000000000000055E-3</c:v>
                </c:pt>
                <c:pt idx="59">
                  <c:v>1.5000000000000046E-3</c:v>
                </c:pt>
                <c:pt idx="60">
                  <c:v>1.4000000000000041E-3</c:v>
                </c:pt>
                <c:pt idx="61">
                  <c:v>1.1999999999999999E-3</c:v>
                </c:pt>
                <c:pt idx="62">
                  <c:v>1.1000000000000051E-3</c:v>
                </c:pt>
                <c:pt idx="63">
                  <c:v>1.0000000000000041E-3</c:v>
                </c:pt>
                <c:pt idx="64">
                  <c:v>9.0000000000000247E-4</c:v>
                </c:pt>
                <c:pt idx="65">
                  <c:v>8.0000000000000264E-4</c:v>
                </c:pt>
                <c:pt idx="66">
                  <c:v>7.0000000000000314E-4</c:v>
                </c:pt>
                <c:pt idx="67">
                  <c:v>6.0000000000000266E-4</c:v>
                </c:pt>
                <c:pt idx="68">
                  <c:v>6.0000000000000266E-4</c:v>
                </c:pt>
                <c:pt idx="69">
                  <c:v>5.0000000000000034E-4</c:v>
                </c:pt>
                <c:pt idx="70">
                  <c:v>5.0000000000000034E-4</c:v>
                </c:pt>
                <c:pt idx="71">
                  <c:v>4.0000000000000034E-4</c:v>
                </c:pt>
              </c:numCache>
            </c:numRef>
          </c:yVal>
          <c:smooth val="0"/>
        </c:ser>
        <c:ser>
          <c:idx val="3"/>
          <c:order val="3"/>
          <c:tx>
            <c:strRef>
              <c:f>'Hyd Maus'!$E$1</c:f>
              <c:strCache>
                <c:ptCount val="1"/>
                <c:pt idx="0">
                  <c:v>1% AEP</c:v>
                </c:pt>
              </c:strCache>
            </c:strRef>
          </c:tx>
          <c:marker>
            <c:symbol val="none"/>
          </c:marker>
          <c:xVal>
            <c:numRef>
              <c:f>'Hyd Maus'!$A$2:$A$73</c:f>
              <c:numCache>
                <c:formatCode>General</c:formatCode>
                <c:ptCount val="72"/>
                <c:pt idx="0">
                  <c:v>0</c:v>
                </c:pt>
                <c:pt idx="1">
                  <c:v>8.0000000000000043E-2</c:v>
                </c:pt>
                <c:pt idx="2">
                  <c:v>0.17</c:v>
                </c:pt>
                <c:pt idx="3">
                  <c:v>0.25</c:v>
                </c:pt>
                <c:pt idx="4">
                  <c:v>0.33000000000000146</c:v>
                </c:pt>
                <c:pt idx="5">
                  <c:v>0.42000000000000032</c:v>
                </c:pt>
                <c:pt idx="6">
                  <c:v>0.5</c:v>
                </c:pt>
                <c:pt idx="7">
                  <c:v>0.58000000000000007</c:v>
                </c:pt>
                <c:pt idx="8">
                  <c:v>0.67000000000000293</c:v>
                </c:pt>
                <c:pt idx="9">
                  <c:v>0.75000000000000233</c:v>
                </c:pt>
                <c:pt idx="10">
                  <c:v>0.83000000000000063</c:v>
                </c:pt>
                <c:pt idx="11">
                  <c:v>0.92</c:v>
                </c:pt>
                <c:pt idx="12">
                  <c:v>1</c:v>
                </c:pt>
                <c:pt idx="13">
                  <c:v>1.08</c:v>
                </c:pt>
                <c:pt idx="14">
                  <c:v>1.1700000000000021</c:v>
                </c:pt>
                <c:pt idx="15">
                  <c:v>1.25</c:v>
                </c:pt>
                <c:pt idx="16">
                  <c:v>1.33</c:v>
                </c:pt>
                <c:pt idx="17">
                  <c:v>1.42</c:v>
                </c:pt>
                <c:pt idx="18">
                  <c:v>1.5</c:v>
                </c:pt>
                <c:pt idx="19">
                  <c:v>1.58</c:v>
                </c:pt>
                <c:pt idx="20">
                  <c:v>1.6700000000000021</c:v>
                </c:pt>
                <c:pt idx="21">
                  <c:v>1.75</c:v>
                </c:pt>
                <c:pt idx="22">
                  <c:v>1.83</c:v>
                </c:pt>
                <c:pt idx="23">
                  <c:v>1.9200000000000021</c:v>
                </c:pt>
                <c:pt idx="24">
                  <c:v>2</c:v>
                </c:pt>
                <c:pt idx="25">
                  <c:v>2.08</c:v>
                </c:pt>
                <c:pt idx="26">
                  <c:v>2.17</c:v>
                </c:pt>
                <c:pt idx="27">
                  <c:v>2.25</c:v>
                </c:pt>
                <c:pt idx="28">
                  <c:v>2.3299999999999987</c:v>
                </c:pt>
                <c:pt idx="29">
                  <c:v>2.42</c:v>
                </c:pt>
                <c:pt idx="30">
                  <c:v>2.5</c:v>
                </c:pt>
                <c:pt idx="31">
                  <c:v>2.58</c:v>
                </c:pt>
                <c:pt idx="32">
                  <c:v>2.67</c:v>
                </c:pt>
                <c:pt idx="33">
                  <c:v>2.75</c:v>
                </c:pt>
                <c:pt idx="34">
                  <c:v>2.8299999999999987</c:v>
                </c:pt>
                <c:pt idx="35">
                  <c:v>2.92</c:v>
                </c:pt>
                <c:pt idx="36">
                  <c:v>3</c:v>
                </c:pt>
                <c:pt idx="37">
                  <c:v>3.08</c:v>
                </c:pt>
                <c:pt idx="38">
                  <c:v>3.17</c:v>
                </c:pt>
                <c:pt idx="39">
                  <c:v>3.25</c:v>
                </c:pt>
                <c:pt idx="40">
                  <c:v>3.3299999999999987</c:v>
                </c:pt>
                <c:pt idx="41">
                  <c:v>3.42</c:v>
                </c:pt>
                <c:pt idx="42">
                  <c:v>3.5</c:v>
                </c:pt>
                <c:pt idx="43">
                  <c:v>3.58</c:v>
                </c:pt>
                <c:pt idx="44">
                  <c:v>3.67</c:v>
                </c:pt>
                <c:pt idx="45">
                  <c:v>3.75</c:v>
                </c:pt>
                <c:pt idx="46">
                  <c:v>3.8299999999999987</c:v>
                </c:pt>
                <c:pt idx="47">
                  <c:v>3.92</c:v>
                </c:pt>
                <c:pt idx="48">
                  <c:v>4</c:v>
                </c:pt>
                <c:pt idx="49">
                  <c:v>4.08</c:v>
                </c:pt>
                <c:pt idx="50">
                  <c:v>4.17</c:v>
                </c:pt>
                <c:pt idx="51">
                  <c:v>4.25</c:v>
                </c:pt>
                <c:pt idx="52">
                  <c:v>4.33</c:v>
                </c:pt>
                <c:pt idx="53">
                  <c:v>4.42</c:v>
                </c:pt>
                <c:pt idx="54">
                  <c:v>4.5</c:v>
                </c:pt>
                <c:pt idx="55">
                  <c:v>4.58</c:v>
                </c:pt>
                <c:pt idx="56">
                  <c:v>4.67</c:v>
                </c:pt>
                <c:pt idx="57">
                  <c:v>4.75</c:v>
                </c:pt>
                <c:pt idx="58">
                  <c:v>4.83</c:v>
                </c:pt>
                <c:pt idx="59">
                  <c:v>4.92</c:v>
                </c:pt>
                <c:pt idx="60">
                  <c:v>5</c:v>
                </c:pt>
                <c:pt idx="61">
                  <c:v>5.08</c:v>
                </c:pt>
                <c:pt idx="62">
                  <c:v>5.17</c:v>
                </c:pt>
                <c:pt idx="63">
                  <c:v>5.25</c:v>
                </c:pt>
                <c:pt idx="64">
                  <c:v>5.33</c:v>
                </c:pt>
                <c:pt idx="65">
                  <c:v>5.42</c:v>
                </c:pt>
                <c:pt idx="66">
                  <c:v>5.5</c:v>
                </c:pt>
                <c:pt idx="67">
                  <c:v>5.58</c:v>
                </c:pt>
                <c:pt idx="68">
                  <c:v>5.67</c:v>
                </c:pt>
                <c:pt idx="69">
                  <c:v>5.75</c:v>
                </c:pt>
                <c:pt idx="70">
                  <c:v>5.83</c:v>
                </c:pt>
                <c:pt idx="71">
                  <c:v>5.92</c:v>
                </c:pt>
              </c:numCache>
            </c:numRef>
          </c:xVal>
          <c:yVal>
            <c:numRef>
              <c:f>'Hyd Maus'!$E$2:$E$73</c:f>
              <c:numCache>
                <c:formatCode>General</c:formatCode>
                <c:ptCount val="72"/>
                <c:pt idx="0">
                  <c:v>0</c:v>
                </c:pt>
                <c:pt idx="1">
                  <c:v>0</c:v>
                </c:pt>
                <c:pt idx="2">
                  <c:v>2.0000000000000052E-4</c:v>
                </c:pt>
                <c:pt idx="3">
                  <c:v>0.95140000000000002</c:v>
                </c:pt>
                <c:pt idx="4">
                  <c:v>6.4603000000000002</c:v>
                </c:pt>
                <c:pt idx="5">
                  <c:v>15.8573</c:v>
                </c:pt>
                <c:pt idx="6">
                  <c:v>21.575099999999924</c:v>
                </c:pt>
                <c:pt idx="7">
                  <c:v>19.0459</c:v>
                </c:pt>
                <c:pt idx="8">
                  <c:v>12.839400000000024</c:v>
                </c:pt>
                <c:pt idx="9">
                  <c:v>7.7617000000000003</c:v>
                </c:pt>
                <c:pt idx="10">
                  <c:v>4.3311000000000002</c:v>
                </c:pt>
                <c:pt idx="11">
                  <c:v>2.5400999999999998</c:v>
                </c:pt>
                <c:pt idx="12">
                  <c:v>1.5461</c:v>
                </c:pt>
                <c:pt idx="13">
                  <c:v>0.94370000000000065</c:v>
                </c:pt>
                <c:pt idx="14">
                  <c:v>0.60300000000000065</c:v>
                </c:pt>
                <c:pt idx="15">
                  <c:v>0.39770000000000111</c:v>
                </c:pt>
                <c:pt idx="16">
                  <c:v>0.27340000000000031</c:v>
                </c:pt>
                <c:pt idx="17">
                  <c:v>0.1953</c:v>
                </c:pt>
                <c:pt idx="18">
                  <c:v>0.14130000000000001</c:v>
                </c:pt>
                <c:pt idx="19">
                  <c:v>0.10410000000000012</c:v>
                </c:pt>
                <c:pt idx="20">
                  <c:v>7.920000000000002E-2</c:v>
                </c:pt>
                <c:pt idx="21">
                  <c:v>5.9800000000000124E-2</c:v>
                </c:pt>
                <c:pt idx="22">
                  <c:v>4.6899999999999997E-2</c:v>
                </c:pt>
                <c:pt idx="23">
                  <c:v>3.6400000000000016E-2</c:v>
                </c:pt>
                <c:pt idx="24">
                  <c:v>2.9100000000000001E-2</c:v>
                </c:pt>
                <c:pt idx="25">
                  <c:v>2.3199999999999988E-2</c:v>
                </c:pt>
                <c:pt idx="26">
                  <c:v>1.8900000000000073E-2</c:v>
                </c:pt>
                <c:pt idx="27">
                  <c:v>1.5299999999999998E-2</c:v>
                </c:pt>
                <c:pt idx="28">
                  <c:v>1.2699999999999998E-2</c:v>
                </c:pt>
                <c:pt idx="29">
                  <c:v>1.0500000000000021E-2</c:v>
                </c:pt>
                <c:pt idx="30">
                  <c:v>8.8000000000000248E-3</c:v>
                </c:pt>
                <c:pt idx="31">
                  <c:v>7.3000000000000113E-3</c:v>
                </c:pt>
                <c:pt idx="32">
                  <c:v>6.2000000000000223E-3</c:v>
                </c:pt>
                <c:pt idx="33">
                  <c:v>5.3000000000000104E-3</c:v>
                </c:pt>
                <c:pt idx="34">
                  <c:v>4.5000000000000014E-3</c:v>
                </c:pt>
                <c:pt idx="35">
                  <c:v>3.9000000000000107E-3</c:v>
                </c:pt>
                <c:pt idx="36">
                  <c:v>3.4000000000000107E-3</c:v>
                </c:pt>
                <c:pt idx="37">
                  <c:v>2.8999999999999998E-3</c:v>
                </c:pt>
                <c:pt idx="38">
                  <c:v>2.5000000000000092E-3</c:v>
                </c:pt>
                <c:pt idx="39">
                  <c:v>2.2000000000000092E-3</c:v>
                </c:pt>
                <c:pt idx="40">
                  <c:v>1.9000000000000098E-3</c:v>
                </c:pt>
                <c:pt idx="41">
                  <c:v>1.7000000000000055E-3</c:v>
                </c:pt>
                <c:pt idx="42">
                  <c:v>1.5000000000000046E-3</c:v>
                </c:pt>
                <c:pt idx="43">
                  <c:v>1.2999999999999978E-3</c:v>
                </c:pt>
                <c:pt idx="44">
                  <c:v>1.1999999999999999E-3</c:v>
                </c:pt>
                <c:pt idx="45">
                  <c:v>1.0000000000000041E-3</c:v>
                </c:pt>
                <c:pt idx="46">
                  <c:v>9.0000000000000247E-4</c:v>
                </c:pt>
                <c:pt idx="47">
                  <c:v>8.0000000000000264E-4</c:v>
                </c:pt>
                <c:pt idx="48">
                  <c:v>8.0000000000000264E-4</c:v>
                </c:pt>
                <c:pt idx="49">
                  <c:v>7.0000000000000314E-4</c:v>
                </c:pt>
                <c:pt idx="50">
                  <c:v>6.0000000000000266E-4</c:v>
                </c:pt>
                <c:pt idx="51">
                  <c:v>5.0000000000000034E-4</c:v>
                </c:pt>
                <c:pt idx="52">
                  <c:v>5.0000000000000034E-4</c:v>
                </c:pt>
                <c:pt idx="53">
                  <c:v>5.0000000000000034E-4</c:v>
                </c:pt>
                <c:pt idx="54">
                  <c:v>4.0000000000000034E-4</c:v>
                </c:pt>
                <c:pt idx="55">
                  <c:v>4.0000000000000034E-4</c:v>
                </c:pt>
                <c:pt idx="56">
                  <c:v>3.0000000000000138E-4</c:v>
                </c:pt>
                <c:pt idx="57">
                  <c:v>3.0000000000000138E-4</c:v>
                </c:pt>
                <c:pt idx="58">
                  <c:v>3.0000000000000138E-4</c:v>
                </c:pt>
                <c:pt idx="59">
                  <c:v>3.0000000000000138E-4</c:v>
                </c:pt>
                <c:pt idx="60">
                  <c:v>2.0000000000000052E-4</c:v>
                </c:pt>
                <c:pt idx="61">
                  <c:v>2.0000000000000052E-4</c:v>
                </c:pt>
                <c:pt idx="62">
                  <c:v>2.0000000000000052E-4</c:v>
                </c:pt>
                <c:pt idx="63">
                  <c:v>2.0000000000000052E-4</c:v>
                </c:pt>
                <c:pt idx="64">
                  <c:v>2.0000000000000052E-4</c:v>
                </c:pt>
                <c:pt idx="65">
                  <c:v>2.0000000000000052E-4</c:v>
                </c:pt>
                <c:pt idx="66">
                  <c:v>1.0000000000000051E-4</c:v>
                </c:pt>
                <c:pt idx="67">
                  <c:v>1.0000000000000051E-4</c:v>
                </c:pt>
                <c:pt idx="68">
                  <c:v>1.0000000000000051E-4</c:v>
                </c:pt>
                <c:pt idx="69">
                  <c:v>1.0000000000000051E-4</c:v>
                </c:pt>
                <c:pt idx="70">
                  <c:v>1.0000000000000051E-4</c:v>
                </c:pt>
                <c:pt idx="71">
                  <c:v>1.0000000000000051E-4</c:v>
                </c:pt>
              </c:numCache>
            </c:numRef>
          </c:yVal>
          <c:smooth val="0"/>
        </c:ser>
        <c:dLbls>
          <c:showLegendKey val="0"/>
          <c:showVal val="0"/>
          <c:showCatName val="0"/>
          <c:showSerName val="0"/>
          <c:showPercent val="0"/>
          <c:showBubbleSize val="0"/>
        </c:dLbls>
        <c:axId val="153050496"/>
        <c:axId val="153884160"/>
      </c:scatterChart>
      <c:valAx>
        <c:axId val="153050496"/>
        <c:scaling>
          <c:orientation val="minMax"/>
          <c:max val="3"/>
        </c:scaling>
        <c:delete val="0"/>
        <c:axPos val="b"/>
        <c:title>
          <c:tx>
            <c:rich>
              <a:bodyPr/>
              <a:lstStyle/>
              <a:p>
                <a:pPr>
                  <a:defRPr lang="en-AU"/>
                </a:pPr>
                <a:r>
                  <a:rPr lang="en-AU"/>
                  <a:t>Time (hours)</a:t>
                </a:r>
              </a:p>
            </c:rich>
          </c:tx>
          <c:layout/>
          <c:overlay val="0"/>
        </c:title>
        <c:numFmt formatCode="General" sourceLinked="1"/>
        <c:majorTickMark val="out"/>
        <c:minorTickMark val="none"/>
        <c:tickLblPos val="nextTo"/>
        <c:txPr>
          <a:bodyPr/>
          <a:lstStyle/>
          <a:p>
            <a:pPr>
              <a:defRPr lang="en-AU"/>
            </a:pPr>
            <a:endParaRPr lang="en-US"/>
          </a:p>
        </c:txPr>
        <c:crossAx val="153884160"/>
        <c:crosses val="autoZero"/>
        <c:crossBetween val="midCat"/>
      </c:valAx>
      <c:valAx>
        <c:axId val="153884160"/>
        <c:scaling>
          <c:orientation val="minMax"/>
        </c:scaling>
        <c:delete val="0"/>
        <c:axPos val="l"/>
        <c:majorGridlines/>
        <c:title>
          <c:tx>
            <c:rich>
              <a:bodyPr rot="-5400000" vert="horz"/>
              <a:lstStyle/>
              <a:p>
                <a:pPr>
                  <a:defRPr lang="en-AU"/>
                </a:pPr>
                <a:r>
                  <a:rPr lang="en-AU"/>
                  <a:t>Flow (m</a:t>
                </a:r>
                <a:r>
                  <a:rPr lang="en-AU" baseline="30000"/>
                  <a:t>3</a:t>
                </a:r>
                <a:r>
                  <a:rPr lang="en-AU"/>
                  <a:t>/s)</a:t>
                </a:r>
              </a:p>
            </c:rich>
          </c:tx>
          <c:layout/>
          <c:overlay val="0"/>
        </c:title>
        <c:numFmt formatCode="General" sourceLinked="1"/>
        <c:majorTickMark val="out"/>
        <c:minorTickMark val="none"/>
        <c:tickLblPos val="nextTo"/>
        <c:txPr>
          <a:bodyPr/>
          <a:lstStyle/>
          <a:p>
            <a:pPr>
              <a:defRPr lang="en-AU"/>
            </a:pPr>
            <a:endParaRPr lang="en-US"/>
          </a:p>
        </c:txPr>
        <c:crossAx val="153050496"/>
        <c:crosses val="autoZero"/>
        <c:crossBetween val="midCat"/>
      </c:valAx>
    </c:plotArea>
    <c:legend>
      <c:legendPos val="r"/>
      <c:layout/>
      <c:overlay val="0"/>
      <c:txPr>
        <a:bodyPr/>
        <a:lstStyle/>
        <a:p>
          <a:pPr>
            <a:defRPr lang="en-AU"/>
          </a:pPr>
          <a:endParaRPr lang="en-US"/>
        </a:p>
      </c:txPr>
    </c:legend>
    <c:plotVisOnly val="1"/>
    <c:dispBlanksAs val="gap"/>
    <c:showDLblsOverMax val="0"/>
  </c:chart>
  <c:spPr>
    <a:ln w="6350">
      <a:solidFill>
        <a:sysClr val="windowText" lastClr="000000"/>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'Hyd Ros'!$B$1</c:f>
              <c:strCache>
                <c:ptCount val="1"/>
                <c:pt idx="0">
                  <c:v>20% AEP</c:v>
                </c:pt>
              </c:strCache>
            </c:strRef>
          </c:tx>
          <c:marker>
            <c:symbol val="none"/>
          </c:marker>
          <c:xVal>
            <c:numRef>
              <c:f>'Hyd Ros'!$A$2:$A$73</c:f>
              <c:numCache>
                <c:formatCode>General</c:formatCode>
                <c:ptCount val="72"/>
                <c:pt idx="0">
                  <c:v>0</c:v>
                </c:pt>
                <c:pt idx="1">
                  <c:v>8.0000000000000043E-2</c:v>
                </c:pt>
                <c:pt idx="2">
                  <c:v>0.17</c:v>
                </c:pt>
                <c:pt idx="3">
                  <c:v>0.25</c:v>
                </c:pt>
                <c:pt idx="4">
                  <c:v>0.33000000000000146</c:v>
                </c:pt>
                <c:pt idx="5">
                  <c:v>0.42000000000000032</c:v>
                </c:pt>
                <c:pt idx="6">
                  <c:v>0.5</c:v>
                </c:pt>
                <c:pt idx="7">
                  <c:v>0.58000000000000007</c:v>
                </c:pt>
                <c:pt idx="8">
                  <c:v>0.67000000000000293</c:v>
                </c:pt>
                <c:pt idx="9">
                  <c:v>0.75000000000000233</c:v>
                </c:pt>
                <c:pt idx="10">
                  <c:v>0.83000000000000063</c:v>
                </c:pt>
                <c:pt idx="11">
                  <c:v>0.92</c:v>
                </c:pt>
                <c:pt idx="12">
                  <c:v>1</c:v>
                </c:pt>
                <c:pt idx="13">
                  <c:v>1.08</c:v>
                </c:pt>
                <c:pt idx="14">
                  <c:v>1.1700000000000021</c:v>
                </c:pt>
                <c:pt idx="15">
                  <c:v>1.25</c:v>
                </c:pt>
                <c:pt idx="16">
                  <c:v>1.33</c:v>
                </c:pt>
                <c:pt idx="17">
                  <c:v>1.42</c:v>
                </c:pt>
                <c:pt idx="18">
                  <c:v>1.5</c:v>
                </c:pt>
                <c:pt idx="19">
                  <c:v>1.58</c:v>
                </c:pt>
                <c:pt idx="20">
                  <c:v>1.6700000000000021</c:v>
                </c:pt>
                <c:pt idx="21">
                  <c:v>1.75</c:v>
                </c:pt>
                <c:pt idx="22">
                  <c:v>1.83</c:v>
                </c:pt>
                <c:pt idx="23">
                  <c:v>1.9200000000000021</c:v>
                </c:pt>
                <c:pt idx="24">
                  <c:v>2</c:v>
                </c:pt>
                <c:pt idx="25">
                  <c:v>2.08</c:v>
                </c:pt>
                <c:pt idx="26">
                  <c:v>2.17</c:v>
                </c:pt>
                <c:pt idx="27">
                  <c:v>2.25</c:v>
                </c:pt>
                <c:pt idx="28">
                  <c:v>2.3299999999999987</c:v>
                </c:pt>
                <c:pt idx="29">
                  <c:v>2.42</c:v>
                </c:pt>
                <c:pt idx="30">
                  <c:v>2.5</c:v>
                </c:pt>
                <c:pt idx="31">
                  <c:v>2.58</c:v>
                </c:pt>
                <c:pt idx="32">
                  <c:v>2.67</c:v>
                </c:pt>
                <c:pt idx="33">
                  <c:v>2.75</c:v>
                </c:pt>
                <c:pt idx="34">
                  <c:v>2.8299999999999987</c:v>
                </c:pt>
                <c:pt idx="35">
                  <c:v>2.92</c:v>
                </c:pt>
                <c:pt idx="36">
                  <c:v>3</c:v>
                </c:pt>
                <c:pt idx="37">
                  <c:v>3.08</c:v>
                </c:pt>
                <c:pt idx="38">
                  <c:v>3.17</c:v>
                </c:pt>
                <c:pt idx="39">
                  <c:v>3.25</c:v>
                </c:pt>
                <c:pt idx="40">
                  <c:v>3.3299999999999987</c:v>
                </c:pt>
                <c:pt idx="41">
                  <c:v>3.42</c:v>
                </c:pt>
                <c:pt idx="42">
                  <c:v>3.5</c:v>
                </c:pt>
                <c:pt idx="43">
                  <c:v>3.58</c:v>
                </c:pt>
                <c:pt idx="44">
                  <c:v>3.67</c:v>
                </c:pt>
                <c:pt idx="45">
                  <c:v>3.75</c:v>
                </c:pt>
                <c:pt idx="46">
                  <c:v>3.8299999999999987</c:v>
                </c:pt>
                <c:pt idx="47">
                  <c:v>3.92</c:v>
                </c:pt>
                <c:pt idx="48">
                  <c:v>4</c:v>
                </c:pt>
                <c:pt idx="49">
                  <c:v>4.08</c:v>
                </c:pt>
                <c:pt idx="50">
                  <c:v>4.17</c:v>
                </c:pt>
                <c:pt idx="51">
                  <c:v>4.25</c:v>
                </c:pt>
                <c:pt idx="52">
                  <c:v>4.33</c:v>
                </c:pt>
                <c:pt idx="53">
                  <c:v>4.42</c:v>
                </c:pt>
                <c:pt idx="54">
                  <c:v>4.5</c:v>
                </c:pt>
                <c:pt idx="55">
                  <c:v>4.58</c:v>
                </c:pt>
                <c:pt idx="56">
                  <c:v>4.67</c:v>
                </c:pt>
                <c:pt idx="57">
                  <c:v>4.75</c:v>
                </c:pt>
                <c:pt idx="58">
                  <c:v>4.83</c:v>
                </c:pt>
                <c:pt idx="59">
                  <c:v>4.92</c:v>
                </c:pt>
                <c:pt idx="60">
                  <c:v>5</c:v>
                </c:pt>
                <c:pt idx="61">
                  <c:v>5.08</c:v>
                </c:pt>
                <c:pt idx="62">
                  <c:v>5.17</c:v>
                </c:pt>
                <c:pt idx="63">
                  <c:v>5.25</c:v>
                </c:pt>
                <c:pt idx="64">
                  <c:v>5.33</c:v>
                </c:pt>
                <c:pt idx="65">
                  <c:v>5.42</c:v>
                </c:pt>
                <c:pt idx="66">
                  <c:v>5.5</c:v>
                </c:pt>
                <c:pt idx="67">
                  <c:v>5.58</c:v>
                </c:pt>
                <c:pt idx="68">
                  <c:v>5.67</c:v>
                </c:pt>
                <c:pt idx="69">
                  <c:v>5.75</c:v>
                </c:pt>
                <c:pt idx="70">
                  <c:v>5.83</c:v>
                </c:pt>
                <c:pt idx="71">
                  <c:v>5.92</c:v>
                </c:pt>
              </c:numCache>
            </c:numRef>
          </c:xVal>
          <c:yVal>
            <c:numRef>
              <c:f>'Hyd Ros'!$B$2:$B$73</c:f>
              <c:numCache>
                <c:formatCode>General</c:formatCode>
                <c:ptCount val="72"/>
                <c:pt idx="0">
                  <c:v>0</c:v>
                </c:pt>
                <c:pt idx="1">
                  <c:v>0</c:v>
                </c:pt>
                <c:pt idx="2">
                  <c:v>0</c:v>
                </c:pt>
                <c:pt idx="3">
                  <c:v>0</c:v>
                </c:pt>
                <c:pt idx="4">
                  <c:v>0</c:v>
                </c:pt>
                <c:pt idx="5">
                  <c:v>0</c:v>
                </c:pt>
                <c:pt idx="6">
                  <c:v>2.1000000000000012E-2</c:v>
                </c:pt>
                <c:pt idx="7">
                  <c:v>0.19650000000000001</c:v>
                </c:pt>
                <c:pt idx="8">
                  <c:v>1.1480999999999999</c:v>
                </c:pt>
                <c:pt idx="9">
                  <c:v>3.1025999999999998</c:v>
                </c:pt>
                <c:pt idx="10">
                  <c:v>5.6665999999999945</c:v>
                </c:pt>
                <c:pt idx="11">
                  <c:v>8.5616000000000003</c:v>
                </c:pt>
                <c:pt idx="12">
                  <c:v>10.6151</c:v>
                </c:pt>
                <c:pt idx="13">
                  <c:v>11.2133</c:v>
                </c:pt>
                <c:pt idx="14">
                  <c:v>10.843300000000001</c:v>
                </c:pt>
                <c:pt idx="15">
                  <c:v>10.041600000000001</c:v>
                </c:pt>
                <c:pt idx="16">
                  <c:v>9.1684000000000001</c:v>
                </c:pt>
                <c:pt idx="17">
                  <c:v>8.5074000000000005</c:v>
                </c:pt>
                <c:pt idx="18">
                  <c:v>8.0104000000000006</c:v>
                </c:pt>
                <c:pt idx="19">
                  <c:v>7.51</c:v>
                </c:pt>
                <c:pt idx="20">
                  <c:v>7.0087999999999999</c:v>
                </c:pt>
                <c:pt idx="21">
                  <c:v>6.5755999999999997</c:v>
                </c:pt>
                <c:pt idx="22">
                  <c:v>6.2188999999999997</c:v>
                </c:pt>
                <c:pt idx="23">
                  <c:v>5.9005000000000001</c:v>
                </c:pt>
                <c:pt idx="24">
                  <c:v>5.6486000000000001</c:v>
                </c:pt>
                <c:pt idx="25">
                  <c:v>5.4389000000000003</c:v>
                </c:pt>
                <c:pt idx="26">
                  <c:v>5.2135999999999996</c:v>
                </c:pt>
                <c:pt idx="27">
                  <c:v>4.9371</c:v>
                </c:pt>
                <c:pt idx="28">
                  <c:v>4.6252999999999975</c:v>
                </c:pt>
                <c:pt idx="29">
                  <c:v>4.3006000000000002</c:v>
                </c:pt>
                <c:pt idx="30">
                  <c:v>3.9917999999999987</c:v>
                </c:pt>
                <c:pt idx="31">
                  <c:v>3.7127999999999997</c:v>
                </c:pt>
                <c:pt idx="32">
                  <c:v>3.4672999999999998</c:v>
                </c:pt>
                <c:pt idx="33">
                  <c:v>3.2585999999999999</c:v>
                </c:pt>
                <c:pt idx="34">
                  <c:v>3.0882000000000001</c:v>
                </c:pt>
                <c:pt idx="35">
                  <c:v>2.9529999999999967</c:v>
                </c:pt>
                <c:pt idx="36">
                  <c:v>2.8459999999999988</c:v>
                </c:pt>
                <c:pt idx="37">
                  <c:v>2.7593000000000001</c:v>
                </c:pt>
                <c:pt idx="38">
                  <c:v>2.6858</c:v>
                </c:pt>
                <c:pt idx="39">
                  <c:v>2.6191</c:v>
                </c:pt>
                <c:pt idx="40">
                  <c:v>2.5543</c:v>
                </c:pt>
                <c:pt idx="41">
                  <c:v>2.4876999999999998</c:v>
                </c:pt>
                <c:pt idx="42">
                  <c:v>2.4173999999999998</c:v>
                </c:pt>
                <c:pt idx="43">
                  <c:v>2.3418999999999977</c:v>
                </c:pt>
                <c:pt idx="44">
                  <c:v>2.2589999999999999</c:v>
                </c:pt>
                <c:pt idx="45">
                  <c:v>2.1657000000000002</c:v>
                </c:pt>
                <c:pt idx="46">
                  <c:v>2.0593999999999997</c:v>
                </c:pt>
                <c:pt idx="47">
                  <c:v>1.9381999999999999</c:v>
                </c:pt>
                <c:pt idx="48">
                  <c:v>1.8015999999999948</c:v>
                </c:pt>
                <c:pt idx="49">
                  <c:v>1.6501999999999999</c:v>
                </c:pt>
                <c:pt idx="50">
                  <c:v>1.4828999999999952</c:v>
                </c:pt>
                <c:pt idx="51">
                  <c:v>1.297299999999995</c:v>
                </c:pt>
                <c:pt idx="52">
                  <c:v>1.097599999999995</c:v>
                </c:pt>
                <c:pt idx="53">
                  <c:v>0.90159999999999996</c:v>
                </c:pt>
                <c:pt idx="54">
                  <c:v>0.73200000000000065</c:v>
                </c:pt>
                <c:pt idx="55">
                  <c:v>0.60210000000000063</c:v>
                </c:pt>
                <c:pt idx="56">
                  <c:v>0.51070000000000004</c:v>
                </c:pt>
                <c:pt idx="57">
                  <c:v>0.44879999999999998</c:v>
                </c:pt>
                <c:pt idx="58">
                  <c:v>0.40640000000000032</c:v>
                </c:pt>
                <c:pt idx="59">
                  <c:v>0.37590000000000123</c:v>
                </c:pt>
                <c:pt idx="60">
                  <c:v>0.35240000000000032</c:v>
                </c:pt>
                <c:pt idx="61">
                  <c:v>0.33320000000000038</c:v>
                </c:pt>
                <c:pt idx="62">
                  <c:v>0.31680000000000164</c:v>
                </c:pt>
                <c:pt idx="63">
                  <c:v>0.30220000000000002</c:v>
                </c:pt>
                <c:pt idx="64">
                  <c:v>0.28910000000000002</c:v>
                </c:pt>
                <c:pt idx="65">
                  <c:v>0.27710000000000001</c:v>
                </c:pt>
                <c:pt idx="66">
                  <c:v>0.26570000000000005</c:v>
                </c:pt>
                <c:pt idx="67">
                  <c:v>0.25469999999999998</c:v>
                </c:pt>
                <c:pt idx="68">
                  <c:v>0.24350000000000024</c:v>
                </c:pt>
                <c:pt idx="69">
                  <c:v>0.2321</c:v>
                </c:pt>
                <c:pt idx="70">
                  <c:v>0.2205</c:v>
                </c:pt>
                <c:pt idx="71">
                  <c:v>0.20890000000000059</c:v>
                </c:pt>
              </c:numCache>
            </c:numRef>
          </c:yVal>
          <c:smooth val="0"/>
        </c:ser>
        <c:ser>
          <c:idx val="1"/>
          <c:order val="1"/>
          <c:tx>
            <c:strRef>
              <c:f>'Hyd Ros'!$C$1</c:f>
              <c:strCache>
                <c:ptCount val="1"/>
                <c:pt idx="0">
                  <c:v>10% AEP</c:v>
                </c:pt>
              </c:strCache>
            </c:strRef>
          </c:tx>
          <c:marker>
            <c:symbol val="none"/>
          </c:marker>
          <c:xVal>
            <c:numRef>
              <c:f>'Hyd Ros'!$A$2:$A$73</c:f>
              <c:numCache>
                <c:formatCode>General</c:formatCode>
                <c:ptCount val="72"/>
                <c:pt idx="0">
                  <c:v>0</c:v>
                </c:pt>
                <c:pt idx="1">
                  <c:v>8.0000000000000043E-2</c:v>
                </c:pt>
                <c:pt idx="2">
                  <c:v>0.17</c:v>
                </c:pt>
                <c:pt idx="3">
                  <c:v>0.25</c:v>
                </c:pt>
                <c:pt idx="4">
                  <c:v>0.33000000000000146</c:v>
                </c:pt>
                <c:pt idx="5">
                  <c:v>0.42000000000000032</c:v>
                </c:pt>
                <c:pt idx="6">
                  <c:v>0.5</c:v>
                </c:pt>
                <c:pt idx="7">
                  <c:v>0.58000000000000007</c:v>
                </c:pt>
                <c:pt idx="8">
                  <c:v>0.67000000000000293</c:v>
                </c:pt>
                <c:pt idx="9">
                  <c:v>0.75000000000000233</c:v>
                </c:pt>
                <c:pt idx="10">
                  <c:v>0.83000000000000063</c:v>
                </c:pt>
                <c:pt idx="11">
                  <c:v>0.92</c:v>
                </c:pt>
                <c:pt idx="12">
                  <c:v>1</c:v>
                </c:pt>
                <c:pt idx="13">
                  <c:v>1.08</c:v>
                </c:pt>
                <c:pt idx="14">
                  <c:v>1.1700000000000021</c:v>
                </c:pt>
                <c:pt idx="15">
                  <c:v>1.25</c:v>
                </c:pt>
                <c:pt idx="16">
                  <c:v>1.33</c:v>
                </c:pt>
                <c:pt idx="17">
                  <c:v>1.42</c:v>
                </c:pt>
                <c:pt idx="18">
                  <c:v>1.5</c:v>
                </c:pt>
                <c:pt idx="19">
                  <c:v>1.58</c:v>
                </c:pt>
                <c:pt idx="20">
                  <c:v>1.6700000000000021</c:v>
                </c:pt>
                <c:pt idx="21">
                  <c:v>1.75</c:v>
                </c:pt>
                <c:pt idx="22">
                  <c:v>1.83</c:v>
                </c:pt>
                <c:pt idx="23">
                  <c:v>1.9200000000000021</c:v>
                </c:pt>
                <c:pt idx="24">
                  <c:v>2</c:v>
                </c:pt>
                <c:pt idx="25">
                  <c:v>2.08</c:v>
                </c:pt>
                <c:pt idx="26">
                  <c:v>2.17</c:v>
                </c:pt>
                <c:pt idx="27">
                  <c:v>2.25</c:v>
                </c:pt>
                <c:pt idx="28">
                  <c:v>2.3299999999999987</c:v>
                </c:pt>
                <c:pt idx="29">
                  <c:v>2.42</c:v>
                </c:pt>
                <c:pt idx="30">
                  <c:v>2.5</c:v>
                </c:pt>
                <c:pt idx="31">
                  <c:v>2.58</c:v>
                </c:pt>
                <c:pt idx="32">
                  <c:v>2.67</c:v>
                </c:pt>
                <c:pt idx="33">
                  <c:v>2.75</c:v>
                </c:pt>
                <c:pt idx="34">
                  <c:v>2.8299999999999987</c:v>
                </c:pt>
                <c:pt idx="35">
                  <c:v>2.92</c:v>
                </c:pt>
                <c:pt idx="36">
                  <c:v>3</c:v>
                </c:pt>
                <c:pt idx="37">
                  <c:v>3.08</c:v>
                </c:pt>
                <c:pt idx="38">
                  <c:v>3.17</c:v>
                </c:pt>
                <c:pt idx="39">
                  <c:v>3.25</c:v>
                </c:pt>
                <c:pt idx="40">
                  <c:v>3.3299999999999987</c:v>
                </c:pt>
                <c:pt idx="41">
                  <c:v>3.42</c:v>
                </c:pt>
                <c:pt idx="42">
                  <c:v>3.5</c:v>
                </c:pt>
                <c:pt idx="43">
                  <c:v>3.58</c:v>
                </c:pt>
                <c:pt idx="44">
                  <c:v>3.67</c:v>
                </c:pt>
                <c:pt idx="45">
                  <c:v>3.75</c:v>
                </c:pt>
                <c:pt idx="46">
                  <c:v>3.8299999999999987</c:v>
                </c:pt>
                <c:pt idx="47">
                  <c:v>3.92</c:v>
                </c:pt>
                <c:pt idx="48">
                  <c:v>4</c:v>
                </c:pt>
                <c:pt idx="49">
                  <c:v>4.08</c:v>
                </c:pt>
                <c:pt idx="50">
                  <c:v>4.17</c:v>
                </c:pt>
                <c:pt idx="51">
                  <c:v>4.25</c:v>
                </c:pt>
                <c:pt idx="52">
                  <c:v>4.33</c:v>
                </c:pt>
                <c:pt idx="53">
                  <c:v>4.42</c:v>
                </c:pt>
                <c:pt idx="54">
                  <c:v>4.5</c:v>
                </c:pt>
                <c:pt idx="55">
                  <c:v>4.58</c:v>
                </c:pt>
                <c:pt idx="56">
                  <c:v>4.67</c:v>
                </c:pt>
                <c:pt idx="57">
                  <c:v>4.75</c:v>
                </c:pt>
                <c:pt idx="58">
                  <c:v>4.83</c:v>
                </c:pt>
                <c:pt idx="59">
                  <c:v>4.92</c:v>
                </c:pt>
                <c:pt idx="60">
                  <c:v>5</c:v>
                </c:pt>
                <c:pt idx="61">
                  <c:v>5.08</c:v>
                </c:pt>
                <c:pt idx="62">
                  <c:v>5.17</c:v>
                </c:pt>
                <c:pt idx="63">
                  <c:v>5.25</c:v>
                </c:pt>
                <c:pt idx="64">
                  <c:v>5.33</c:v>
                </c:pt>
                <c:pt idx="65">
                  <c:v>5.42</c:v>
                </c:pt>
                <c:pt idx="66">
                  <c:v>5.5</c:v>
                </c:pt>
                <c:pt idx="67">
                  <c:v>5.58</c:v>
                </c:pt>
                <c:pt idx="68">
                  <c:v>5.67</c:v>
                </c:pt>
                <c:pt idx="69">
                  <c:v>5.75</c:v>
                </c:pt>
                <c:pt idx="70">
                  <c:v>5.83</c:v>
                </c:pt>
                <c:pt idx="71">
                  <c:v>5.92</c:v>
                </c:pt>
              </c:numCache>
            </c:numRef>
          </c:xVal>
          <c:yVal>
            <c:numRef>
              <c:f>'Hyd Ros'!$C$2:$C$73</c:f>
              <c:numCache>
                <c:formatCode>General</c:formatCode>
                <c:ptCount val="72"/>
                <c:pt idx="0">
                  <c:v>0</c:v>
                </c:pt>
                <c:pt idx="1">
                  <c:v>0</c:v>
                </c:pt>
                <c:pt idx="2">
                  <c:v>0</c:v>
                </c:pt>
                <c:pt idx="3">
                  <c:v>0</c:v>
                </c:pt>
                <c:pt idx="4">
                  <c:v>0</c:v>
                </c:pt>
                <c:pt idx="5">
                  <c:v>0</c:v>
                </c:pt>
                <c:pt idx="6">
                  <c:v>0.12429999999999999</c:v>
                </c:pt>
                <c:pt idx="7">
                  <c:v>0.52139999999999997</c:v>
                </c:pt>
                <c:pt idx="8">
                  <c:v>1.9977</c:v>
                </c:pt>
                <c:pt idx="9">
                  <c:v>5.0273999999999965</c:v>
                </c:pt>
                <c:pt idx="10">
                  <c:v>8.9284000000000017</c:v>
                </c:pt>
                <c:pt idx="11">
                  <c:v>12.864500000000024</c:v>
                </c:pt>
                <c:pt idx="12">
                  <c:v>15.0396</c:v>
                </c:pt>
                <c:pt idx="13">
                  <c:v>15.0007</c:v>
                </c:pt>
                <c:pt idx="14">
                  <c:v>13.816500000000024</c:v>
                </c:pt>
                <c:pt idx="15">
                  <c:v>12.3809</c:v>
                </c:pt>
                <c:pt idx="16">
                  <c:v>11.2003</c:v>
                </c:pt>
                <c:pt idx="17">
                  <c:v>10.432</c:v>
                </c:pt>
                <c:pt idx="18">
                  <c:v>9.8689</c:v>
                </c:pt>
                <c:pt idx="19">
                  <c:v>9.2861000000000011</c:v>
                </c:pt>
                <c:pt idx="20">
                  <c:v>8.696200000000001</c:v>
                </c:pt>
                <c:pt idx="21">
                  <c:v>8.1828000000000003</c:v>
                </c:pt>
                <c:pt idx="22">
                  <c:v>7.7610000000000001</c:v>
                </c:pt>
                <c:pt idx="23">
                  <c:v>7.3822000000000001</c:v>
                </c:pt>
                <c:pt idx="24">
                  <c:v>7.0880999999999998</c:v>
                </c:pt>
                <c:pt idx="25">
                  <c:v>6.8550999999999975</c:v>
                </c:pt>
                <c:pt idx="26">
                  <c:v>6.6082000000000001</c:v>
                </c:pt>
                <c:pt idx="27">
                  <c:v>6.2919999999999998</c:v>
                </c:pt>
                <c:pt idx="28">
                  <c:v>5.9146999999999998</c:v>
                </c:pt>
                <c:pt idx="29">
                  <c:v>5.4903000000000004</c:v>
                </c:pt>
                <c:pt idx="30">
                  <c:v>5.0514000000000001</c:v>
                </c:pt>
                <c:pt idx="31">
                  <c:v>4.6374999999999975</c:v>
                </c:pt>
                <c:pt idx="32">
                  <c:v>4.2869000000000002</c:v>
                </c:pt>
                <c:pt idx="33">
                  <c:v>4.0171999999999946</c:v>
                </c:pt>
                <c:pt idx="34">
                  <c:v>3.8176999999999977</c:v>
                </c:pt>
                <c:pt idx="35">
                  <c:v>3.6633000000000098</c:v>
                </c:pt>
                <c:pt idx="36">
                  <c:v>3.5358999999999967</c:v>
                </c:pt>
                <c:pt idx="37">
                  <c:v>3.4277000000000002</c:v>
                </c:pt>
                <c:pt idx="38">
                  <c:v>3.3360999999999899</c:v>
                </c:pt>
                <c:pt idx="39">
                  <c:v>3.2600000000000002</c:v>
                </c:pt>
                <c:pt idx="40">
                  <c:v>3.1970999999999998</c:v>
                </c:pt>
                <c:pt idx="41">
                  <c:v>3.1440999999999999</c:v>
                </c:pt>
                <c:pt idx="42">
                  <c:v>3.0975000000000001</c:v>
                </c:pt>
                <c:pt idx="43">
                  <c:v>3.0550999999999977</c:v>
                </c:pt>
                <c:pt idx="44">
                  <c:v>3.0152999999999968</c:v>
                </c:pt>
                <c:pt idx="45">
                  <c:v>2.9768999999999899</c:v>
                </c:pt>
                <c:pt idx="46">
                  <c:v>2.9385999999999997</c:v>
                </c:pt>
                <c:pt idx="47">
                  <c:v>2.8995999999999977</c:v>
                </c:pt>
                <c:pt idx="48">
                  <c:v>2.8588999999999967</c:v>
                </c:pt>
                <c:pt idx="49">
                  <c:v>2.8163999999999967</c:v>
                </c:pt>
                <c:pt idx="50">
                  <c:v>2.7726999999999977</c:v>
                </c:pt>
                <c:pt idx="51">
                  <c:v>2.7282999999999999</c:v>
                </c:pt>
                <c:pt idx="52">
                  <c:v>2.6823999999999999</c:v>
                </c:pt>
                <c:pt idx="53">
                  <c:v>2.6327999999999987</c:v>
                </c:pt>
                <c:pt idx="54">
                  <c:v>2.5749</c:v>
                </c:pt>
                <c:pt idx="55">
                  <c:v>2.5030000000000001</c:v>
                </c:pt>
                <c:pt idx="56">
                  <c:v>2.4110999999999967</c:v>
                </c:pt>
                <c:pt idx="57">
                  <c:v>2.2963</c:v>
                </c:pt>
                <c:pt idx="58">
                  <c:v>2.1583000000000001</c:v>
                </c:pt>
                <c:pt idx="59">
                  <c:v>1.9990000000000001</c:v>
                </c:pt>
                <c:pt idx="60">
                  <c:v>1.819499999999995</c:v>
                </c:pt>
                <c:pt idx="61">
                  <c:v>1.617899999999995</c:v>
                </c:pt>
                <c:pt idx="62">
                  <c:v>1.3909</c:v>
                </c:pt>
                <c:pt idx="63">
                  <c:v>1.1449</c:v>
                </c:pt>
                <c:pt idx="64">
                  <c:v>0.90410000000000001</c:v>
                </c:pt>
                <c:pt idx="65">
                  <c:v>0.69850000000000001</c:v>
                </c:pt>
                <c:pt idx="66">
                  <c:v>0.54420000000000002</c:v>
                </c:pt>
                <c:pt idx="67">
                  <c:v>0.43850000000000111</c:v>
                </c:pt>
                <c:pt idx="68">
                  <c:v>0.36880000000000146</c:v>
                </c:pt>
                <c:pt idx="69">
                  <c:v>0.32230000000000164</c:v>
                </c:pt>
                <c:pt idx="70">
                  <c:v>0.28980000000000111</c:v>
                </c:pt>
                <c:pt idx="71">
                  <c:v>0.2656</c:v>
                </c:pt>
              </c:numCache>
            </c:numRef>
          </c:yVal>
          <c:smooth val="0"/>
        </c:ser>
        <c:ser>
          <c:idx val="2"/>
          <c:order val="2"/>
          <c:tx>
            <c:strRef>
              <c:f>'Hyd Ros'!$D$1</c:f>
              <c:strCache>
                <c:ptCount val="1"/>
                <c:pt idx="0">
                  <c:v>5% AEP</c:v>
                </c:pt>
              </c:strCache>
            </c:strRef>
          </c:tx>
          <c:marker>
            <c:symbol val="none"/>
          </c:marker>
          <c:xVal>
            <c:numRef>
              <c:f>'Hyd Ros'!$A$2:$A$73</c:f>
              <c:numCache>
                <c:formatCode>General</c:formatCode>
                <c:ptCount val="72"/>
                <c:pt idx="0">
                  <c:v>0</c:v>
                </c:pt>
                <c:pt idx="1">
                  <c:v>8.0000000000000043E-2</c:v>
                </c:pt>
                <c:pt idx="2">
                  <c:v>0.17</c:v>
                </c:pt>
                <c:pt idx="3">
                  <c:v>0.25</c:v>
                </c:pt>
                <c:pt idx="4">
                  <c:v>0.33000000000000146</c:v>
                </c:pt>
                <c:pt idx="5">
                  <c:v>0.42000000000000032</c:v>
                </c:pt>
                <c:pt idx="6">
                  <c:v>0.5</c:v>
                </c:pt>
                <c:pt idx="7">
                  <c:v>0.58000000000000007</c:v>
                </c:pt>
                <c:pt idx="8">
                  <c:v>0.67000000000000293</c:v>
                </c:pt>
                <c:pt idx="9">
                  <c:v>0.75000000000000233</c:v>
                </c:pt>
                <c:pt idx="10">
                  <c:v>0.83000000000000063</c:v>
                </c:pt>
                <c:pt idx="11">
                  <c:v>0.92</c:v>
                </c:pt>
                <c:pt idx="12">
                  <c:v>1</c:v>
                </c:pt>
                <c:pt idx="13">
                  <c:v>1.08</c:v>
                </c:pt>
                <c:pt idx="14">
                  <c:v>1.1700000000000021</c:v>
                </c:pt>
                <c:pt idx="15">
                  <c:v>1.25</c:v>
                </c:pt>
                <c:pt idx="16">
                  <c:v>1.33</c:v>
                </c:pt>
                <c:pt idx="17">
                  <c:v>1.42</c:v>
                </c:pt>
                <c:pt idx="18">
                  <c:v>1.5</c:v>
                </c:pt>
                <c:pt idx="19">
                  <c:v>1.58</c:v>
                </c:pt>
                <c:pt idx="20">
                  <c:v>1.6700000000000021</c:v>
                </c:pt>
                <c:pt idx="21">
                  <c:v>1.75</c:v>
                </c:pt>
                <c:pt idx="22">
                  <c:v>1.83</c:v>
                </c:pt>
                <c:pt idx="23">
                  <c:v>1.9200000000000021</c:v>
                </c:pt>
                <c:pt idx="24">
                  <c:v>2</c:v>
                </c:pt>
                <c:pt idx="25">
                  <c:v>2.08</c:v>
                </c:pt>
                <c:pt idx="26">
                  <c:v>2.17</c:v>
                </c:pt>
                <c:pt idx="27">
                  <c:v>2.25</c:v>
                </c:pt>
                <c:pt idx="28">
                  <c:v>2.3299999999999987</c:v>
                </c:pt>
                <c:pt idx="29">
                  <c:v>2.42</c:v>
                </c:pt>
                <c:pt idx="30">
                  <c:v>2.5</c:v>
                </c:pt>
                <c:pt idx="31">
                  <c:v>2.58</c:v>
                </c:pt>
                <c:pt idx="32">
                  <c:v>2.67</c:v>
                </c:pt>
                <c:pt idx="33">
                  <c:v>2.75</c:v>
                </c:pt>
                <c:pt idx="34">
                  <c:v>2.8299999999999987</c:v>
                </c:pt>
                <c:pt idx="35">
                  <c:v>2.92</c:v>
                </c:pt>
                <c:pt idx="36">
                  <c:v>3</c:v>
                </c:pt>
                <c:pt idx="37">
                  <c:v>3.08</c:v>
                </c:pt>
                <c:pt idx="38">
                  <c:v>3.17</c:v>
                </c:pt>
                <c:pt idx="39">
                  <c:v>3.25</c:v>
                </c:pt>
                <c:pt idx="40">
                  <c:v>3.3299999999999987</c:v>
                </c:pt>
                <c:pt idx="41">
                  <c:v>3.42</c:v>
                </c:pt>
                <c:pt idx="42">
                  <c:v>3.5</c:v>
                </c:pt>
                <c:pt idx="43">
                  <c:v>3.58</c:v>
                </c:pt>
                <c:pt idx="44">
                  <c:v>3.67</c:v>
                </c:pt>
                <c:pt idx="45">
                  <c:v>3.75</c:v>
                </c:pt>
                <c:pt idx="46">
                  <c:v>3.8299999999999987</c:v>
                </c:pt>
                <c:pt idx="47">
                  <c:v>3.92</c:v>
                </c:pt>
                <c:pt idx="48">
                  <c:v>4</c:v>
                </c:pt>
                <c:pt idx="49">
                  <c:v>4.08</c:v>
                </c:pt>
                <c:pt idx="50">
                  <c:v>4.17</c:v>
                </c:pt>
                <c:pt idx="51">
                  <c:v>4.25</c:v>
                </c:pt>
                <c:pt idx="52">
                  <c:v>4.33</c:v>
                </c:pt>
                <c:pt idx="53">
                  <c:v>4.42</c:v>
                </c:pt>
                <c:pt idx="54">
                  <c:v>4.5</c:v>
                </c:pt>
                <c:pt idx="55">
                  <c:v>4.58</c:v>
                </c:pt>
                <c:pt idx="56">
                  <c:v>4.67</c:v>
                </c:pt>
                <c:pt idx="57">
                  <c:v>4.75</c:v>
                </c:pt>
                <c:pt idx="58">
                  <c:v>4.83</c:v>
                </c:pt>
                <c:pt idx="59">
                  <c:v>4.92</c:v>
                </c:pt>
                <c:pt idx="60">
                  <c:v>5</c:v>
                </c:pt>
                <c:pt idx="61">
                  <c:v>5.08</c:v>
                </c:pt>
                <c:pt idx="62">
                  <c:v>5.17</c:v>
                </c:pt>
                <c:pt idx="63">
                  <c:v>5.25</c:v>
                </c:pt>
                <c:pt idx="64">
                  <c:v>5.33</c:v>
                </c:pt>
                <c:pt idx="65">
                  <c:v>5.42</c:v>
                </c:pt>
                <c:pt idx="66">
                  <c:v>5.5</c:v>
                </c:pt>
                <c:pt idx="67">
                  <c:v>5.58</c:v>
                </c:pt>
                <c:pt idx="68">
                  <c:v>5.67</c:v>
                </c:pt>
                <c:pt idx="69">
                  <c:v>5.75</c:v>
                </c:pt>
                <c:pt idx="70">
                  <c:v>5.83</c:v>
                </c:pt>
                <c:pt idx="71">
                  <c:v>5.92</c:v>
                </c:pt>
              </c:numCache>
            </c:numRef>
          </c:xVal>
          <c:yVal>
            <c:numRef>
              <c:f>'Hyd Ros'!$D$2:$D$73</c:f>
              <c:numCache>
                <c:formatCode>General</c:formatCode>
                <c:ptCount val="72"/>
                <c:pt idx="0">
                  <c:v>0</c:v>
                </c:pt>
                <c:pt idx="1">
                  <c:v>0</c:v>
                </c:pt>
                <c:pt idx="2">
                  <c:v>0</c:v>
                </c:pt>
                <c:pt idx="3">
                  <c:v>0</c:v>
                </c:pt>
                <c:pt idx="4">
                  <c:v>0</c:v>
                </c:pt>
                <c:pt idx="5">
                  <c:v>0</c:v>
                </c:pt>
                <c:pt idx="6">
                  <c:v>0.34130000000000038</c:v>
                </c:pt>
                <c:pt idx="7">
                  <c:v>1.1805000000000001</c:v>
                </c:pt>
                <c:pt idx="8">
                  <c:v>3.5362999999999967</c:v>
                </c:pt>
                <c:pt idx="9">
                  <c:v>8.3980000000000015</c:v>
                </c:pt>
                <c:pt idx="10">
                  <c:v>14.3429</c:v>
                </c:pt>
                <c:pt idx="11">
                  <c:v>19.487199999999909</c:v>
                </c:pt>
                <c:pt idx="12">
                  <c:v>21.1706</c:v>
                </c:pt>
                <c:pt idx="13">
                  <c:v>19.631399999999999</c:v>
                </c:pt>
                <c:pt idx="14">
                  <c:v>17.2136</c:v>
                </c:pt>
                <c:pt idx="15">
                  <c:v>15.1792</c:v>
                </c:pt>
                <c:pt idx="16">
                  <c:v>13.7858</c:v>
                </c:pt>
                <c:pt idx="17">
                  <c:v>12.900400000000024</c:v>
                </c:pt>
                <c:pt idx="18">
                  <c:v>12.2097</c:v>
                </c:pt>
                <c:pt idx="19">
                  <c:v>11.455100000000026</c:v>
                </c:pt>
                <c:pt idx="20">
                  <c:v>10.683</c:v>
                </c:pt>
                <c:pt idx="21">
                  <c:v>10.0098</c:v>
                </c:pt>
                <c:pt idx="22">
                  <c:v>9.4631000000000007</c:v>
                </c:pt>
                <c:pt idx="23">
                  <c:v>8.9789000000000012</c:v>
                </c:pt>
                <c:pt idx="24">
                  <c:v>8.6059000000000001</c:v>
                </c:pt>
                <c:pt idx="25">
                  <c:v>8.3083000000000009</c:v>
                </c:pt>
                <c:pt idx="26">
                  <c:v>7.99</c:v>
                </c:pt>
                <c:pt idx="27">
                  <c:v>7.5834000000000001</c:v>
                </c:pt>
                <c:pt idx="28">
                  <c:v>7.1064999999999996</c:v>
                </c:pt>
                <c:pt idx="29">
                  <c:v>6.59</c:v>
                </c:pt>
                <c:pt idx="30">
                  <c:v>6.0880999999999998</c:v>
                </c:pt>
                <c:pt idx="31">
                  <c:v>5.6476999999999995</c:v>
                </c:pt>
                <c:pt idx="32">
                  <c:v>5.2863000000000024</c:v>
                </c:pt>
                <c:pt idx="33">
                  <c:v>4.9867000000000123</c:v>
                </c:pt>
                <c:pt idx="34">
                  <c:v>4.7194000000000003</c:v>
                </c:pt>
                <c:pt idx="35">
                  <c:v>4.4751000000000003</c:v>
                </c:pt>
                <c:pt idx="36">
                  <c:v>4.2734000000000014</c:v>
                </c:pt>
                <c:pt idx="37">
                  <c:v>4.1343999999999985</c:v>
                </c:pt>
                <c:pt idx="38">
                  <c:v>4.0510000000000002</c:v>
                </c:pt>
                <c:pt idx="39">
                  <c:v>3.9973000000000001</c:v>
                </c:pt>
                <c:pt idx="40">
                  <c:v>3.9533</c:v>
                </c:pt>
                <c:pt idx="41">
                  <c:v>3.9118999999999913</c:v>
                </c:pt>
                <c:pt idx="42">
                  <c:v>3.8721999999999968</c:v>
                </c:pt>
                <c:pt idx="43">
                  <c:v>3.8344999999999967</c:v>
                </c:pt>
                <c:pt idx="44">
                  <c:v>3.7991000000000001</c:v>
                </c:pt>
                <c:pt idx="45">
                  <c:v>3.7656999999999998</c:v>
                </c:pt>
                <c:pt idx="46">
                  <c:v>3.7342</c:v>
                </c:pt>
                <c:pt idx="47">
                  <c:v>3.7040999999999999</c:v>
                </c:pt>
                <c:pt idx="48">
                  <c:v>3.6755999999999998</c:v>
                </c:pt>
                <c:pt idx="49">
                  <c:v>3.6492</c:v>
                </c:pt>
                <c:pt idx="50">
                  <c:v>3.6251000000000002</c:v>
                </c:pt>
                <c:pt idx="51">
                  <c:v>3.6013999999999999</c:v>
                </c:pt>
                <c:pt idx="52">
                  <c:v>3.5750999999999977</c:v>
                </c:pt>
                <c:pt idx="53">
                  <c:v>3.5436999999999999</c:v>
                </c:pt>
                <c:pt idx="54">
                  <c:v>3.5061999999999998</c:v>
                </c:pt>
                <c:pt idx="55">
                  <c:v>3.4636999999999998</c:v>
                </c:pt>
                <c:pt idx="56">
                  <c:v>3.4175</c:v>
                </c:pt>
                <c:pt idx="57">
                  <c:v>3.3689999999999998</c:v>
                </c:pt>
                <c:pt idx="58">
                  <c:v>3.3183999999999987</c:v>
                </c:pt>
                <c:pt idx="59">
                  <c:v>3.2662</c:v>
                </c:pt>
                <c:pt idx="60">
                  <c:v>3.2141999999999999</c:v>
                </c:pt>
                <c:pt idx="61">
                  <c:v>3.1648999999999998</c:v>
                </c:pt>
                <c:pt idx="62">
                  <c:v>3.1187</c:v>
                </c:pt>
                <c:pt idx="63">
                  <c:v>3.0743999999999998</c:v>
                </c:pt>
                <c:pt idx="64">
                  <c:v>3.0303</c:v>
                </c:pt>
                <c:pt idx="65">
                  <c:v>2.9855</c:v>
                </c:pt>
                <c:pt idx="66">
                  <c:v>2.9391999999999987</c:v>
                </c:pt>
                <c:pt idx="67">
                  <c:v>2.8902999999999968</c:v>
                </c:pt>
                <c:pt idx="68">
                  <c:v>2.8374999999999977</c:v>
                </c:pt>
                <c:pt idx="69">
                  <c:v>2.7789999999999999</c:v>
                </c:pt>
                <c:pt idx="70">
                  <c:v>2.7126999999999977</c:v>
                </c:pt>
                <c:pt idx="71">
                  <c:v>2.6353999999999997</c:v>
                </c:pt>
              </c:numCache>
            </c:numRef>
          </c:yVal>
          <c:smooth val="0"/>
        </c:ser>
        <c:ser>
          <c:idx val="3"/>
          <c:order val="3"/>
          <c:tx>
            <c:strRef>
              <c:f>'Hyd Ros'!$E$1</c:f>
              <c:strCache>
                <c:ptCount val="1"/>
                <c:pt idx="0">
                  <c:v>1% AEP</c:v>
                </c:pt>
              </c:strCache>
            </c:strRef>
          </c:tx>
          <c:marker>
            <c:symbol val="none"/>
          </c:marker>
          <c:xVal>
            <c:numRef>
              <c:f>'Hyd Ros'!$A$2:$A$73</c:f>
              <c:numCache>
                <c:formatCode>General</c:formatCode>
                <c:ptCount val="72"/>
                <c:pt idx="0">
                  <c:v>0</c:v>
                </c:pt>
                <c:pt idx="1">
                  <c:v>8.0000000000000043E-2</c:v>
                </c:pt>
                <c:pt idx="2">
                  <c:v>0.17</c:v>
                </c:pt>
                <c:pt idx="3">
                  <c:v>0.25</c:v>
                </c:pt>
                <c:pt idx="4">
                  <c:v>0.33000000000000146</c:v>
                </c:pt>
                <c:pt idx="5">
                  <c:v>0.42000000000000032</c:v>
                </c:pt>
                <c:pt idx="6">
                  <c:v>0.5</c:v>
                </c:pt>
                <c:pt idx="7">
                  <c:v>0.58000000000000007</c:v>
                </c:pt>
                <c:pt idx="8">
                  <c:v>0.67000000000000293</c:v>
                </c:pt>
                <c:pt idx="9">
                  <c:v>0.75000000000000233</c:v>
                </c:pt>
                <c:pt idx="10">
                  <c:v>0.83000000000000063</c:v>
                </c:pt>
                <c:pt idx="11">
                  <c:v>0.92</c:v>
                </c:pt>
                <c:pt idx="12">
                  <c:v>1</c:v>
                </c:pt>
                <c:pt idx="13">
                  <c:v>1.08</c:v>
                </c:pt>
                <c:pt idx="14">
                  <c:v>1.1700000000000021</c:v>
                </c:pt>
                <c:pt idx="15">
                  <c:v>1.25</c:v>
                </c:pt>
                <c:pt idx="16">
                  <c:v>1.33</c:v>
                </c:pt>
                <c:pt idx="17">
                  <c:v>1.42</c:v>
                </c:pt>
                <c:pt idx="18">
                  <c:v>1.5</c:v>
                </c:pt>
                <c:pt idx="19">
                  <c:v>1.58</c:v>
                </c:pt>
                <c:pt idx="20">
                  <c:v>1.6700000000000021</c:v>
                </c:pt>
                <c:pt idx="21">
                  <c:v>1.75</c:v>
                </c:pt>
                <c:pt idx="22">
                  <c:v>1.83</c:v>
                </c:pt>
                <c:pt idx="23">
                  <c:v>1.9200000000000021</c:v>
                </c:pt>
                <c:pt idx="24">
                  <c:v>2</c:v>
                </c:pt>
                <c:pt idx="25">
                  <c:v>2.08</c:v>
                </c:pt>
                <c:pt idx="26">
                  <c:v>2.17</c:v>
                </c:pt>
                <c:pt idx="27">
                  <c:v>2.25</c:v>
                </c:pt>
                <c:pt idx="28">
                  <c:v>2.3299999999999987</c:v>
                </c:pt>
                <c:pt idx="29">
                  <c:v>2.42</c:v>
                </c:pt>
                <c:pt idx="30">
                  <c:v>2.5</c:v>
                </c:pt>
                <c:pt idx="31">
                  <c:v>2.58</c:v>
                </c:pt>
                <c:pt idx="32">
                  <c:v>2.67</c:v>
                </c:pt>
                <c:pt idx="33">
                  <c:v>2.75</c:v>
                </c:pt>
                <c:pt idx="34">
                  <c:v>2.8299999999999987</c:v>
                </c:pt>
                <c:pt idx="35">
                  <c:v>2.92</c:v>
                </c:pt>
                <c:pt idx="36">
                  <c:v>3</c:v>
                </c:pt>
                <c:pt idx="37">
                  <c:v>3.08</c:v>
                </c:pt>
                <c:pt idx="38">
                  <c:v>3.17</c:v>
                </c:pt>
                <c:pt idx="39">
                  <c:v>3.25</c:v>
                </c:pt>
                <c:pt idx="40">
                  <c:v>3.3299999999999987</c:v>
                </c:pt>
                <c:pt idx="41">
                  <c:v>3.42</c:v>
                </c:pt>
                <c:pt idx="42">
                  <c:v>3.5</c:v>
                </c:pt>
                <c:pt idx="43">
                  <c:v>3.58</c:v>
                </c:pt>
                <c:pt idx="44">
                  <c:v>3.67</c:v>
                </c:pt>
                <c:pt idx="45">
                  <c:v>3.75</c:v>
                </c:pt>
                <c:pt idx="46">
                  <c:v>3.8299999999999987</c:v>
                </c:pt>
                <c:pt idx="47">
                  <c:v>3.92</c:v>
                </c:pt>
                <c:pt idx="48">
                  <c:v>4</c:v>
                </c:pt>
                <c:pt idx="49">
                  <c:v>4.08</c:v>
                </c:pt>
                <c:pt idx="50">
                  <c:v>4.17</c:v>
                </c:pt>
                <c:pt idx="51">
                  <c:v>4.25</c:v>
                </c:pt>
                <c:pt idx="52">
                  <c:v>4.33</c:v>
                </c:pt>
                <c:pt idx="53">
                  <c:v>4.42</c:v>
                </c:pt>
                <c:pt idx="54">
                  <c:v>4.5</c:v>
                </c:pt>
                <c:pt idx="55">
                  <c:v>4.58</c:v>
                </c:pt>
                <c:pt idx="56">
                  <c:v>4.67</c:v>
                </c:pt>
                <c:pt idx="57">
                  <c:v>4.75</c:v>
                </c:pt>
                <c:pt idx="58">
                  <c:v>4.83</c:v>
                </c:pt>
                <c:pt idx="59">
                  <c:v>4.92</c:v>
                </c:pt>
                <c:pt idx="60">
                  <c:v>5</c:v>
                </c:pt>
                <c:pt idx="61">
                  <c:v>5.08</c:v>
                </c:pt>
                <c:pt idx="62">
                  <c:v>5.17</c:v>
                </c:pt>
                <c:pt idx="63">
                  <c:v>5.25</c:v>
                </c:pt>
                <c:pt idx="64">
                  <c:v>5.33</c:v>
                </c:pt>
                <c:pt idx="65">
                  <c:v>5.42</c:v>
                </c:pt>
                <c:pt idx="66">
                  <c:v>5.5</c:v>
                </c:pt>
                <c:pt idx="67">
                  <c:v>5.58</c:v>
                </c:pt>
                <c:pt idx="68">
                  <c:v>5.67</c:v>
                </c:pt>
                <c:pt idx="69">
                  <c:v>5.75</c:v>
                </c:pt>
                <c:pt idx="70">
                  <c:v>5.83</c:v>
                </c:pt>
                <c:pt idx="71">
                  <c:v>5.92</c:v>
                </c:pt>
              </c:numCache>
            </c:numRef>
          </c:xVal>
          <c:yVal>
            <c:numRef>
              <c:f>'Hyd Ros'!$E$2:$E$73</c:f>
              <c:numCache>
                <c:formatCode>General</c:formatCode>
                <c:ptCount val="72"/>
                <c:pt idx="0">
                  <c:v>0</c:v>
                </c:pt>
                <c:pt idx="1">
                  <c:v>0</c:v>
                </c:pt>
                <c:pt idx="2">
                  <c:v>0</c:v>
                </c:pt>
                <c:pt idx="3">
                  <c:v>0</c:v>
                </c:pt>
                <c:pt idx="4">
                  <c:v>0.81610000000000005</c:v>
                </c:pt>
                <c:pt idx="5">
                  <c:v>3.2945000000000002</c:v>
                </c:pt>
                <c:pt idx="6">
                  <c:v>9.1491000000000025</c:v>
                </c:pt>
                <c:pt idx="7">
                  <c:v>19.246499999999905</c:v>
                </c:pt>
                <c:pt idx="8">
                  <c:v>29.650600000000001</c:v>
                </c:pt>
                <c:pt idx="9">
                  <c:v>35.522800000000011</c:v>
                </c:pt>
                <c:pt idx="10">
                  <c:v>34.455300000000001</c:v>
                </c:pt>
                <c:pt idx="11">
                  <c:v>29.796199999999921</c:v>
                </c:pt>
                <c:pt idx="12">
                  <c:v>25.019400000000001</c:v>
                </c:pt>
                <c:pt idx="13">
                  <c:v>21.174700000000001</c:v>
                </c:pt>
                <c:pt idx="14">
                  <c:v>18.097000000000001</c:v>
                </c:pt>
                <c:pt idx="15">
                  <c:v>15.2882</c:v>
                </c:pt>
                <c:pt idx="16">
                  <c:v>12.758100000000001</c:v>
                </c:pt>
                <c:pt idx="17">
                  <c:v>10.6195</c:v>
                </c:pt>
                <c:pt idx="18">
                  <c:v>8.9834000000000067</c:v>
                </c:pt>
                <c:pt idx="19">
                  <c:v>7.8217999999999996</c:v>
                </c:pt>
                <c:pt idx="20">
                  <c:v>7.0213000000000001</c:v>
                </c:pt>
                <c:pt idx="21">
                  <c:v>6.4592000000000134</c:v>
                </c:pt>
                <c:pt idx="22">
                  <c:v>6.0539999999999985</c:v>
                </c:pt>
                <c:pt idx="23">
                  <c:v>5.7534000000000001</c:v>
                </c:pt>
                <c:pt idx="24">
                  <c:v>5.5243999999999955</c:v>
                </c:pt>
                <c:pt idx="25">
                  <c:v>5.3514999999999997</c:v>
                </c:pt>
                <c:pt idx="26">
                  <c:v>5.2258999999999975</c:v>
                </c:pt>
                <c:pt idx="27">
                  <c:v>5.1361999999999997</c:v>
                </c:pt>
                <c:pt idx="28">
                  <c:v>5.0673999999999975</c:v>
                </c:pt>
                <c:pt idx="29">
                  <c:v>5.0074999999999985</c:v>
                </c:pt>
                <c:pt idx="30">
                  <c:v>4.9513000000000034</c:v>
                </c:pt>
                <c:pt idx="31">
                  <c:v>4.8962000000000003</c:v>
                </c:pt>
                <c:pt idx="32">
                  <c:v>4.8358999999999996</c:v>
                </c:pt>
                <c:pt idx="33">
                  <c:v>4.7561999999999998</c:v>
                </c:pt>
                <c:pt idx="34">
                  <c:v>4.6443999999999965</c:v>
                </c:pt>
                <c:pt idx="35">
                  <c:v>4.5091999999999999</c:v>
                </c:pt>
                <c:pt idx="36">
                  <c:v>4.3860000000000001</c:v>
                </c:pt>
                <c:pt idx="37">
                  <c:v>4.3056000000000001</c:v>
                </c:pt>
                <c:pt idx="38">
                  <c:v>4.2674999999999965</c:v>
                </c:pt>
                <c:pt idx="39">
                  <c:v>4.2502000000000004</c:v>
                </c:pt>
                <c:pt idx="40">
                  <c:v>4.2380000000000004</c:v>
                </c:pt>
                <c:pt idx="41">
                  <c:v>4.2263000000000002</c:v>
                </c:pt>
                <c:pt idx="42">
                  <c:v>4.2149999999999945</c:v>
                </c:pt>
                <c:pt idx="43">
                  <c:v>4.2038000000000002</c:v>
                </c:pt>
                <c:pt idx="44">
                  <c:v>4.1926999999999985</c:v>
                </c:pt>
                <c:pt idx="45">
                  <c:v>4.1817000000000002</c:v>
                </c:pt>
                <c:pt idx="46">
                  <c:v>4.1707000000000001</c:v>
                </c:pt>
                <c:pt idx="47">
                  <c:v>4.1597</c:v>
                </c:pt>
                <c:pt idx="48">
                  <c:v>4.1486999999999998</c:v>
                </c:pt>
                <c:pt idx="49">
                  <c:v>4.1376999999999997</c:v>
                </c:pt>
                <c:pt idx="50">
                  <c:v>4.1265999999999945</c:v>
                </c:pt>
                <c:pt idx="51">
                  <c:v>4.1154999999999955</c:v>
                </c:pt>
                <c:pt idx="52">
                  <c:v>4.1043999999999965</c:v>
                </c:pt>
                <c:pt idx="53">
                  <c:v>4.0930999999999997</c:v>
                </c:pt>
                <c:pt idx="54">
                  <c:v>4.0815000000000001</c:v>
                </c:pt>
                <c:pt idx="55">
                  <c:v>4.0693999999999999</c:v>
                </c:pt>
                <c:pt idx="56">
                  <c:v>4.0566000000000004</c:v>
                </c:pt>
                <c:pt idx="57">
                  <c:v>4.0433000000000003</c:v>
                </c:pt>
                <c:pt idx="58">
                  <c:v>4.0296000000000003</c:v>
                </c:pt>
                <c:pt idx="59">
                  <c:v>4.0156000000000001</c:v>
                </c:pt>
                <c:pt idx="60">
                  <c:v>4.0014000000000003</c:v>
                </c:pt>
                <c:pt idx="61">
                  <c:v>3.9870000000000001</c:v>
                </c:pt>
                <c:pt idx="62">
                  <c:v>3.9724999999999913</c:v>
                </c:pt>
                <c:pt idx="63">
                  <c:v>3.9579</c:v>
                </c:pt>
                <c:pt idx="64">
                  <c:v>3.9430000000000001</c:v>
                </c:pt>
                <c:pt idx="65">
                  <c:v>3.9272999999999998</c:v>
                </c:pt>
                <c:pt idx="66">
                  <c:v>3.9097</c:v>
                </c:pt>
                <c:pt idx="67">
                  <c:v>3.8885000000000001</c:v>
                </c:pt>
                <c:pt idx="68">
                  <c:v>3.8623999999999987</c:v>
                </c:pt>
                <c:pt idx="69">
                  <c:v>3.8318999999999899</c:v>
                </c:pt>
                <c:pt idx="70">
                  <c:v>3.7984</c:v>
                </c:pt>
                <c:pt idx="71">
                  <c:v>3.7636000000000012</c:v>
                </c:pt>
              </c:numCache>
            </c:numRef>
          </c:yVal>
          <c:smooth val="0"/>
        </c:ser>
        <c:dLbls>
          <c:showLegendKey val="0"/>
          <c:showVal val="0"/>
          <c:showCatName val="0"/>
          <c:showSerName val="0"/>
          <c:showPercent val="0"/>
          <c:showBubbleSize val="0"/>
        </c:dLbls>
        <c:axId val="153927680"/>
        <c:axId val="153929600"/>
      </c:scatterChart>
      <c:valAx>
        <c:axId val="153927680"/>
        <c:scaling>
          <c:orientation val="minMax"/>
          <c:max val="6"/>
        </c:scaling>
        <c:delete val="0"/>
        <c:axPos val="b"/>
        <c:title>
          <c:tx>
            <c:rich>
              <a:bodyPr/>
              <a:lstStyle/>
              <a:p>
                <a:pPr>
                  <a:defRPr lang="en-AU"/>
                </a:pPr>
                <a:r>
                  <a:rPr lang="en-AU"/>
                  <a:t>Time (hours)</a:t>
                </a:r>
              </a:p>
            </c:rich>
          </c:tx>
          <c:layout/>
          <c:overlay val="0"/>
        </c:title>
        <c:numFmt formatCode="General" sourceLinked="1"/>
        <c:majorTickMark val="out"/>
        <c:minorTickMark val="none"/>
        <c:tickLblPos val="nextTo"/>
        <c:txPr>
          <a:bodyPr/>
          <a:lstStyle/>
          <a:p>
            <a:pPr>
              <a:defRPr lang="en-AU"/>
            </a:pPr>
            <a:endParaRPr lang="en-US"/>
          </a:p>
        </c:txPr>
        <c:crossAx val="153929600"/>
        <c:crosses val="autoZero"/>
        <c:crossBetween val="midCat"/>
      </c:valAx>
      <c:valAx>
        <c:axId val="153929600"/>
        <c:scaling>
          <c:orientation val="minMax"/>
        </c:scaling>
        <c:delete val="0"/>
        <c:axPos val="l"/>
        <c:majorGridlines/>
        <c:title>
          <c:tx>
            <c:rich>
              <a:bodyPr rot="-5400000" vert="horz"/>
              <a:lstStyle/>
              <a:p>
                <a:pPr>
                  <a:defRPr lang="en-AU"/>
                </a:pPr>
                <a:r>
                  <a:rPr lang="en-AU"/>
                  <a:t>Flow (m</a:t>
                </a:r>
                <a:r>
                  <a:rPr lang="en-AU" baseline="30000"/>
                  <a:t>3</a:t>
                </a:r>
                <a:r>
                  <a:rPr lang="en-AU"/>
                  <a:t>/s)</a:t>
                </a:r>
              </a:p>
            </c:rich>
          </c:tx>
          <c:layout/>
          <c:overlay val="0"/>
        </c:title>
        <c:numFmt formatCode="General" sourceLinked="1"/>
        <c:majorTickMark val="out"/>
        <c:minorTickMark val="none"/>
        <c:tickLblPos val="nextTo"/>
        <c:txPr>
          <a:bodyPr/>
          <a:lstStyle/>
          <a:p>
            <a:pPr>
              <a:defRPr lang="en-AU"/>
            </a:pPr>
            <a:endParaRPr lang="en-US"/>
          </a:p>
        </c:txPr>
        <c:crossAx val="153927680"/>
        <c:crosses val="autoZero"/>
        <c:crossBetween val="midCat"/>
      </c:valAx>
    </c:plotArea>
    <c:legend>
      <c:legendPos val="r"/>
      <c:layout/>
      <c:overlay val="0"/>
      <c:txPr>
        <a:bodyPr/>
        <a:lstStyle/>
        <a:p>
          <a:pPr>
            <a:defRPr lang="en-AU"/>
          </a:pPr>
          <a:endParaRPr lang="en-US"/>
        </a:p>
      </c:txPr>
    </c:legend>
    <c:plotVisOnly val="1"/>
    <c:dispBlanksAs val="gap"/>
    <c:showDLblsOverMax val="0"/>
  </c:chart>
  <c:spPr>
    <a:ln w="6350">
      <a:solidFill>
        <a:sysClr val="windowText" lastClr="000000"/>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766792217921235"/>
          <c:y val="4.2795331276659722E-2"/>
          <c:w val="0.69828509083005608"/>
          <c:h val="0.79686160603986911"/>
        </c:manualLayout>
      </c:layout>
      <c:scatterChart>
        <c:scatterStyle val="lineMarker"/>
        <c:varyColors val="0"/>
        <c:ser>
          <c:idx val="0"/>
          <c:order val="0"/>
          <c:tx>
            <c:strRef>
              <c:f>'Hyd Bar'!$B$1</c:f>
              <c:strCache>
                <c:ptCount val="1"/>
                <c:pt idx="0">
                  <c:v>20% AEP</c:v>
                </c:pt>
              </c:strCache>
            </c:strRef>
          </c:tx>
          <c:marker>
            <c:symbol val="none"/>
          </c:marker>
          <c:xVal>
            <c:numRef>
              <c:f>'Hyd Bar'!$A$2:$A$73</c:f>
              <c:numCache>
                <c:formatCode>General</c:formatCode>
                <c:ptCount val="72"/>
                <c:pt idx="0">
                  <c:v>0</c:v>
                </c:pt>
                <c:pt idx="1">
                  <c:v>8.0000000000000043E-2</c:v>
                </c:pt>
                <c:pt idx="2">
                  <c:v>0.17</c:v>
                </c:pt>
                <c:pt idx="3">
                  <c:v>0.25</c:v>
                </c:pt>
                <c:pt idx="4">
                  <c:v>0.33000000000000146</c:v>
                </c:pt>
                <c:pt idx="5">
                  <c:v>0.42000000000000032</c:v>
                </c:pt>
                <c:pt idx="6">
                  <c:v>0.5</c:v>
                </c:pt>
                <c:pt idx="7">
                  <c:v>0.58000000000000007</c:v>
                </c:pt>
                <c:pt idx="8">
                  <c:v>0.67000000000000293</c:v>
                </c:pt>
                <c:pt idx="9">
                  <c:v>0.75000000000000233</c:v>
                </c:pt>
                <c:pt idx="10">
                  <c:v>0.83000000000000063</c:v>
                </c:pt>
                <c:pt idx="11">
                  <c:v>0.92</c:v>
                </c:pt>
                <c:pt idx="12">
                  <c:v>1</c:v>
                </c:pt>
                <c:pt idx="13">
                  <c:v>1.08</c:v>
                </c:pt>
                <c:pt idx="14">
                  <c:v>1.1700000000000021</c:v>
                </c:pt>
                <c:pt idx="15">
                  <c:v>1.25</c:v>
                </c:pt>
                <c:pt idx="16">
                  <c:v>1.33</c:v>
                </c:pt>
                <c:pt idx="17">
                  <c:v>1.42</c:v>
                </c:pt>
                <c:pt idx="18">
                  <c:v>1.5</c:v>
                </c:pt>
                <c:pt idx="19">
                  <c:v>1.58</c:v>
                </c:pt>
                <c:pt idx="20">
                  <c:v>1.6700000000000021</c:v>
                </c:pt>
                <c:pt idx="21">
                  <c:v>1.75</c:v>
                </c:pt>
                <c:pt idx="22">
                  <c:v>1.83</c:v>
                </c:pt>
                <c:pt idx="23">
                  <c:v>1.9200000000000021</c:v>
                </c:pt>
                <c:pt idx="24">
                  <c:v>2</c:v>
                </c:pt>
                <c:pt idx="25">
                  <c:v>2.08</c:v>
                </c:pt>
                <c:pt idx="26">
                  <c:v>2.17</c:v>
                </c:pt>
                <c:pt idx="27">
                  <c:v>2.25</c:v>
                </c:pt>
                <c:pt idx="28">
                  <c:v>2.3299999999999987</c:v>
                </c:pt>
                <c:pt idx="29">
                  <c:v>2.42</c:v>
                </c:pt>
                <c:pt idx="30">
                  <c:v>2.5</c:v>
                </c:pt>
                <c:pt idx="31">
                  <c:v>2.58</c:v>
                </c:pt>
                <c:pt idx="32">
                  <c:v>2.67</c:v>
                </c:pt>
                <c:pt idx="33">
                  <c:v>2.75</c:v>
                </c:pt>
                <c:pt idx="34">
                  <c:v>2.8299999999999987</c:v>
                </c:pt>
                <c:pt idx="35">
                  <c:v>2.92</c:v>
                </c:pt>
                <c:pt idx="36">
                  <c:v>3</c:v>
                </c:pt>
                <c:pt idx="37">
                  <c:v>3.08</c:v>
                </c:pt>
                <c:pt idx="38">
                  <c:v>3.17</c:v>
                </c:pt>
                <c:pt idx="39">
                  <c:v>3.25</c:v>
                </c:pt>
                <c:pt idx="40">
                  <c:v>3.3299999999999987</c:v>
                </c:pt>
                <c:pt idx="41">
                  <c:v>3.42</c:v>
                </c:pt>
                <c:pt idx="42">
                  <c:v>3.5</c:v>
                </c:pt>
                <c:pt idx="43">
                  <c:v>3.58</c:v>
                </c:pt>
                <c:pt idx="44">
                  <c:v>3.67</c:v>
                </c:pt>
                <c:pt idx="45">
                  <c:v>3.75</c:v>
                </c:pt>
                <c:pt idx="46">
                  <c:v>3.8299999999999987</c:v>
                </c:pt>
                <c:pt idx="47">
                  <c:v>3.92</c:v>
                </c:pt>
                <c:pt idx="48">
                  <c:v>4</c:v>
                </c:pt>
                <c:pt idx="49">
                  <c:v>4.08</c:v>
                </c:pt>
                <c:pt idx="50">
                  <c:v>4.17</c:v>
                </c:pt>
                <c:pt idx="51">
                  <c:v>4.25</c:v>
                </c:pt>
                <c:pt idx="52">
                  <c:v>4.33</c:v>
                </c:pt>
                <c:pt idx="53">
                  <c:v>4.42</c:v>
                </c:pt>
                <c:pt idx="54">
                  <c:v>4.5</c:v>
                </c:pt>
                <c:pt idx="55">
                  <c:v>4.58</c:v>
                </c:pt>
                <c:pt idx="56">
                  <c:v>4.67</c:v>
                </c:pt>
                <c:pt idx="57">
                  <c:v>4.75</c:v>
                </c:pt>
                <c:pt idx="58">
                  <c:v>4.83</c:v>
                </c:pt>
                <c:pt idx="59">
                  <c:v>4.92</c:v>
                </c:pt>
                <c:pt idx="60">
                  <c:v>5</c:v>
                </c:pt>
                <c:pt idx="61">
                  <c:v>5.08</c:v>
                </c:pt>
                <c:pt idx="62">
                  <c:v>5.17</c:v>
                </c:pt>
                <c:pt idx="63">
                  <c:v>5.25</c:v>
                </c:pt>
                <c:pt idx="64">
                  <c:v>5.33</c:v>
                </c:pt>
                <c:pt idx="65">
                  <c:v>5.42</c:v>
                </c:pt>
                <c:pt idx="66">
                  <c:v>5.5</c:v>
                </c:pt>
                <c:pt idx="67">
                  <c:v>5.58</c:v>
                </c:pt>
                <c:pt idx="68">
                  <c:v>5.67</c:v>
                </c:pt>
                <c:pt idx="69">
                  <c:v>5.75</c:v>
                </c:pt>
                <c:pt idx="70">
                  <c:v>5.83</c:v>
                </c:pt>
                <c:pt idx="71">
                  <c:v>5.92</c:v>
                </c:pt>
              </c:numCache>
            </c:numRef>
          </c:xVal>
          <c:yVal>
            <c:numRef>
              <c:f>'Hyd Bar'!$B$2:$B$73</c:f>
              <c:numCache>
                <c:formatCode>General</c:formatCode>
                <c:ptCount val="72"/>
                <c:pt idx="0">
                  <c:v>0</c:v>
                </c:pt>
                <c:pt idx="1">
                  <c:v>0</c:v>
                </c:pt>
                <c:pt idx="2">
                  <c:v>0</c:v>
                </c:pt>
                <c:pt idx="3">
                  <c:v>0</c:v>
                </c:pt>
                <c:pt idx="4">
                  <c:v>0</c:v>
                </c:pt>
                <c:pt idx="5">
                  <c:v>1.5000000000000046E-3</c:v>
                </c:pt>
                <c:pt idx="6">
                  <c:v>4.6400000000000004E-2</c:v>
                </c:pt>
                <c:pt idx="7">
                  <c:v>0.30120000000000002</c:v>
                </c:pt>
                <c:pt idx="8">
                  <c:v>1.7215999999999936</c:v>
                </c:pt>
                <c:pt idx="9">
                  <c:v>5.8914999999999997</c:v>
                </c:pt>
                <c:pt idx="10">
                  <c:v>10.0877</c:v>
                </c:pt>
                <c:pt idx="11">
                  <c:v>9.2818000000000005</c:v>
                </c:pt>
                <c:pt idx="12">
                  <c:v>6.0653999999999995</c:v>
                </c:pt>
                <c:pt idx="13">
                  <c:v>4.5415999999999999</c:v>
                </c:pt>
                <c:pt idx="14">
                  <c:v>4.5571999999999955</c:v>
                </c:pt>
                <c:pt idx="15">
                  <c:v>4.7705000000000002</c:v>
                </c:pt>
                <c:pt idx="16">
                  <c:v>4.4560000000000004</c:v>
                </c:pt>
                <c:pt idx="17">
                  <c:v>3.9460999999999977</c:v>
                </c:pt>
                <c:pt idx="18">
                  <c:v>3.6884999999999999</c:v>
                </c:pt>
                <c:pt idx="19">
                  <c:v>3.5559999999999987</c:v>
                </c:pt>
                <c:pt idx="20">
                  <c:v>3.1581999999999999</c:v>
                </c:pt>
                <c:pt idx="21">
                  <c:v>2.5488</c:v>
                </c:pt>
                <c:pt idx="22">
                  <c:v>2.0945999999999998</c:v>
                </c:pt>
                <c:pt idx="23">
                  <c:v>1.8829</c:v>
                </c:pt>
                <c:pt idx="24">
                  <c:v>1.7353999999999936</c:v>
                </c:pt>
                <c:pt idx="25">
                  <c:v>1.5924</c:v>
                </c:pt>
                <c:pt idx="26">
                  <c:v>1.4594999999999936</c:v>
                </c:pt>
                <c:pt idx="27">
                  <c:v>1.2673999999999948</c:v>
                </c:pt>
                <c:pt idx="28">
                  <c:v>0.96940000000000004</c:v>
                </c:pt>
                <c:pt idx="29">
                  <c:v>0.66480000000000328</c:v>
                </c:pt>
                <c:pt idx="30">
                  <c:v>0.4506</c:v>
                </c:pt>
                <c:pt idx="31">
                  <c:v>0.31580000000000152</c:v>
                </c:pt>
                <c:pt idx="32">
                  <c:v>0.2218</c:v>
                </c:pt>
                <c:pt idx="33">
                  <c:v>0.15530000000000024</c:v>
                </c:pt>
                <c:pt idx="34">
                  <c:v>0.10979999999999999</c:v>
                </c:pt>
                <c:pt idx="35">
                  <c:v>7.920000000000002E-2</c:v>
                </c:pt>
                <c:pt idx="36">
                  <c:v>5.8200000000000002E-2</c:v>
                </c:pt>
                <c:pt idx="37">
                  <c:v>4.3700000000000003E-2</c:v>
                </c:pt>
                <c:pt idx="38">
                  <c:v>3.3500000000000002E-2</c:v>
                </c:pt>
                <c:pt idx="39">
                  <c:v>2.5900000000000006E-2</c:v>
                </c:pt>
                <c:pt idx="40">
                  <c:v>2.0500000000000001E-2</c:v>
                </c:pt>
                <c:pt idx="41">
                  <c:v>1.6299999999999999E-2</c:v>
                </c:pt>
                <c:pt idx="42">
                  <c:v>1.3200000000000049E-2</c:v>
                </c:pt>
                <c:pt idx="43">
                  <c:v>1.0800000000000021E-2</c:v>
                </c:pt>
                <c:pt idx="44">
                  <c:v>8.9000000000000207E-3</c:v>
                </c:pt>
                <c:pt idx="45">
                  <c:v>7.4000000000000333E-3</c:v>
                </c:pt>
                <c:pt idx="46">
                  <c:v>6.2000000000000223E-3</c:v>
                </c:pt>
                <c:pt idx="47">
                  <c:v>5.3000000000000104E-3</c:v>
                </c:pt>
                <c:pt idx="48">
                  <c:v>4.5000000000000014E-3</c:v>
                </c:pt>
                <c:pt idx="49">
                  <c:v>3.9000000000000107E-3</c:v>
                </c:pt>
                <c:pt idx="50">
                  <c:v>3.3000000000000052E-3</c:v>
                </c:pt>
                <c:pt idx="51">
                  <c:v>2.8999999999999998E-3</c:v>
                </c:pt>
                <c:pt idx="52">
                  <c:v>2.5000000000000092E-3</c:v>
                </c:pt>
                <c:pt idx="53">
                  <c:v>2.2000000000000092E-3</c:v>
                </c:pt>
                <c:pt idx="54">
                  <c:v>1.9000000000000098E-3</c:v>
                </c:pt>
                <c:pt idx="55">
                  <c:v>1.7000000000000055E-3</c:v>
                </c:pt>
                <c:pt idx="56">
                  <c:v>1.5000000000000046E-3</c:v>
                </c:pt>
                <c:pt idx="57">
                  <c:v>1.4000000000000041E-3</c:v>
                </c:pt>
                <c:pt idx="58">
                  <c:v>1.1999999999999999E-3</c:v>
                </c:pt>
                <c:pt idx="59">
                  <c:v>1.1000000000000051E-3</c:v>
                </c:pt>
                <c:pt idx="60">
                  <c:v>1.0000000000000041E-3</c:v>
                </c:pt>
                <c:pt idx="61">
                  <c:v>9.0000000000000247E-4</c:v>
                </c:pt>
                <c:pt idx="62">
                  <c:v>8.0000000000000264E-4</c:v>
                </c:pt>
                <c:pt idx="63">
                  <c:v>7.0000000000000314E-4</c:v>
                </c:pt>
                <c:pt idx="64">
                  <c:v>7.0000000000000314E-4</c:v>
                </c:pt>
                <c:pt idx="65">
                  <c:v>6.0000000000000266E-4</c:v>
                </c:pt>
                <c:pt idx="66">
                  <c:v>5.0000000000000034E-4</c:v>
                </c:pt>
                <c:pt idx="67">
                  <c:v>5.0000000000000034E-4</c:v>
                </c:pt>
                <c:pt idx="68">
                  <c:v>5.0000000000000034E-4</c:v>
                </c:pt>
                <c:pt idx="69">
                  <c:v>4.0000000000000034E-4</c:v>
                </c:pt>
                <c:pt idx="70">
                  <c:v>4.0000000000000034E-4</c:v>
                </c:pt>
                <c:pt idx="71">
                  <c:v>4.0000000000000034E-4</c:v>
                </c:pt>
              </c:numCache>
            </c:numRef>
          </c:yVal>
          <c:smooth val="0"/>
        </c:ser>
        <c:ser>
          <c:idx val="1"/>
          <c:order val="1"/>
          <c:tx>
            <c:strRef>
              <c:f>'Hyd Bar'!$C$1</c:f>
              <c:strCache>
                <c:ptCount val="1"/>
                <c:pt idx="0">
                  <c:v>10% AEP</c:v>
                </c:pt>
              </c:strCache>
            </c:strRef>
          </c:tx>
          <c:marker>
            <c:symbol val="none"/>
          </c:marker>
          <c:xVal>
            <c:numRef>
              <c:f>'Hyd Bar'!$A$2:$A$73</c:f>
              <c:numCache>
                <c:formatCode>General</c:formatCode>
                <c:ptCount val="72"/>
                <c:pt idx="0">
                  <c:v>0</c:v>
                </c:pt>
                <c:pt idx="1">
                  <c:v>8.0000000000000043E-2</c:v>
                </c:pt>
                <c:pt idx="2">
                  <c:v>0.17</c:v>
                </c:pt>
                <c:pt idx="3">
                  <c:v>0.25</c:v>
                </c:pt>
                <c:pt idx="4">
                  <c:v>0.33000000000000146</c:v>
                </c:pt>
                <c:pt idx="5">
                  <c:v>0.42000000000000032</c:v>
                </c:pt>
                <c:pt idx="6">
                  <c:v>0.5</c:v>
                </c:pt>
                <c:pt idx="7">
                  <c:v>0.58000000000000007</c:v>
                </c:pt>
                <c:pt idx="8">
                  <c:v>0.67000000000000293</c:v>
                </c:pt>
                <c:pt idx="9">
                  <c:v>0.75000000000000233</c:v>
                </c:pt>
                <c:pt idx="10">
                  <c:v>0.83000000000000063</c:v>
                </c:pt>
                <c:pt idx="11">
                  <c:v>0.92</c:v>
                </c:pt>
                <c:pt idx="12">
                  <c:v>1</c:v>
                </c:pt>
                <c:pt idx="13">
                  <c:v>1.08</c:v>
                </c:pt>
                <c:pt idx="14">
                  <c:v>1.1700000000000021</c:v>
                </c:pt>
                <c:pt idx="15">
                  <c:v>1.25</c:v>
                </c:pt>
                <c:pt idx="16">
                  <c:v>1.33</c:v>
                </c:pt>
                <c:pt idx="17">
                  <c:v>1.42</c:v>
                </c:pt>
                <c:pt idx="18">
                  <c:v>1.5</c:v>
                </c:pt>
                <c:pt idx="19">
                  <c:v>1.58</c:v>
                </c:pt>
                <c:pt idx="20">
                  <c:v>1.6700000000000021</c:v>
                </c:pt>
                <c:pt idx="21">
                  <c:v>1.75</c:v>
                </c:pt>
                <c:pt idx="22">
                  <c:v>1.83</c:v>
                </c:pt>
                <c:pt idx="23">
                  <c:v>1.9200000000000021</c:v>
                </c:pt>
                <c:pt idx="24">
                  <c:v>2</c:v>
                </c:pt>
                <c:pt idx="25">
                  <c:v>2.08</c:v>
                </c:pt>
                <c:pt idx="26">
                  <c:v>2.17</c:v>
                </c:pt>
                <c:pt idx="27">
                  <c:v>2.25</c:v>
                </c:pt>
                <c:pt idx="28">
                  <c:v>2.3299999999999987</c:v>
                </c:pt>
                <c:pt idx="29">
                  <c:v>2.42</c:v>
                </c:pt>
                <c:pt idx="30">
                  <c:v>2.5</c:v>
                </c:pt>
                <c:pt idx="31">
                  <c:v>2.58</c:v>
                </c:pt>
                <c:pt idx="32">
                  <c:v>2.67</c:v>
                </c:pt>
                <c:pt idx="33">
                  <c:v>2.75</c:v>
                </c:pt>
                <c:pt idx="34">
                  <c:v>2.8299999999999987</c:v>
                </c:pt>
                <c:pt idx="35">
                  <c:v>2.92</c:v>
                </c:pt>
                <c:pt idx="36">
                  <c:v>3</c:v>
                </c:pt>
                <c:pt idx="37">
                  <c:v>3.08</c:v>
                </c:pt>
                <c:pt idx="38">
                  <c:v>3.17</c:v>
                </c:pt>
                <c:pt idx="39">
                  <c:v>3.25</c:v>
                </c:pt>
                <c:pt idx="40">
                  <c:v>3.3299999999999987</c:v>
                </c:pt>
                <c:pt idx="41">
                  <c:v>3.42</c:v>
                </c:pt>
                <c:pt idx="42">
                  <c:v>3.5</c:v>
                </c:pt>
                <c:pt idx="43">
                  <c:v>3.58</c:v>
                </c:pt>
                <c:pt idx="44">
                  <c:v>3.67</c:v>
                </c:pt>
                <c:pt idx="45">
                  <c:v>3.75</c:v>
                </c:pt>
                <c:pt idx="46">
                  <c:v>3.8299999999999987</c:v>
                </c:pt>
                <c:pt idx="47">
                  <c:v>3.92</c:v>
                </c:pt>
                <c:pt idx="48">
                  <c:v>4</c:v>
                </c:pt>
                <c:pt idx="49">
                  <c:v>4.08</c:v>
                </c:pt>
                <c:pt idx="50">
                  <c:v>4.17</c:v>
                </c:pt>
                <c:pt idx="51">
                  <c:v>4.25</c:v>
                </c:pt>
                <c:pt idx="52">
                  <c:v>4.33</c:v>
                </c:pt>
                <c:pt idx="53">
                  <c:v>4.42</c:v>
                </c:pt>
                <c:pt idx="54">
                  <c:v>4.5</c:v>
                </c:pt>
                <c:pt idx="55">
                  <c:v>4.58</c:v>
                </c:pt>
                <c:pt idx="56">
                  <c:v>4.67</c:v>
                </c:pt>
                <c:pt idx="57">
                  <c:v>4.75</c:v>
                </c:pt>
                <c:pt idx="58">
                  <c:v>4.83</c:v>
                </c:pt>
                <c:pt idx="59">
                  <c:v>4.92</c:v>
                </c:pt>
                <c:pt idx="60">
                  <c:v>5</c:v>
                </c:pt>
                <c:pt idx="61">
                  <c:v>5.08</c:v>
                </c:pt>
                <c:pt idx="62">
                  <c:v>5.17</c:v>
                </c:pt>
                <c:pt idx="63">
                  <c:v>5.25</c:v>
                </c:pt>
                <c:pt idx="64">
                  <c:v>5.33</c:v>
                </c:pt>
                <c:pt idx="65">
                  <c:v>5.42</c:v>
                </c:pt>
                <c:pt idx="66">
                  <c:v>5.5</c:v>
                </c:pt>
                <c:pt idx="67">
                  <c:v>5.58</c:v>
                </c:pt>
                <c:pt idx="68">
                  <c:v>5.67</c:v>
                </c:pt>
                <c:pt idx="69">
                  <c:v>5.75</c:v>
                </c:pt>
                <c:pt idx="70">
                  <c:v>5.83</c:v>
                </c:pt>
                <c:pt idx="71">
                  <c:v>5.92</c:v>
                </c:pt>
              </c:numCache>
            </c:numRef>
          </c:xVal>
          <c:yVal>
            <c:numRef>
              <c:f>'Hyd Bar'!$C$2:$C$73</c:f>
              <c:numCache>
                <c:formatCode>General</c:formatCode>
                <c:ptCount val="72"/>
                <c:pt idx="0">
                  <c:v>0</c:v>
                </c:pt>
                <c:pt idx="1">
                  <c:v>0</c:v>
                </c:pt>
                <c:pt idx="2">
                  <c:v>0</c:v>
                </c:pt>
                <c:pt idx="3">
                  <c:v>0</c:v>
                </c:pt>
                <c:pt idx="4">
                  <c:v>0</c:v>
                </c:pt>
                <c:pt idx="5">
                  <c:v>4.6000000000000034E-3</c:v>
                </c:pt>
                <c:pt idx="6">
                  <c:v>0.14190000000000041</c:v>
                </c:pt>
                <c:pt idx="7">
                  <c:v>0.79670000000000063</c:v>
                </c:pt>
                <c:pt idx="8">
                  <c:v>3.4487999999999999</c:v>
                </c:pt>
                <c:pt idx="9">
                  <c:v>9.0492000000000008</c:v>
                </c:pt>
                <c:pt idx="10">
                  <c:v>13.399100000000002</c:v>
                </c:pt>
                <c:pt idx="11">
                  <c:v>11.459900000000006</c:v>
                </c:pt>
                <c:pt idx="12">
                  <c:v>7.0391000000000004</c:v>
                </c:pt>
                <c:pt idx="13">
                  <c:v>5.2734000000000014</c:v>
                </c:pt>
                <c:pt idx="14">
                  <c:v>5.3521999999999945</c:v>
                </c:pt>
                <c:pt idx="15">
                  <c:v>5.5902000000000003</c:v>
                </c:pt>
                <c:pt idx="16">
                  <c:v>5.2035</c:v>
                </c:pt>
                <c:pt idx="17">
                  <c:v>4.5446</c:v>
                </c:pt>
                <c:pt idx="18">
                  <c:v>4.2569999999999997</c:v>
                </c:pt>
                <c:pt idx="19">
                  <c:v>4.1567999999999996</c:v>
                </c:pt>
                <c:pt idx="20">
                  <c:v>3.7650999999999999</c:v>
                </c:pt>
                <c:pt idx="21">
                  <c:v>3.2783000000000002</c:v>
                </c:pt>
                <c:pt idx="22">
                  <c:v>3.12</c:v>
                </c:pt>
                <c:pt idx="23">
                  <c:v>3.1610999999999998</c:v>
                </c:pt>
                <c:pt idx="24">
                  <c:v>2.9908999999999977</c:v>
                </c:pt>
                <c:pt idx="25">
                  <c:v>2.5880000000000001</c:v>
                </c:pt>
                <c:pt idx="26">
                  <c:v>2.1265000000000001</c:v>
                </c:pt>
                <c:pt idx="27">
                  <c:v>1.6487000000000001</c:v>
                </c:pt>
                <c:pt idx="28">
                  <c:v>1.1789000000000001</c:v>
                </c:pt>
                <c:pt idx="29">
                  <c:v>0.78990000000000005</c:v>
                </c:pt>
                <c:pt idx="30">
                  <c:v>0.52539999999999998</c:v>
                </c:pt>
                <c:pt idx="31">
                  <c:v>0.36120000000000002</c:v>
                </c:pt>
                <c:pt idx="32">
                  <c:v>0.25010000000000004</c:v>
                </c:pt>
                <c:pt idx="33">
                  <c:v>0.17140000000000041</c:v>
                </c:pt>
                <c:pt idx="34">
                  <c:v>0.11990000000000002</c:v>
                </c:pt>
                <c:pt idx="35">
                  <c:v>8.5900000000000004E-2</c:v>
                </c:pt>
                <c:pt idx="36">
                  <c:v>6.2600000000000003E-2</c:v>
                </c:pt>
                <c:pt idx="37">
                  <c:v>4.6899999999999997E-2</c:v>
                </c:pt>
                <c:pt idx="38">
                  <c:v>3.570000000000001E-2</c:v>
                </c:pt>
                <c:pt idx="39">
                  <c:v>2.7600000000000117E-2</c:v>
                </c:pt>
                <c:pt idx="40">
                  <c:v>2.1800000000000052E-2</c:v>
                </c:pt>
                <c:pt idx="41">
                  <c:v>1.7299999999999996E-2</c:v>
                </c:pt>
                <c:pt idx="42">
                  <c:v>1.4E-2</c:v>
                </c:pt>
                <c:pt idx="43">
                  <c:v>1.1400000000000058E-2</c:v>
                </c:pt>
                <c:pt idx="44">
                  <c:v>9.4000000000000247E-3</c:v>
                </c:pt>
                <c:pt idx="45">
                  <c:v>7.9000000000000355E-3</c:v>
                </c:pt>
                <c:pt idx="46">
                  <c:v>6.6000000000000034E-3</c:v>
                </c:pt>
                <c:pt idx="47">
                  <c:v>5.6000000000000034E-3</c:v>
                </c:pt>
                <c:pt idx="48">
                  <c:v>4.7000000000000123E-3</c:v>
                </c:pt>
                <c:pt idx="49">
                  <c:v>4.1000000000000003E-3</c:v>
                </c:pt>
                <c:pt idx="50">
                  <c:v>3.5000000000000118E-3</c:v>
                </c:pt>
                <c:pt idx="51">
                  <c:v>3.0000000000000092E-3</c:v>
                </c:pt>
                <c:pt idx="52">
                  <c:v>2.7000000000000114E-3</c:v>
                </c:pt>
                <c:pt idx="53">
                  <c:v>2.3000000000000052E-3</c:v>
                </c:pt>
                <c:pt idx="54">
                  <c:v>2.0000000000000052E-3</c:v>
                </c:pt>
                <c:pt idx="55">
                  <c:v>1.8000000000000069E-3</c:v>
                </c:pt>
                <c:pt idx="56">
                  <c:v>1.6000000000000077E-3</c:v>
                </c:pt>
                <c:pt idx="57">
                  <c:v>1.4000000000000041E-3</c:v>
                </c:pt>
                <c:pt idx="58">
                  <c:v>1.2999999999999978E-3</c:v>
                </c:pt>
                <c:pt idx="59">
                  <c:v>1.1000000000000051E-3</c:v>
                </c:pt>
                <c:pt idx="60">
                  <c:v>1.0000000000000041E-3</c:v>
                </c:pt>
                <c:pt idx="61">
                  <c:v>9.0000000000000247E-4</c:v>
                </c:pt>
                <c:pt idx="62">
                  <c:v>8.0000000000000264E-4</c:v>
                </c:pt>
                <c:pt idx="63">
                  <c:v>8.0000000000000264E-4</c:v>
                </c:pt>
                <c:pt idx="64">
                  <c:v>7.0000000000000314E-4</c:v>
                </c:pt>
                <c:pt idx="65">
                  <c:v>6.0000000000000266E-4</c:v>
                </c:pt>
                <c:pt idx="66">
                  <c:v>6.0000000000000266E-4</c:v>
                </c:pt>
                <c:pt idx="67">
                  <c:v>5.0000000000000034E-4</c:v>
                </c:pt>
                <c:pt idx="68">
                  <c:v>5.0000000000000034E-4</c:v>
                </c:pt>
                <c:pt idx="69">
                  <c:v>4.0000000000000034E-4</c:v>
                </c:pt>
                <c:pt idx="70">
                  <c:v>4.0000000000000034E-4</c:v>
                </c:pt>
                <c:pt idx="71">
                  <c:v>4.0000000000000034E-4</c:v>
                </c:pt>
              </c:numCache>
            </c:numRef>
          </c:yVal>
          <c:smooth val="0"/>
        </c:ser>
        <c:ser>
          <c:idx val="2"/>
          <c:order val="2"/>
          <c:tx>
            <c:strRef>
              <c:f>'Hyd Bar'!$D$1</c:f>
              <c:strCache>
                <c:ptCount val="1"/>
                <c:pt idx="0">
                  <c:v>5% AEP</c:v>
                </c:pt>
              </c:strCache>
            </c:strRef>
          </c:tx>
          <c:marker>
            <c:symbol val="none"/>
          </c:marker>
          <c:xVal>
            <c:numRef>
              <c:f>'Hyd Bar'!$A$2:$A$73</c:f>
              <c:numCache>
                <c:formatCode>General</c:formatCode>
                <c:ptCount val="72"/>
                <c:pt idx="0">
                  <c:v>0</c:v>
                </c:pt>
                <c:pt idx="1">
                  <c:v>8.0000000000000043E-2</c:v>
                </c:pt>
                <c:pt idx="2">
                  <c:v>0.17</c:v>
                </c:pt>
                <c:pt idx="3">
                  <c:v>0.25</c:v>
                </c:pt>
                <c:pt idx="4">
                  <c:v>0.33000000000000146</c:v>
                </c:pt>
                <c:pt idx="5">
                  <c:v>0.42000000000000032</c:v>
                </c:pt>
                <c:pt idx="6">
                  <c:v>0.5</c:v>
                </c:pt>
                <c:pt idx="7">
                  <c:v>0.58000000000000007</c:v>
                </c:pt>
                <c:pt idx="8">
                  <c:v>0.67000000000000293</c:v>
                </c:pt>
                <c:pt idx="9">
                  <c:v>0.75000000000000233</c:v>
                </c:pt>
                <c:pt idx="10">
                  <c:v>0.83000000000000063</c:v>
                </c:pt>
                <c:pt idx="11">
                  <c:v>0.92</c:v>
                </c:pt>
                <c:pt idx="12">
                  <c:v>1</c:v>
                </c:pt>
                <c:pt idx="13">
                  <c:v>1.08</c:v>
                </c:pt>
                <c:pt idx="14">
                  <c:v>1.1700000000000021</c:v>
                </c:pt>
                <c:pt idx="15">
                  <c:v>1.25</c:v>
                </c:pt>
                <c:pt idx="16">
                  <c:v>1.33</c:v>
                </c:pt>
                <c:pt idx="17">
                  <c:v>1.42</c:v>
                </c:pt>
                <c:pt idx="18">
                  <c:v>1.5</c:v>
                </c:pt>
                <c:pt idx="19">
                  <c:v>1.58</c:v>
                </c:pt>
                <c:pt idx="20">
                  <c:v>1.6700000000000021</c:v>
                </c:pt>
                <c:pt idx="21">
                  <c:v>1.75</c:v>
                </c:pt>
                <c:pt idx="22">
                  <c:v>1.83</c:v>
                </c:pt>
                <c:pt idx="23">
                  <c:v>1.9200000000000021</c:v>
                </c:pt>
                <c:pt idx="24">
                  <c:v>2</c:v>
                </c:pt>
                <c:pt idx="25">
                  <c:v>2.08</c:v>
                </c:pt>
                <c:pt idx="26">
                  <c:v>2.17</c:v>
                </c:pt>
                <c:pt idx="27">
                  <c:v>2.25</c:v>
                </c:pt>
                <c:pt idx="28">
                  <c:v>2.3299999999999987</c:v>
                </c:pt>
                <c:pt idx="29">
                  <c:v>2.42</c:v>
                </c:pt>
                <c:pt idx="30">
                  <c:v>2.5</c:v>
                </c:pt>
                <c:pt idx="31">
                  <c:v>2.58</c:v>
                </c:pt>
                <c:pt idx="32">
                  <c:v>2.67</c:v>
                </c:pt>
                <c:pt idx="33">
                  <c:v>2.75</c:v>
                </c:pt>
                <c:pt idx="34">
                  <c:v>2.8299999999999987</c:v>
                </c:pt>
                <c:pt idx="35">
                  <c:v>2.92</c:v>
                </c:pt>
                <c:pt idx="36">
                  <c:v>3</c:v>
                </c:pt>
                <c:pt idx="37">
                  <c:v>3.08</c:v>
                </c:pt>
                <c:pt idx="38">
                  <c:v>3.17</c:v>
                </c:pt>
                <c:pt idx="39">
                  <c:v>3.25</c:v>
                </c:pt>
                <c:pt idx="40">
                  <c:v>3.3299999999999987</c:v>
                </c:pt>
                <c:pt idx="41">
                  <c:v>3.42</c:v>
                </c:pt>
                <c:pt idx="42">
                  <c:v>3.5</c:v>
                </c:pt>
                <c:pt idx="43">
                  <c:v>3.58</c:v>
                </c:pt>
                <c:pt idx="44">
                  <c:v>3.67</c:v>
                </c:pt>
                <c:pt idx="45">
                  <c:v>3.75</c:v>
                </c:pt>
                <c:pt idx="46">
                  <c:v>3.8299999999999987</c:v>
                </c:pt>
                <c:pt idx="47">
                  <c:v>3.92</c:v>
                </c:pt>
                <c:pt idx="48">
                  <c:v>4</c:v>
                </c:pt>
                <c:pt idx="49">
                  <c:v>4.08</c:v>
                </c:pt>
                <c:pt idx="50">
                  <c:v>4.17</c:v>
                </c:pt>
                <c:pt idx="51">
                  <c:v>4.25</c:v>
                </c:pt>
                <c:pt idx="52">
                  <c:v>4.33</c:v>
                </c:pt>
                <c:pt idx="53">
                  <c:v>4.42</c:v>
                </c:pt>
                <c:pt idx="54">
                  <c:v>4.5</c:v>
                </c:pt>
                <c:pt idx="55">
                  <c:v>4.58</c:v>
                </c:pt>
                <c:pt idx="56">
                  <c:v>4.67</c:v>
                </c:pt>
                <c:pt idx="57">
                  <c:v>4.75</c:v>
                </c:pt>
                <c:pt idx="58">
                  <c:v>4.83</c:v>
                </c:pt>
                <c:pt idx="59">
                  <c:v>4.92</c:v>
                </c:pt>
                <c:pt idx="60">
                  <c:v>5</c:v>
                </c:pt>
                <c:pt idx="61">
                  <c:v>5.08</c:v>
                </c:pt>
                <c:pt idx="62">
                  <c:v>5.17</c:v>
                </c:pt>
                <c:pt idx="63">
                  <c:v>5.25</c:v>
                </c:pt>
                <c:pt idx="64">
                  <c:v>5.33</c:v>
                </c:pt>
                <c:pt idx="65">
                  <c:v>5.42</c:v>
                </c:pt>
                <c:pt idx="66">
                  <c:v>5.5</c:v>
                </c:pt>
                <c:pt idx="67">
                  <c:v>5.58</c:v>
                </c:pt>
                <c:pt idx="68">
                  <c:v>5.67</c:v>
                </c:pt>
                <c:pt idx="69">
                  <c:v>5.75</c:v>
                </c:pt>
                <c:pt idx="70">
                  <c:v>5.83</c:v>
                </c:pt>
                <c:pt idx="71">
                  <c:v>5.92</c:v>
                </c:pt>
              </c:numCache>
            </c:numRef>
          </c:xVal>
          <c:yVal>
            <c:numRef>
              <c:f>'Hyd Bar'!$D$2:$D$73</c:f>
              <c:numCache>
                <c:formatCode>General</c:formatCode>
                <c:ptCount val="72"/>
                <c:pt idx="0">
                  <c:v>0</c:v>
                </c:pt>
                <c:pt idx="1">
                  <c:v>0</c:v>
                </c:pt>
                <c:pt idx="2">
                  <c:v>0</c:v>
                </c:pt>
                <c:pt idx="3">
                  <c:v>0</c:v>
                </c:pt>
                <c:pt idx="4">
                  <c:v>8.0000000000000264E-4</c:v>
                </c:pt>
                <c:pt idx="5">
                  <c:v>1.4900000000000005E-2</c:v>
                </c:pt>
                <c:pt idx="6">
                  <c:v>0.36320000000000002</c:v>
                </c:pt>
                <c:pt idx="7">
                  <c:v>1.9256</c:v>
                </c:pt>
                <c:pt idx="8">
                  <c:v>6.5420999999999996</c:v>
                </c:pt>
                <c:pt idx="9">
                  <c:v>13.4863</c:v>
                </c:pt>
                <c:pt idx="10">
                  <c:v>17.415699999999905</c:v>
                </c:pt>
                <c:pt idx="11">
                  <c:v>13.9903</c:v>
                </c:pt>
                <c:pt idx="12">
                  <c:v>8.2936000000000014</c:v>
                </c:pt>
                <c:pt idx="13">
                  <c:v>6.2165999999999997</c:v>
                </c:pt>
                <c:pt idx="14">
                  <c:v>6.3943999999999965</c:v>
                </c:pt>
                <c:pt idx="15">
                  <c:v>6.6988999999999965</c:v>
                </c:pt>
                <c:pt idx="16">
                  <c:v>6.1704999999999997</c:v>
                </c:pt>
                <c:pt idx="17">
                  <c:v>5.2991999999999999</c:v>
                </c:pt>
                <c:pt idx="18">
                  <c:v>4.9958</c:v>
                </c:pt>
                <c:pt idx="19">
                  <c:v>4.8971999999999865</c:v>
                </c:pt>
                <c:pt idx="20">
                  <c:v>4.3750999999999998</c:v>
                </c:pt>
                <c:pt idx="21">
                  <c:v>3.7517</c:v>
                </c:pt>
                <c:pt idx="22">
                  <c:v>3.5911</c:v>
                </c:pt>
                <c:pt idx="23">
                  <c:v>3.7061000000000002</c:v>
                </c:pt>
                <c:pt idx="24">
                  <c:v>3.593</c:v>
                </c:pt>
                <c:pt idx="25">
                  <c:v>3.3655999999999997</c:v>
                </c:pt>
                <c:pt idx="26">
                  <c:v>3.2044999999999999</c:v>
                </c:pt>
                <c:pt idx="27">
                  <c:v>2.9065999999999987</c:v>
                </c:pt>
                <c:pt idx="28">
                  <c:v>2.4041000000000001</c:v>
                </c:pt>
                <c:pt idx="29">
                  <c:v>1.9382999999999999</c:v>
                </c:pt>
                <c:pt idx="30">
                  <c:v>1.5908</c:v>
                </c:pt>
                <c:pt idx="31">
                  <c:v>1.1895</c:v>
                </c:pt>
                <c:pt idx="32">
                  <c:v>0.71519999999999995</c:v>
                </c:pt>
                <c:pt idx="33">
                  <c:v>0.36680000000000146</c:v>
                </c:pt>
                <c:pt idx="34">
                  <c:v>0.20240000000000041</c:v>
                </c:pt>
                <c:pt idx="35">
                  <c:v>0.13150000000000001</c:v>
                </c:pt>
                <c:pt idx="36">
                  <c:v>9.0600000000000028E-2</c:v>
                </c:pt>
                <c:pt idx="37">
                  <c:v>6.3500000000000001E-2</c:v>
                </c:pt>
                <c:pt idx="38">
                  <c:v>4.5900000000000003E-2</c:v>
                </c:pt>
                <c:pt idx="39">
                  <c:v>3.44E-2</c:v>
                </c:pt>
                <c:pt idx="40">
                  <c:v>2.63E-2</c:v>
                </c:pt>
                <c:pt idx="41">
                  <c:v>2.0500000000000001E-2</c:v>
                </c:pt>
                <c:pt idx="42">
                  <c:v>1.6299999999999999E-2</c:v>
                </c:pt>
                <c:pt idx="43">
                  <c:v>1.3100000000000021E-2</c:v>
                </c:pt>
                <c:pt idx="44">
                  <c:v>1.0699999999999998E-2</c:v>
                </c:pt>
                <c:pt idx="45">
                  <c:v>8.8000000000000248E-3</c:v>
                </c:pt>
                <c:pt idx="46">
                  <c:v>7.3000000000000113E-3</c:v>
                </c:pt>
                <c:pt idx="47">
                  <c:v>6.2000000000000223E-3</c:v>
                </c:pt>
                <c:pt idx="48">
                  <c:v>5.1999999999999998E-3</c:v>
                </c:pt>
                <c:pt idx="49">
                  <c:v>4.5000000000000014E-3</c:v>
                </c:pt>
                <c:pt idx="50">
                  <c:v>3.8000000000000052E-3</c:v>
                </c:pt>
                <c:pt idx="51">
                  <c:v>3.3000000000000052E-3</c:v>
                </c:pt>
                <c:pt idx="52">
                  <c:v>2.8999999999999998E-3</c:v>
                </c:pt>
                <c:pt idx="53">
                  <c:v>2.5000000000000092E-3</c:v>
                </c:pt>
                <c:pt idx="54">
                  <c:v>2.2000000000000092E-3</c:v>
                </c:pt>
                <c:pt idx="55">
                  <c:v>1.9000000000000098E-3</c:v>
                </c:pt>
                <c:pt idx="56">
                  <c:v>1.7000000000000055E-3</c:v>
                </c:pt>
                <c:pt idx="57">
                  <c:v>1.5000000000000046E-3</c:v>
                </c:pt>
                <c:pt idx="58">
                  <c:v>1.4000000000000041E-3</c:v>
                </c:pt>
                <c:pt idx="59">
                  <c:v>1.1999999999999999E-3</c:v>
                </c:pt>
                <c:pt idx="60">
                  <c:v>1.1000000000000051E-3</c:v>
                </c:pt>
                <c:pt idx="61">
                  <c:v>1.0000000000000041E-3</c:v>
                </c:pt>
                <c:pt idx="62">
                  <c:v>9.0000000000000247E-4</c:v>
                </c:pt>
                <c:pt idx="63">
                  <c:v>8.0000000000000264E-4</c:v>
                </c:pt>
                <c:pt idx="64">
                  <c:v>7.0000000000000314E-4</c:v>
                </c:pt>
                <c:pt idx="65">
                  <c:v>7.0000000000000314E-4</c:v>
                </c:pt>
                <c:pt idx="66">
                  <c:v>6.0000000000000266E-4</c:v>
                </c:pt>
                <c:pt idx="67">
                  <c:v>6.0000000000000266E-4</c:v>
                </c:pt>
                <c:pt idx="68">
                  <c:v>5.0000000000000034E-4</c:v>
                </c:pt>
                <c:pt idx="69">
                  <c:v>5.0000000000000034E-4</c:v>
                </c:pt>
                <c:pt idx="70">
                  <c:v>4.0000000000000034E-4</c:v>
                </c:pt>
                <c:pt idx="71">
                  <c:v>4.0000000000000034E-4</c:v>
                </c:pt>
              </c:numCache>
            </c:numRef>
          </c:yVal>
          <c:smooth val="0"/>
        </c:ser>
        <c:ser>
          <c:idx val="3"/>
          <c:order val="3"/>
          <c:tx>
            <c:strRef>
              <c:f>'Hyd Bar'!$E$1</c:f>
              <c:strCache>
                <c:ptCount val="1"/>
                <c:pt idx="0">
                  <c:v>1% AEP</c:v>
                </c:pt>
              </c:strCache>
            </c:strRef>
          </c:tx>
          <c:marker>
            <c:symbol val="none"/>
          </c:marker>
          <c:xVal>
            <c:numRef>
              <c:f>'Hyd Bar'!$A$2:$A$73</c:f>
              <c:numCache>
                <c:formatCode>General</c:formatCode>
                <c:ptCount val="72"/>
                <c:pt idx="0">
                  <c:v>0</c:v>
                </c:pt>
                <c:pt idx="1">
                  <c:v>8.0000000000000043E-2</c:v>
                </c:pt>
                <c:pt idx="2">
                  <c:v>0.17</c:v>
                </c:pt>
                <c:pt idx="3">
                  <c:v>0.25</c:v>
                </c:pt>
                <c:pt idx="4">
                  <c:v>0.33000000000000146</c:v>
                </c:pt>
                <c:pt idx="5">
                  <c:v>0.42000000000000032</c:v>
                </c:pt>
                <c:pt idx="6">
                  <c:v>0.5</c:v>
                </c:pt>
                <c:pt idx="7">
                  <c:v>0.58000000000000007</c:v>
                </c:pt>
                <c:pt idx="8">
                  <c:v>0.67000000000000293</c:v>
                </c:pt>
                <c:pt idx="9">
                  <c:v>0.75000000000000233</c:v>
                </c:pt>
                <c:pt idx="10">
                  <c:v>0.83000000000000063</c:v>
                </c:pt>
                <c:pt idx="11">
                  <c:v>0.92</c:v>
                </c:pt>
                <c:pt idx="12">
                  <c:v>1</c:v>
                </c:pt>
                <c:pt idx="13">
                  <c:v>1.08</c:v>
                </c:pt>
                <c:pt idx="14">
                  <c:v>1.1700000000000021</c:v>
                </c:pt>
                <c:pt idx="15">
                  <c:v>1.25</c:v>
                </c:pt>
                <c:pt idx="16">
                  <c:v>1.33</c:v>
                </c:pt>
                <c:pt idx="17">
                  <c:v>1.42</c:v>
                </c:pt>
                <c:pt idx="18">
                  <c:v>1.5</c:v>
                </c:pt>
                <c:pt idx="19">
                  <c:v>1.58</c:v>
                </c:pt>
                <c:pt idx="20">
                  <c:v>1.6700000000000021</c:v>
                </c:pt>
                <c:pt idx="21">
                  <c:v>1.75</c:v>
                </c:pt>
                <c:pt idx="22">
                  <c:v>1.83</c:v>
                </c:pt>
                <c:pt idx="23">
                  <c:v>1.9200000000000021</c:v>
                </c:pt>
                <c:pt idx="24">
                  <c:v>2</c:v>
                </c:pt>
                <c:pt idx="25">
                  <c:v>2.08</c:v>
                </c:pt>
                <c:pt idx="26">
                  <c:v>2.17</c:v>
                </c:pt>
                <c:pt idx="27">
                  <c:v>2.25</c:v>
                </c:pt>
                <c:pt idx="28">
                  <c:v>2.3299999999999987</c:v>
                </c:pt>
                <c:pt idx="29">
                  <c:v>2.42</c:v>
                </c:pt>
                <c:pt idx="30">
                  <c:v>2.5</c:v>
                </c:pt>
                <c:pt idx="31">
                  <c:v>2.58</c:v>
                </c:pt>
                <c:pt idx="32">
                  <c:v>2.67</c:v>
                </c:pt>
                <c:pt idx="33">
                  <c:v>2.75</c:v>
                </c:pt>
                <c:pt idx="34">
                  <c:v>2.8299999999999987</c:v>
                </c:pt>
                <c:pt idx="35">
                  <c:v>2.92</c:v>
                </c:pt>
                <c:pt idx="36">
                  <c:v>3</c:v>
                </c:pt>
                <c:pt idx="37">
                  <c:v>3.08</c:v>
                </c:pt>
                <c:pt idx="38">
                  <c:v>3.17</c:v>
                </c:pt>
                <c:pt idx="39">
                  <c:v>3.25</c:v>
                </c:pt>
                <c:pt idx="40">
                  <c:v>3.3299999999999987</c:v>
                </c:pt>
                <c:pt idx="41">
                  <c:v>3.42</c:v>
                </c:pt>
                <c:pt idx="42">
                  <c:v>3.5</c:v>
                </c:pt>
                <c:pt idx="43">
                  <c:v>3.58</c:v>
                </c:pt>
                <c:pt idx="44">
                  <c:v>3.67</c:v>
                </c:pt>
                <c:pt idx="45">
                  <c:v>3.75</c:v>
                </c:pt>
                <c:pt idx="46">
                  <c:v>3.8299999999999987</c:v>
                </c:pt>
                <c:pt idx="47">
                  <c:v>3.92</c:v>
                </c:pt>
                <c:pt idx="48">
                  <c:v>4</c:v>
                </c:pt>
                <c:pt idx="49">
                  <c:v>4.08</c:v>
                </c:pt>
                <c:pt idx="50">
                  <c:v>4.17</c:v>
                </c:pt>
                <c:pt idx="51">
                  <c:v>4.25</c:v>
                </c:pt>
                <c:pt idx="52">
                  <c:v>4.33</c:v>
                </c:pt>
                <c:pt idx="53">
                  <c:v>4.42</c:v>
                </c:pt>
                <c:pt idx="54">
                  <c:v>4.5</c:v>
                </c:pt>
                <c:pt idx="55">
                  <c:v>4.58</c:v>
                </c:pt>
                <c:pt idx="56">
                  <c:v>4.67</c:v>
                </c:pt>
                <c:pt idx="57">
                  <c:v>4.75</c:v>
                </c:pt>
                <c:pt idx="58">
                  <c:v>4.83</c:v>
                </c:pt>
                <c:pt idx="59">
                  <c:v>4.92</c:v>
                </c:pt>
                <c:pt idx="60">
                  <c:v>5</c:v>
                </c:pt>
                <c:pt idx="61">
                  <c:v>5.08</c:v>
                </c:pt>
                <c:pt idx="62">
                  <c:v>5.17</c:v>
                </c:pt>
                <c:pt idx="63">
                  <c:v>5.25</c:v>
                </c:pt>
                <c:pt idx="64">
                  <c:v>5.33</c:v>
                </c:pt>
                <c:pt idx="65">
                  <c:v>5.42</c:v>
                </c:pt>
                <c:pt idx="66">
                  <c:v>5.5</c:v>
                </c:pt>
                <c:pt idx="67">
                  <c:v>5.58</c:v>
                </c:pt>
                <c:pt idx="68">
                  <c:v>5.67</c:v>
                </c:pt>
                <c:pt idx="69">
                  <c:v>5.75</c:v>
                </c:pt>
                <c:pt idx="70">
                  <c:v>5.83</c:v>
                </c:pt>
                <c:pt idx="71">
                  <c:v>5.92</c:v>
                </c:pt>
              </c:numCache>
            </c:numRef>
          </c:xVal>
          <c:yVal>
            <c:numRef>
              <c:f>'Hyd Bar'!$E$2:$E$73</c:f>
              <c:numCache>
                <c:formatCode>General</c:formatCode>
                <c:ptCount val="72"/>
                <c:pt idx="0">
                  <c:v>0</c:v>
                </c:pt>
                <c:pt idx="1">
                  <c:v>0</c:v>
                </c:pt>
                <c:pt idx="2">
                  <c:v>5.1999999999999998E-3</c:v>
                </c:pt>
                <c:pt idx="3">
                  <c:v>2.1105999999999998</c:v>
                </c:pt>
                <c:pt idx="4">
                  <c:v>14.434800000000001</c:v>
                </c:pt>
                <c:pt idx="5">
                  <c:v>28.629799999999989</c:v>
                </c:pt>
                <c:pt idx="6">
                  <c:v>22.741399999999913</c:v>
                </c:pt>
                <c:pt idx="7">
                  <c:v>9.4529000000000067</c:v>
                </c:pt>
                <c:pt idx="8">
                  <c:v>3.8746999999999967</c:v>
                </c:pt>
                <c:pt idx="9">
                  <c:v>2.6936</c:v>
                </c:pt>
                <c:pt idx="10">
                  <c:v>2.2557999999999998</c:v>
                </c:pt>
                <c:pt idx="11">
                  <c:v>2.0407999999999999</c:v>
                </c:pt>
                <c:pt idx="12">
                  <c:v>1.9068000000000001</c:v>
                </c:pt>
                <c:pt idx="13">
                  <c:v>1.8893</c:v>
                </c:pt>
                <c:pt idx="14">
                  <c:v>1.8458999999999948</c:v>
                </c:pt>
                <c:pt idx="15">
                  <c:v>1.8007</c:v>
                </c:pt>
                <c:pt idx="16">
                  <c:v>1.7876999999999947</c:v>
                </c:pt>
                <c:pt idx="17">
                  <c:v>1.7490999999999948</c:v>
                </c:pt>
                <c:pt idx="18">
                  <c:v>1.722599999999995</c:v>
                </c:pt>
                <c:pt idx="19">
                  <c:v>1.6889000000000001</c:v>
                </c:pt>
                <c:pt idx="20">
                  <c:v>1.6292</c:v>
                </c:pt>
                <c:pt idx="21">
                  <c:v>1.4637999999999924</c:v>
                </c:pt>
                <c:pt idx="22">
                  <c:v>1.1051</c:v>
                </c:pt>
                <c:pt idx="23">
                  <c:v>0.64759999999999995</c:v>
                </c:pt>
                <c:pt idx="24">
                  <c:v>0.31860000000000038</c:v>
                </c:pt>
                <c:pt idx="25">
                  <c:v>0.16209999999999999</c:v>
                </c:pt>
                <c:pt idx="26">
                  <c:v>0.10070000000000009</c:v>
                </c:pt>
                <c:pt idx="27">
                  <c:v>6.5600000000000006E-2</c:v>
                </c:pt>
                <c:pt idx="28">
                  <c:v>4.3299999999999998E-2</c:v>
                </c:pt>
                <c:pt idx="29">
                  <c:v>3.0500000000000006E-2</c:v>
                </c:pt>
                <c:pt idx="30">
                  <c:v>2.1800000000000052E-2</c:v>
                </c:pt>
                <c:pt idx="31">
                  <c:v>1.6199999999999999E-2</c:v>
                </c:pt>
                <c:pt idx="32">
                  <c:v>1.2300000000000005E-2</c:v>
                </c:pt>
                <c:pt idx="33">
                  <c:v>9.6000000000000026E-3</c:v>
                </c:pt>
                <c:pt idx="34">
                  <c:v>7.6000000000000104E-3</c:v>
                </c:pt>
                <c:pt idx="35">
                  <c:v>6.1000000000000004E-3</c:v>
                </c:pt>
                <c:pt idx="36">
                  <c:v>5.0000000000000114E-3</c:v>
                </c:pt>
                <c:pt idx="37">
                  <c:v>4.1000000000000003E-3</c:v>
                </c:pt>
                <c:pt idx="38">
                  <c:v>3.5000000000000118E-3</c:v>
                </c:pt>
                <c:pt idx="39">
                  <c:v>2.8999999999999998E-3</c:v>
                </c:pt>
                <c:pt idx="40">
                  <c:v>2.5000000000000092E-3</c:v>
                </c:pt>
                <c:pt idx="41">
                  <c:v>2.2000000000000092E-3</c:v>
                </c:pt>
                <c:pt idx="42">
                  <c:v>1.9000000000000098E-3</c:v>
                </c:pt>
                <c:pt idx="43">
                  <c:v>1.6000000000000077E-3</c:v>
                </c:pt>
                <c:pt idx="44">
                  <c:v>1.4000000000000041E-3</c:v>
                </c:pt>
                <c:pt idx="45">
                  <c:v>1.2999999999999978E-3</c:v>
                </c:pt>
                <c:pt idx="46">
                  <c:v>1.1000000000000051E-3</c:v>
                </c:pt>
                <c:pt idx="47">
                  <c:v>1.0000000000000041E-3</c:v>
                </c:pt>
                <c:pt idx="48">
                  <c:v>9.0000000000000247E-4</c:v>
                </c:pt>
                <c:pt idx="49">
                  <c:v>8.0000000000000264E-4</c:v>
                </c:pt>
                <c:pt idx="50">
                  <c:v>7.0000000000000314E-4</c:v>
                </c:pt>
                <c:pt idx="51">
                  <c:v>7.0000000000000314E-4</c:v>
                </c:pt>
                <c:pt idx="52">
                  <c:v>6.0000000000000266E-4</c:v>
                </c:pt>
                <c:pt idx="53">
                  <c:v>5.0000000000000034E-4</c:v>
                </c:pt>
                <c:pt idx="54">
                  <c:v>5.0000000000000034E-4</c:v>
                </c:pt>
                <c:pt idx="55">
                  <c:v>5.0000000000000034E-4</c:v>
                </c:pt>
                <c:pt idx="56">
                  <c:v>4.0000000000000034E-4</c:v>
                </c:pt>
                <c:pt idx="57">
                  <c:v>4.0000000000000034E-4</c:v>
                </c:pt>
                <c:pt idx="58">
                  <c:v>4.0000000000000034E-4</c:v>
                </c:pt>
                <c:pt idx="59">
                  <c:v>3.0000000000000138E-4</c:v>
                </c:pt>
                <c:pt idx="60">
                  <c:v>3.0000000000000138E-4</c:v>
                </c:pt>
                <c:pt idx="61">
                  <c:v>3.0000000000000138E-4</c:v>
                </c:pt>
                <c:pt idx="62">
                  <c:v>3.0000000000000138E-4</c:v>
                </c:pt>
                <c:pt idx="63">
                  <c:v>2.0000000000000052E-4</c:v>
                </c:pt>
                <c:pt idx="64">
                  <c:v>2.0000000000000052E-4</c:v>
                </c:pt>
                <c:pt idx="65">
                  <c:v>2.0000000000000052E-4</c:v>
                </c:pt>
                <c:pt idx="66">
                  <c:v>2.0000000000000052E-4</c:v>
                </c:pt>
                <c:pt idx="67">
                  <c:v>2.0000000000000052E-4</c:v>
                </c:pt>
                <c:pt idx="68">
                  <c:v>2.0000000000000052E-4</c:v>
                </c:pt>
                <c:pt idx="69">
                  <c:v>2.0000000000000052E-4</c:v>
                </c:pt>
                <c:pt idx="70">
                  <c:v>1.0000000000000051E-4</c:v>
                </c:pt>
                <c:pt idx="71">
                  <c:v>1.0000000000000051E-4</c:v>
                </c:pt>
              </c:numCache>
            </c:numRef>
          </c:yVal>
          <c:smooth val="0"/>
        </c:ser>
        <c:dLbls>
          <c:showLegendKey val="0"/>
          <c:showVal val="0"/>
          <c:showCatName val="0"/>
          <c:showSerName val="0"/>
          <c:showPercent val="0"/>
          <c:showBubbleSize val="0"/>
        </c:dLbls>
        <c:axId val="154284416"/>
        <c:axId val="154286336"/>
      </c:scatterChart>
      <c:valAx>
        <c:axId val="154284416"/>
        <c:scaling>
          <c:orientation val="minMax"/>
          <c:max val="3"/>
        </c:scaling>
        <c:delete val="0"/>
        <c:axPos val="b"/>
        <c:title>
          <c:tx>
            <c:rich>
              <a:bodyPr/>
              <a:lstStyle/>
              <a:p>
                <a:pPr>
                  <a:defRPr lang="en-AU"/>
                </a:pPr>
                <a:r>
                  <a:rPr lang="en-AU"/>
                  <a:t>Time (hours)</a:t>
                </a:r>
              </a:p>
            </c:rich>
          </c:tx>
          <c:layout/>
          <c:overlay val="0"/>
        </c:title>
        <c:numFmt formatCode="General" sourceLinked="1"/>
        <c:majorTickMark val="out"/>
        <c:minorTickMark val="none"/>
        <c:tickLblPos val="nextTo"/>
        <c:txPr>
          <a:bodyPr/>
          <a:lstStyle/>
          <a:p>
            <a:pPr>
              <a:defRPr lang="en-AU"/>
            </a:pPr>
            <a:endParaRPr lang="en-US"/>
          </a:p>
        </c:txPr>
        <c:crossAx val="154286336"/>
        <c:crosses val="autoZero"/>
        <c:crossBetween val="midCat"/>
      </c:valAx>
      <c:valAx>
        <c:axId val="154286336"/>
        <c:scaling>
          <c:orientation val="minMax"/>
        </c:scaling>
        <c:delete val="0"/>
        <c:axPos val="l"/>
        <c:majorGridlines/>
        <c:title>
          <c:tx>
            <c:rich>
              <a:bodyPr rot="-5400000" vert="horz"/>
              <a:lstStyle/>
              <a:p>
                <a:pPr>
                  <a:defRPr lang="en-AU"/>
                </a:pPr>
                <a:r>
                  <a:rPr lang="en-AU"/>
                  <a:t>Flow (m</a:t>
                </a:r>
                <a:r>
                  <a:rPr lang="en-AU" baseline="30000"/>
                  <a:t>3</a:t>
                </a:r>
                <a:r>
                  <a:rPr lang="en-AU"/>
                  <a:t>/s)</a:t>
                </a:r>
              </a:p>
            </c:rich>
          </c:tx>
          <c:layout/>
          <c:overlay val="0"/>
        </c:title>
        <c:numFmt formatCode="General" sourceLinked="1"/>
        <c:majorTickMark val="out"/>
        <c:minorTickMark val="none"/>
        <c:tickLblPos val="nextTo"/>
        <c:txPr>
          <a:bodyPr/>
          <a:lstStyle/>
          <a:p>
            <a:pPr>
              <a:defRPr lang="en-AU"/>
            </a:pPr>
            <a:endParaRPr lang="en-US"/>
          </a:p>
        </c:txPr>
        <c:crossAx val="154284416"/>
        <c:crosses val="autoZero"/>
        <c:crossBetween val="midCat"/>
      </c:valAx>
    </c:plotArea>
    <c:legend>
      <c:legendPos val="r"/>
      <c:layout/>
      <c:overlay val="0"/>
      <c:txPr>
        <a:bodyPr/>
        <a:lstStyle/>
        <a:p>
          <a:pPr>
            <a:defRPr lang="en-AU"/>
          </a:pPr>
          <a:endParaRPr lang="en-US"/>
        </a:p>
      </c:txPr>
    </c:legend>
    <c:plotVisOnly val="1"/>
    <c:dispBlanksAs val="gap"/>
    <c:showDLblsOverMax val="0"/>
  </c:chart>
  <c:spPr>
    <a:ln w="6350">
      <a:solidFill>
        <a:sysClr val="windowText" lastClr="000000"/>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'Hyd Out'!$B$1</c:f>
              <c:strCache>
                <c:ptCount val="1"/>
                <c:pt idx="0">
                  <c:v>20% AEP</c:v>
                </c:pt>
              </c:strCache>
            </c:strRef>
          </c:tx>
          <c:marker>
            <c:symbol val="none"/>
          </c:marker>
          <c:xVal>
            <c:numRef>
              <c:f>'Hyd Out'!$A$2:$A$72</c:f>
              <c:numCache>
                <c:formatCode>General</c:formatCode>
                <c:ptCount val="71"/>
                <c:pt idx="0">
                  <c:v>8.0000000000000043E-2</c:v>
                </c:pt>
                <c:pt idx="1">
                  <c:v>0.17</c:v>
                </c:pt>
                <c:pt idx="2">
                  <c:v>0.25</c:v>
                </c:pt>
                <c:pt idx="3">
                  <c:v>0.33000000000000146</c:v>
                </c:pt>
                <c:pt idx="4">
                  <c:v>0.42000000000000032</c:v>
                </c:pt>
                <c:pt idx="5">
                  <c:v>0.5</c:v>
                </c:pt>
                <c:pt idx="6">
                  <c:v>0.58000000000000007</c:v>
                </c:pt>
                <c:pt idx="7">
                  <c:v>0.67000000000000293</c:v>
                </c:pt>
                <c:pt idx="8">
                  <c:v>0.75000000000000233</c:v>
                </c:pt>
                <c:pt idx="9">
                  <c:v>0.83000000000000063</c:v>
                </c:pt>
                <c:pt idx="10">
                  <c:v>0.92</c:v>
                </c:pt>
                <c:pt idx="11">
                  <c:v>1</c:v>
                </c:pt>
                <c:pt idx="12">
                  <c:v>1.08</c:v>
                </c:pt>
                <c:pt idx="13">
                  <c:v>1.1700000000000021</c:v>
                </c:pt>
                <c:pt idx="14">
                  <c:v>1.25</c:v>
                </c:pt>
                <c:pt idx="15">
                  <c:v>1.33</c:v>
                </c:pt>
                <c:pt idx="16">
                  <c:v>1.42</c:v>
                </c:pt>
                <c:pt idx="17">
                  <c:v>1.5</c:v>
                </c:pt>
                <c:pt idx="18">
                  <c:v>1.58</c:v>
                </c:pt>
                <c:pt idx="19">
                  <c:v>1.6700000000000021</c:v>
                </c:pt>
                <c:pt idx="20">
                  <c:v>1.75</c:v>
                </c:pt>
                <c:pt idx="21">
                  <c:v>1.83</c:v>
                </c:pt>
                <c:pt idx="22">
                  <c:v>1.9200000000000021</c:v>
                </c:pt>
                <c:pt idx="23">
                  <c:v>2</c:v>
                </c:pt>
                <c:pt idx="24">
                  <c:v>2.08</c:v>
                </c:pt>
                <c:pt idx="25">
                  <c:v>2.17</c:v>
                </c:pt>
                <c:pt idx="26">
                  <c:v>2.25</c:v>
                </c:pt>
                <c:pt idx="27">
                  <c:v>2.3299999999999987</c:v>
                </c:pt>
                <c:pt idx="28">
                  <c:v>2.42</c:v>
                </c:pt>
                <c:pt idx="29">
                  <c:v>2.5</c:v>
                </c:pt>
                <c:pt idx="30">
                  <c:v>2.58</c:v>
                </c:pt>
                <c:pt idx="31">
                  <c:v>2.67</c:v>
                </c:pt>
                <c:pt idx="32">
                  <c:v>2.75</c:v>
                </c:pt>
                <c:pt idx="33">
                  <c:v>2.8299999999999987</c:v>
                </c:pt>
                <c:pt idx="34">
                  <c:v>2.92</c:v>
                </c:pt>
                <c:pt idx="35">
                  <c:v>3</c:v>
                </c:pt>
                <c:pt idx="36">
                  <c:v>3.08</c:v>
                </c:pt>
                <c:pt idx="37">
                  <c:v>3.17</c:v>
                </c:pt>
                <c:pt idx="38">
                  <c:v>3.25</c:v>
                </c:pt>
                <c:pt idx="39">
                  <c:v>3.3299999999999987</c:v>
                </c:pt>
                <c:pt idx="40">
                  <c:v>3.42</c:v>
                </c:pt>
                <c:pt idx="41">
                  <c:v>3.5</c:v>
                </c:pt>
                <c:pt idx="42">
                  <c:v>3.58</c:v>
                </c:pt>
                <c:pt idx="43">
                  <c:v>3.67</c:v>
                </c:pt>
                <c:pt idx="44">
                  <c:v>3.75</c:v>
                </c:pt>
                <c:pt idx="45">
                  <c:v>3.8299999999999987</c:v>
                </c:pt>
                <c:pt idx="46">
                  <c:v>3.92</c:v>
                </c:pt>
                <c:pt idx="47">
                  <c:v>4</c:v>
                </c:pt>
                <c:pt idx="48">
                  <c:v>4.08</c:v>
                </c:pt>
                <c:pt idx="49">
                  <c:v>4.17</c:v>
                </c:pt>
                <c:pt idx="50">
                  <c:v>4.25</c:v>
                </c:pt>
                <c:pt idx="51">
                  <c:v>4.33</c:v>
                </c:pt>
                <c:pt idx="52">
                  <c:v>4.42</c:v>
                </c:pt>
                <c:pt idx="53">
                  <c:v>4.5</c:v>
                </c:pt>
                <c:pt idx="54">
                  <c:v>4.58</c:v>
                </c:pt>
                <c:pt idx="55">
                  <c:v>4.67</c:v>
                </c:pt>
                <c:pt idx="56">
                  <c:v>4.75</c:v>
                </c:pt>
                <c:pt idx="57">
                  <c:v>4.83</c:v>
                </c:pt>
                <c:pt idx="58">
                  <c:v>4.92</c:v>
                </c:pt>
                <c:pt idx="59">
                  <c:v>5</c:v>
                </c:pt>
                <c:pt idx="60">
                  <c:v>5.08</c:v>
                </c:pt>
                <c:pt idx="61">
                  <c:v>5.17</c:v>
                </c:pt>
                <c:pt idx="62">
                  <c:v>5.25</c:v>
                </c:pt>
                <c:pt idx="63">
                  <c:v>5.33</c:v>
                </c:pt>
                <c:pt idx="64">
                  <c:v>5.42</c:v>
                </c:pt>
                <c:pt idx="65">
                  <c:v>5.5</c:v>
                </c:pt>
                <c:pt idx="66">
                  <c:v>5.58</c:v>
                </c:pt>
                <c:pt idx="67">
                  <c:v>5.67</c:v>
                </c:pt>
                <c:pt idx="68">
                  <c:v>5.75</c:v>
                </c:pt>
                <c:pt idx="69">
                  <c:v>5.83</c:v>
                </c:pt>
                <c:pt idx="70">
                  <c:v>5.92</c:v>
                </c:pt>
              </c:numCache>
            </c:numRef>
          </c:xVal>
          <c:yVal>
            <c:numRef>
              <c:f>'Hyd Out'!$B$2:$B$71</c:f>
              <c:numCache>
                <c:formatCode>General</c:formatCode>
                <c:ptCount val="70"/>
                <c:pt idx="0">
                  <c:v>0</c:v>
                </c:pt>
                <c:pt idx="1">
                  <c:v>0</c:v>
                </c:pt>
                <c:pt idx="2">
                  <c:v>0</c:v>
                </c:pt>
                <c:pt idx="3">
                  <c:v>0</c:v>
                </c:pt>
                <c:pt idx="4">
                  <c:v>1.0000000000000051E-4</c:v>
                </c:pt>
                <c:pt idx="5">
                  <c:v>1.2999999999999998E-2</c:v>
                </c:pt>
                <c:pt idx="6">
                  <c:v>0.23150000000000001</c:v>
                </c:pt>
                <c:pt idx="7">
                  <c:v>1.9515</c:v>
                </c:pt>
                <c:pt idx="8">
                  <c:v>6.7058</c:v>
                </c:pt>
                <c:pt idx="9">
                  <c:v>12.051500000000004</c:v>
                </c:pt>
                <c:pt idx="10">
                  <c:v>13.783100000000001</c:v>
                </c:pt>
                <c:pt idx="11">
                  <c:v>13.141500000000001</c:v>
                </c:pt>
                <c:pt idx="12">
                  <c:v>13.8102</c:v>
                </c:pt>
                <c:pt idx="13">
                  <c:v>15.6075</c:v>
                </c:pt>
                <c:pt idx="14">
                  <c:v>16.54949999999991</c:v>
                </c:pt>
                <c:pt idx="15">
                  <c:v>15.893400000000026</c:v>
                </c:pt>
                <c:pt idx="16">
                  <c:v>14.571900000000001</c:v>
                </c:pt>
                <c:pt idx="17">
                  <c:v>13.4785</c:v>
                </c:pt>
                <c:pt idx="18">
                  <c:v>12.571400000000002</c:v>
                </c:pt>
                <c:pt idx="19">
                  <c:v>11.6112</c:v>
                </c:pt>
                <c:pt idx="20">
                  <c:v>10.581100000000001</c:v>
                </c:pt>
                <c:pt idx="21">
                  <c:v>9.6435000000000013</c:v>
                </c:pt>
                <c:pt idx="22">
                  <c:v>8.8849</c:v>
                </c:pt>
                <c:pt idx="23">
                  <c:v>8.3088000000000015</c:v>
                </c:pt>
                <c:pt idx="24">
                  <c:v>7.864199999999979</c:v>
                </c:pt>
                <c:pt idx="25">
                  <c:v>7.4399000000000024</c:v>
                </c:pt>
                <c:pt idx="26">
                  <c:v>6.9447000000000001</c:v>
                </c:pt>
                <c:pt idx="27">
                  <c:v>6.3784999999999998</c:v>
                </c:pt>
                <c:pt idx="28">
                  <c:v>5.7850999999999999</c:v>
                </c:pt>
                <c:pt idx="29">
                  <c:v>5.2319000000000004</c:v>
                </c:pt>
                <c:pt idx="30">
                  <c:v>4.7564000000000002</c:v>
                </c:pt>
                <c:pt idx="31">
                  <c:v>4.3468999999999998</c:v>
                </c:pt>
                <c:pt idx="32">
                  <c:v>3.9912999999999967</c:v>
                </c:pt>
                <c:pt idx="33">
                  <c:v>3.6892999999999998</c:v>
                </c:pt>
                <c:pt idx="34">
                  <c:v>3.4377999999999997</c:v>
                </c:pt>
                <c:pt idx="35">
                  <c:v>3.2324999999999977</c:v>
                </c:pt>
                <c:pt idx="36">
                  <c:v>3.0680000000000001</c:v>
                </c:pt>
                <c:pt idx="37">
                  <c:v>2.9373</c:v>
                </c:pt>
                <c:pt idx="38">
                  <c:v>2.8323999999999967</c:v>
                </c:pt>
                <c:pt idx="39">
                  <c:v>2.7454999999999998</c:v>
                </c:pt>
                <c:pt idx="40">
                  <c:v>2.6698</c:v>
                </c:pt>
                <c:pt idx="41">
                  <c:v>2.5995999999999997</c:v>
                </c:pt>
                <c:pt idx="42">
                  <c:v>2.5306999999999977</c:v>
                </c:pt>
                <c:pt idx="43">
                  <c:v>2.46</c:v>
                </c:pt>
                <c:pt idx="44">
                  <c:v>2.3853999999999997</c:v>
                </c:pt>
                <c:pt idx="45">
                  <c:v>2.3048999999999977</c:v>
                </c:pt>
                <c:pt idx="46">
                  <c:v>2.2161999999999997</c:v>
                </c:pt>
                <c:pt idx="47">
                  <c:v>2.117</c:v>
                </c:pt>
                <c:pt idx="48">
                  <c:v>2.0055000000000001</c:v>
                </c:pt>
                <c:pt idx="49">
                  <c:v>1.8807</c:v>
                </c:pt>
                <c:pt idx="50">
                  <c:v>1.742699999999995</c:v>
                </c:pt>
                <c:pt idx="51">
                  <c:v>1.5912999999999955</c:v>
                </c:pt>
                <c:pt idx="52">
                  <c:v>1.4272999999999931</c:v>
                </c:pt>
                <c:pt idx="53">
                  <c:v>1.2535999999999936</c:v>
                </c:pt>
                <c:pt idx="54">
                  <c:v>1.0782</c:v>
                </c:pt>
                <c:pt idx="55">
                  <c:v>0.91249999999999998</c:v>
                </c:pt>
                <c:pt idx="56">
                  <c:v>0.76750000000000063</c:v>
                </c:pt>
                <c:pt idx="57">
                  <c:v>0.64920000000000222</c:v>
                </c:pt>
                <c:pt idx="58">
                  <c:v>0.55770000000000064</c:v>
                </c:pt>
                <c:pt idx="59">
                  <c:v>0.48930000000000123</c:v>
                </c:pt>
                <c:pt idx="60">
                  <c:v>0.43880000000000147</c:v>
                </c:pt>
                <c:pt idx="61">
                  <c:v>0.40130000000000032</c:v>
                </c:pt>
                <c:pt idx="62">
                  <c:v>0.37260000000000032</c:v>
                </c:pt>
                <c:pt idx="63">
                  <c:v>0.35000000000000031</c:v>
                </c:pt>
                <c:pt idx="64">
                  <c:v>0.33120000000000038</c:v>
                </c:pt>
                <c:pt idx="65">
                  <c:v>0.31510000000000032</c:v>
                </c:pt>
                <c:pt idx="66">
                  <c:v>0.30090000000000111</c:v>
                </c:pt>
                <c:pt idx="67">
                  <c:v>0.28810000000000002</c:v>
                </c:pt>
                <c:pt idx="68">
                  <c:v>0.27610000000000001</c:v>
                </c:pt>
                <c:pt idx="69">
                  <c:v>0.26479999999999998</c:v>
                </c:pt>
              </c:numCache>
            </c:numRef>
          </c:yVal>
          <c:smooth val="0"/>
        </c:ser>
        <c:ser>
          <c:idx val="1"/>
          <c:order val="1"/>
          <c:tx>
            <c:strRef>
              <c:f>'Hyd Out'!$C$1</c:f>
              <c:strCache>
                <c:ptCount val="1"/>
                <c:pt idx="0">
                  <c:v>10% AEP</c:v>
                </c:pt>
              </c:strCache>
            </c:strRef>
          </c:tx>
          <c:marker>
            <c:symbol val="none"/>
          </c:marker>
          <c:xVal>
            <c:numRef>
              <c:f>'Hyd Out'!$A$2:$A$72</c:f>
              <c:numCache>
                <c:formatCode>General</c:formatCode>
                <c:ptCount val="71"/>
                <c:pt idx="0">
                  <c:v>8.0000000000000043E-2</c:v>
                </c:pt>
                <c:pt idx="1">
                  <c:v>0.17</c:v>
                </c:pt>
                <c:pt idx="2">
                  <c:v>0.25</c:v>
                </c:pt>
                <c:pt idx="3">
                  <c:v>0.33000000000000146</c:v>
                </c:pt>
                <c:pt idx="4">
                  <c:v>0.42000000000000032</c:v>
                </c:pt>
                <c:pt idx="5">
                  <c:v>0.5</c:v>
                </c:pt>
                <c:pt idx="6">
                  <c:v>0.58000000000000007</c:v>
                </c:pt>
                <c:pt idx="7">
                  <c:v>0.67000000000000293</c:v>
                </c:pt>
                <c:pt idx="8">
                  <c:v>0.75000000000000233</c:v>
                </c:pt>
                <c:pt idx="9">
                  <c:v>0.83000000000000063</c:v>
                </c:pt>
                <c:pt idx="10">
                  <c:v>0.92</c:v>
                </c:pt>
                <c:pt idx="11">
                  <c:v>1</c:v>
                </c:pt>
                <c:pt idx="12">
                  <c:v>1.08</c:v>
                </c:pt>
                <c:pt idx="13">
                  <c:v>1.1700000000000021</c:v>
                </c:pt>
                <c:pt idx="14">
                  <c:v>1.25</c:v>
                </c:pt>
                <c:pt idx="15">
                  <c:v>1.33</c:v>
                </c:pt>
                <c:pt idx="16">
                  <c:v>1.42</c:v>
                </c:pt>
                <c:pt idx="17">
                  <c:v>1.5</c:v>
                </c:pt>
                <c:pt idx="18">
                  <c:v>1.58</c:v>
                </c:pt>
                <c:pt idx="19">
                  <c:v>1.6700000000000021</c:v>
                </c:pt>
                <c:pt idx="20">
                  <c:v>1.75</c:v>
                </c:pt>
                <c:pt idx="21">
                  <c:v>1.83</c:v>
                </c:pt>
                <c:pt idx="22">
                  <c:v>1.9200000000000021</c:v>
                </c:pt>
                <c:pt idx="23">
                  <c:v>2</c:v>
                </c:pt>
                <c:pt idx="24">
                  <c:v>2.08</c:v>
                </c:pt>
                <c:pt idx="25">
                  <c:v>2.17</c:v>
                </c:pt>
                <c:pt idx="26">
                  <c:v>2.25</c:v>
                </c:pt>
                <c:pt idx="27">
                  <c:v>2.3299999999999987</c:v>
                </c:pt>
                <c:pt idx="28">
                  <c:v>2.42</c:v>
                </c:pt>
                <c:pt idx="29">
                  <c:v>2.5</c:v>
                </c:pt>
                <c:pt idx="30">
                  <c:v>2.58</c:v>
                </c:pt>
                <c:pt idx="31">
                  <c:v>2.67</c:v>
                </c:pt>
                <c:pt idx="32">
                  <c:v>2.75</c:v>
                </c:pt>
                <c:pt idx="33">
                  <c:v>2.8299999999999987</c:v>
                </c:pt>
                <c:pt idx="34">
                  <c:v>2.92</c:v>
                </c:pt>
                <c:pt idx="35">
                  <c:v>3</c:v>
                </c:pt>
                <c:pt idx="36">
                  <c:v>3.08</c:v>
                </c:pt>
                <c:pt idx="37">
                  <c:v>3.17</c:v>
                </c:pt>
                <c:pt idx="38">
                  <c:v>3.25</c:v>
                </c:pt>
                <c:pt idx="39">
                  <c:v>3.3299999999999987</c:v>
                </c:pt>
                <c:pt idx="40">
                  <c:v>3.42</c:v>
                </c:pt>
                <c:pt idx="41">
                  <c:v>3.5</c:v>
                </c:pt>
                <c:pt idx="42">
                  <c:v>3.58</c:v>
                </c:pt>
                <c:pt idx="43">
                  <c:v>3.67</c:v>
                </c:pt>
                <c:pt idx="44">
                  <c:v>3.75</c:v>
                </c:pt>
                <c:pt idx="45">
                  <c:v>3.8299999999999987</c:v>
                </c:pt>
                <c:pt idx="46">
                  <c:v>3.92</c:v>
                </c:pt>
                <c:pt idx="47">
                  <c:v>4</c:v>
                </c:pt>
                <c:pt idx="48">
                  <c:v>4.08</c:v>
                </c:pt>
                <c:pt idx="49">
                  <c:v>4.17</c:v>
                </c:pt>
                <c:pt idx="50">
                  <c:v>4.25</c:v>
                </c:pt>
                <c:pt idx="51">
                  <c:v>4.33</c:v>
                </c:pt>
                <c:pt idx="52">
                  <c:v>4.42</c:v>
                </c:pt>
                <c:pt idx="53">
                  <c:v>4.5</c:v>
                </c:pt>
                <c:pt idx="54">
                  <c:v>4.58</c:v>
                </c:pt>
                <c:pt idx="55">
                  <c:v>4.67</c:v>
                </c:pt>
                <c:pt idx="56">
                  <c:v>4.75</c:v>
                </c:pt>
                <c:pt idx="57">
                  <c:v>4.83</c:v>
                </c:pt>
                <c:pt idx="58">
                  <c:v>4.92</c:v>
                </c:pt>
                <c:pt idx="59">
                  <c:v>5</c:v>
                </c:pt>
                <c:pt idx="60">
                  <c:v>5.08</c:v>
                </c:pt>
                <c:pt idx="61">
                  <c:v>5.17</c:v>
                </c:pt>
                <c:pt idx="62">
                  <c:v>5.25</c:v>
                </c:pt>
                <c:pt idx="63">
                  <c:v>5.33</c:v>
                </c:pt>
                <c:pt idx="64">
                  <c:v>5.42</c:v>
                </c:pt>
                <c:pt idx="65">
                  <c:v>5.5</c:v>
                </c:pt>
                <c:pt idx="66">
                  <c:v>5.58</c:v>
                </c:pt>
                <c:pt idx="67">
                  <c:v>5.67</c:v>
                </c:pt>
                <c:pt idx="68">
                  <c:v>5.75</c:v>
                </c:pt>
                <c:pt idx="69">
                  <c:v>5.83</c:v>
                </c:pt>
                <c:pt idx="70">
                  <c:v>5.92</c:v>
                </c:pt>
              </c:numCache>
            </c:numRef>
          </c:xVal>
          <c:yVal>
            <c:numRef>
              <c:f>'Hyd Out'!$C$2:$C$71</c:f>
              <c:numCache>
                <c:formatCode>General</c:formatCode>
                <c:ptCount val="70"/>
                <c:pt idx="0">
                  <c:v>0</c:v>
                </c:pt>
                <c:pt idx="1">
                  <c:v>0</c:v>
                </c:pt>
                <c:pt idx="2">
                  <c:v>0</c:v>
                </c:pt>
                <c:pt idx="3">
                  <c:v>0</c:v>
                </c:pt>
                <c:pt idx="4">
                  <c:v>5.0000000000000034E-4</c:v>
                </c:pt>
                <c:pt idx="5">
                  <c:v>9.1000000000000025E-2</c:v>
                </c:pt>
                <c:pt idx="6">
                  <c:v>0.82070000000000065</c:v>
                </c:pt>
                <c:pt idx="7">
                  <c:v>3.9041999999999999</c:v>
                </c:pt>
                <c:pt idx="8">
                  <c:v>10.571900000000001</c:v>
                </c:pt>
                <c:pt idx="9">
                  <c:v>17.039800000000035</c:v>
                </c:pt>
                <c:pt idx="10">
                  <c:v>18.801300000000001</c:v>
                </c:pt>
                <c:pt idx="11">
                  <c:v>18.254899999999999</c:v>
                </c:pt>
                <c:pt idx="12">
                  <c:v>19.27809999999991</c:v>
                </c:pt>
                <c:pt idx="13">
                  <c:v>21.00219999999991</c:v>
                </c:pt>
                <c:pt idx="14">
                  <c:v>21.211600000000001</c:v>
                </c:pt>
                <c:pt idx="15">
                  <c:v>19.590199999999989</c:v>
                </c:pt>
                <c:pt idx="16">
                  <c:v>17.59979999999991</c:v>
                </c:pt>
                <c:pt idx="17">
                  <c:v>16.154100000000035</c:v>
                </c:pt>
                <c:pt idx="18">
                  <c:v>15.126800000000001</c:v>
                </c:pt>
                <c:pt idx="19">
                  <c:v>14.08</c:v>
                </c:pt>
                <c:pt idx="20">
                  <c:v>13.0411</c:v>
                </c:pt>
                <c:pt idx="21">
                  <c:v>12.2631</c:v>
                </c:pt>
                <c:pt idx="22">
                  <c:v>11.710100000000001</c:v>
                </c:pt>
                <c:pt idx="23">
                  <c:v>11.159700000000004</c:v>
                </c:pt>
                <c:pt idx="24">
                  <c:v>10.4918</c:v>
                </c:pt>
                <c:pt idx="25">
                  <c:v>9.7062000000000008</c:v>
                </c:pt>
                <c:pt idx="26">
                  <c:v>8.8497000000000003</c:v>
                </c:pt>
                <c:pt idx="27">
                  <c:v>8.0159000000000002</c:v>
                </c:pt>
                <c:pt idx="28">
                  <c:v>7.2582000000000004</c:v>
                </c:pt>
                <c:pt idx="29">
                  <c:v>6.5787000000000004</c:v>
                </c:pt>
                <c:pt idx="30">
                  <c:v>5.9728000000000003</c:v>
                </c:pt>
                <c:pt idx="31">
                  <c:v>5.4277999999999995</c:v>
                </c:pt>
                <c:pt idx="32">
                  <c:v>4.9416000000000189</c:v>
                </c:pt>
                <c:pt idx="33">
                  <c:v>4.5318000000000014</c:v>
                </c:pt>
                <c:pt idx="34">
                  <c:v>4.2077999999999998</c:v>
                </c:pt>
                <c:pt idx="35">
                  <c:v>3.9613999999999998</c:v>
                </c:pt>
                <c:pt idx="36">
                  <c:v>3.7732999999999999</c:v>
                </c:pt>
                <c:pt idx="37">
                  <c:v>3.6242000000000001</c:v>
                </c:pt>
                <c:pt idx="38">
                  <c:v>3.5011000000000001</c:v>
                </c:pt>
                <c:pt idx="39">
                  <c:v>3.3977999999999997</c:v>
                </c:pt>
                <c:pt idx="40">
                  <c:v>3.3113999999999977</c:v>
                </c:pt>
                <c:pt idx="41">
                  <c:v>3.2395</c:v>
                </c:pt>
                <c:pt idx="42">
                  <c:v>3.1793</c:v>
                </c:pt>
                <c:pt idx="43">
                  <c:v>3.1274999999999999</c:v>
                </c:pt>
                <c:pt idx="44">
                  <c:v>3.0813000000000001</c:v>
                </c:pt>
                <c:pt idx="45">
                  <c:v>3.0387999999999997</c:v>
                </c:pt>
                <c:pt idx="46">
                  <c:v>2.9983999999999997</c:v>
                </c:pt>
                <c:pt idx="47">
                  <c:v>2.9589999999999987</c:v>
                </c:pt>
                <c:pt idx="48">
                  <c:v>2.9193999999999987</c:v>
                </c:pt>
                <c:pt idx="49">
                  <c:v>2.8787999999999987</c:v>
                </c:pt>
                <c:pt idx="50">
                  <c:v>2.8367999999999967</c:v>
                </c:pt>
                <c:pt idx="51">
                  <c:v>2.7936000000000001</c:v>
                </c:pt>
                <c:pt idx="52">
                  <c:v>2.7492000000000001</c:v>
                </c:pt>
                <c:pt idx="53">
                  <c:v>2.7033000000000098</c:v>
                </c:pt>
                <c:pt idx="54">
                  <c:v>2.6539999999999999</c:v>
                </c:pt>
                <c:pt idx="55">
                  <c:v>2.5981000000000001</c:v>
                </c:pt>
                <c:pt idx="56">
                  <c:v>2.5309999999999997</c:v>
                </c:pt>
                <c:pt idx="57">
                  <c:v>2.4479000000000002</c:v>
                </c:pt>
                <c:pt idx="58">
                  <c:v>2.3452999999999977</c:v>
                </c:pt>
                <c:pt idx="59">
                  <c:v>2.2219000000000002</c:v>
                </c:pt>
                <c:pt idx="60">
                  <c:v>2.0783999999999998</c:v>
                </c:pt>
                <c:pt idx="61">
                  <c:v>1.9158999999999955</c:v>
                </c:pt>
                <c:pt idx="62">
                  <c:v>1.7350999999999948</c:v>
                </c:pt>
                <c:pt idx="63">
                  <c:v>1.5368999999999955</c:v>
                </c:pt>
                <c:pt idx="64">
                  <c:v>1.3260000000000001</c:v>
                </c:pt>
                <c:pt idx="65">
                  <c:v>1.1133</c:v>
                </c:pt>
                <c:pt idx="66">
                  <c:v>0.91449999999999998</c:v>
                </c:pt>
                <c:pt idx="67">
                  <c:v>0.74280000000000246</c:v>
                </c:pt>
                <c:pt idx="68">
                  <c:v>0.60480000000000245</c:v>
                </c:pt>
                <c:pt idx="69">
                  <c:v>0.49950000000000111</c:v>
                </c:pt>
              </c:numCache>
            </c:numRef>
          </c:yVal>
          <c:smooth val="0"/>
        </c:ser>
        <c:ser>
          <c:idx val="2"/>
          <c:order val="2"/>
          <c:tx>
            <c:strRef>
              <c:f>'Hyd Out'!$D$1</c:f>
              <c:strCache>
                <c:ptCount val="1"/>
                <c:pt idx="0">
                  <c:v>5% AEP</c:v>
                </c:pt>
              </c:strCache>
            </c:strRef>
          </c:tx>
          <c:marker>
            <c:symbol val="none"/>
          </c:marker>
          <c:xVal>
            <c:numRef>
              <c:f>'Hyd Out'!$A$2:$A$72</c:f>
              <c:numCache>
                <c:formatCode>General</c:formatCode>
                <c:ptCount val="71"/>
                <c:pt idx="0">
                  <c:v>8.0000000000000043E-2</c:v>
                </c:pt>
                <c:pt idx="1">
                  <c:v>0.17</c:v>
                </c:pt>
                <c:pt idx="2">
                  <c:v>0.25</c:v>
                </c:pt>
                <c:pt idx="3">
                  <c:v>0.33000000000000146</c:v>
                </c:pt>
                <c:pt idx="4">
                  <c:v>0.42000000000000032</c:v>
                </c:pt>
                <c:pt idx="5">
                  <c:v>0.5</c:v>
                </c:pt>
                <c:pt idx="6">
                  <c:v>0.58000000000000007</c:v>
                </c:pt>
                <c:pt idx="7">
                  <c:v>0.67000000000000293</c:v>
                </c:pt>
                <c:pt idx="8">
                  <c:v>0.75000000000000233</c:v>
                </c:pt>
                <c:pt idx="9">
                  <c:v>0.83000000000000063</c:v>
                </c:pt>
                <c:pt idx="10">
                  <c:v>0.92</c:v>
                </c:pt>
                <c:pt idx="11">
                  <c:v>1</c:v>
                </c:pt>
                <c:pt idx="12">
                  <c:v>1.08</c:v>
                </c:pt>
                <c:pt idx="13">
                  <c:v>1.1700000000000021</c:v>
                </c:pt>
                <c:pt idx="14">
                  <c:v>1.25</c:v>
                </c:pt>
                <c:pt idx="15">
                  <c:v>1.33</c:v>
                </c:pt>
                <c:pt idx="16">
                  <c:v>1.42</c:v>
                </c:pt>
                <c:pt idx="17">
                  <c:v>1.5</c:v>
                </c:pt>
                <c:pt idx="18">
                  <c:v>1.58</c:v>
                </c:pt>
                <c:pt idx="19">
                  <c:v>1.6700000000000021</c:v>
                </c:pt>
                <c:pt idx="20">
                  <c:v>1.75</c:v>
                </c:pt>
                <c:pt idx="21">
                  <c:v>1.83</c:v>
                </c:pt>
                <c:pt idx="22">
                  <c:v>1.9200000000000021</c:v>
                </c:pt>
                <c:pt idx="23">
                  <c:v>2</c:v>
                </c:pt>
                <c:pt idx="24">
                  <c:v>2.08</c:v>
                </c:pt>
                <c:pt idx="25">
                  <c:v>2.17</c:v>
                </c:pt>
                <c:pt idx="26">
                  <c:v>2.25</c:v>
                </c:pt>
                <c:pt idx="27">
                  <c:v>2.3299999999999987</c:v>
                </c:pt>
                <c:pt idx="28">
                  <c:v>2.42</c:v>
                </c:pt>
                <c:pt idx="29">
                  <c:v>2.5</c:v>
                </c:pt>
                <c:pt idx="30">
                  <c:v>2.58</c:v>
                </c:pt>
                <c:pt idx="31">
                  <c:v>2.67</c:v>
                </c:pt>
                <c:pt idx="32">
                  <c:v>2.75</c:v>
                </c:pt>
                <c:pt idx="33">
                  <c:v>2.8299999999999987</c:v>
                </c:pt>
                <c:pt idx="34">
                  <c:v>2.92</c:v>
                </c:pt>
                <c:pt idx="35">
                  <c:v>3</c:v>
                </c:pt>
                <c:pt idx="36">
                  <c:v>3.08</c:v>
                </c:pt>
                <c:pt idx="37">
                  <c:v>3.17</c:v>
                </c:pt>
                <c:pt idx="38">
                  <c:v>3.25</c:v>
                </c:pt>
                <c:pt idx="39">
                  <c:v>3.3299999999999987</c:v>
                </c:pt>
                <c:pt idx="40">
                  <c:v>3.42</c:v>
                </c:pt>
                <c:pt idx="41">
                  <c:v>3.5</c:v>
                </c:pt>
                <c:pt idx="42">
                  <c:v>3.58</c:v>
                </c:pt>
                <c:pt idx="43">
                  <c:v>3.67</c:v>
                </c:pt>
                <c:pt idx="44">
                  <c:v>3.75</c:v>
                </c:pt>
                <c:pt idx="45">
                  <c:v>3.8299999999999987</c:v>
                </c:pt>
                <c:pt idx="46">
                  <c:v>3.92</c:v>
                </c:pt>
                <c:pt idx="47">
                  <c:v>4</c:v>
                </c:pt>
                <c:pt idx="48">
                  <c:v>4.08</c:v>
                </c:pt>
                <c:pt idx="49">
                  <c:v>4.17</c:v>
                </c:pt>
                <c:pt idx="50">
                  <c:v>4.25</c:v>
                </c:pt>
                <c:pt idx="51">
                  <c:v>4.33</c:v>
                </c:pt>
                <c:pt idx="52">
                  <c:v>4.42</c:v>
                </c:pt>
                <c:pt idx="53">
                  <c:v>4.5</c:v>
                </c:pt>
                <c:pt idx="54">
                  <c:v>4.58</c:v>
                </c:pt>
                <c:pt idx="55">
                  <c:v>4.67</c:v>
                </c:pt>
                <c:pt idx="56">
                  <c:v>4.75</c:v>
                </c:pt>
                <c:pt idx="57">
                  <c:v>4.83</c:v>
                </c:pt>
                <c:pt idx="58">
                  <c:v>4.92</c:v>
                </c:pt>
                <c:pt idx="59">
                  <c:v>5</c:v>
                </c:pt>
                <c:pt idx="60">
                  <c:v>5.08</c:v>
                </c:pt>
                <c:pt idx="61">
                  <c:v>5.17</c:v>
                </c:pt>
                <c:pt idx="62">
                  <c:v>5.25</c:v>
                </c:pt>
                <c:pt idx="63">
                  <c:v>5.33</c:v>
                </c:pt>
                <c:pt idx="64">
                  <c:v>5.42</c:v>
                </c:pt>
                <c:pt idx="65">
                  <c:v>5.5</c:v>
                </c:pt>
                <c:pt idx="66">
                  <c:v>5.58</c:v>
                </c:pt>
                <c:pt idx="67">
                  <c:v>5.67</c:v>
                </c:pt>
                <c:pt idx="68">
                  <c:v>5.75</c:v>
                </c:pt>
                <c:pt idx="69">
                  <c:v>5.83</c:v>
                </c:pt>
                <c:pt idx="70">
                  <c:v>5.92</c:v>
                </c:pt>
              </c:numCache>
            </c:numRef>
          </c:xVal>
          <c:yVal>
            <c:numRef>
              <c:f>'Hyd Out'!$D$2:$D$71</c:f>
              <c:numCache>
                <c:formatCode>General</c:formatCode>
                <c:ptCount val="70"/>
                <c:pt idx="0">
                  <c:v>0</c:v>
                </c:pt>
                <c:pt idx="1">
                  <c:v>0</c:v>
                </c:pt>
                <c:pt idx="2">
                  <c:v>0</c:v>
                </c:pt>
                <c:pt idx="3">
                  <c:v>0.11520000000000002</c:v>
                </c:pt>
                <c:pt idx="4">
                  <c:v>1.498</c:v>
                </c:pt>
                <c:pt idx="5">
                  <c:v>7.3532999999999999</c:v>
                </c:pt>
                <c:pt idx="6">
                  <c:v>16.979399999999909</c:v>
                </c:pt>
                <c:pt idx="7">
                  <c:v>23.110700000000001</c:v>
                </c:pt>
                <c:pt idx="8">
                  <c:v>24.30859999999991</c:v>
                </c:pt>
                <c:pt idx="9">
                  <c:v>25.708699999999883</c:v>
                </c:pt>
                <c:pt idx="10">
                  <c:v>27.987399999999898</c:v>
                </c:pt>
                <c:pt idx="11">
                  <c:v>28.209399999999913</c:v>
                </c:pt>
                <c:pt idx="12">
                  <c:v>25.727399999999989</c:v>
                </c:pt>
                <c:pt idx="13">
                  <c:v>22.241399999999913</c:v>
                </c:pt>
                <c:pt idx="14">
                  <c:v>18.860499999999909</c:v>
                </c:pt>
                <c:pt idx="15">
                  <c:v>15.8283</c:v>
                </c:pt>
                <c:pt idx="16">
                  <c:v>13.3611</c:v>
                </c:pt>
                <c:pt idx="17">
                  <c:v>11.5237</c:v>
                </c:pt>
                <c:pt idx="18">
                  <c:v>10.1096</c:v>
                </c:pt>
                <c:pt idx="19">
                  <c:v>8.9702000000000002</c:v>
                </c:pt>
                <c:pt idx="20">
                  <c:v>8.0983999999999998</c:v>
                </c:pt>
                <c:pt idx="21">
                  <c:v>7.4336000000000189</c:v>
                </c:pt>
                <c:pt idx="22">
                  <c:v>6.8673999999999955</c:v>
                </c:pt>
                <c:pt idx="23">
                  <c:v>6.2717000000000134</c:v>
                </c:pt>
                <c:pt idx="24">
                  <c:v>5.6108999999999956</c:v>
                </c:pt>
                <c:pt idx="25">
                  <c:v>5.0220999999999965</c:v>
                </c:pt>
                <c:pt idx="26">
                  <c:v>4.6097999999999999</c:v>
                </c:pt>
                <c:pt idx="27">
                  <c:v>4.3307000000000002</c:v>
                </c:pt>
                <c:pt idx="28">
                  <c:v>4.1072999999999995</c:v>
                </c:pt>
                <c:pt idx="29">
                  <c:v>3.9173999999999998</c:v>
                </c:pt>
                <c:pt idx="30">
                  <c:v>3.7688999999999999</c:v>
                </c:pt>
                <c:pt idx="31">
                  <c:v>3.6638999999999999</c:v>
                </c:pt>
                <c:pt idx="32">
                  <c:v>3.5903999999999998</c:v>
                </c:pt>
                <c:pt idx="33">
                  <c:v>3.5320999999999967</c:v>
                </c:pt>
                <c:pt idx="34">
                  <c:v>3.4795999999999987</c:v>
                </c:pt>
                <c:pt idx="35">
                  <c:v>3.4297</c:v>
                </c:pt>
                <c:pt idx="36">
                  <c:v>3.3818999999999977</c:v>
                </c:pt>
                <c:pt idx="37">
                  <c:v>3.3355999999999977</c:v>
                </c:pt>
                <c:pt idx="38">
                  <c:v>3.2905000000000002</c:v>
                </c:pt>
                <c:pt idx="39">
                  <c:v>3.2469999999999999</c:v>
                </c:pt>
                <c:pt idx="40">
                  <c:v>3.2061000000000002</c:v>
                </c:pt>
                <c:pt idx="41">
                  <c:v>3.1680999999999999</c:v>
                </c:pt>
                <c:pt idx="42">
                  <c:v>3.1323999999999987</c:v>
                </c:pt>
                <c:pt idx="43">
                  <c:v>3.0983999999999998</c:v>
                </c:pt>
                <c:pt idx="44">
                  <c:v>3.0651000000000002</c:v>
                </c:pt>
                <c:pt idx="45">
                  <c:v>3.0318999999999967</c:v>
                </c:pt>
                <c:pt idx="46">
                  <c:v>2.9984999999999977</c:v>
                </c:pt>
                <c:pt idx="47">
                  <c:v>2.9641000000000002</c:v>
                </c:pt>
                <c:pt idx="48">
                  <c:v>2.9281999999999999</c:v>
                </c:pt>
                <c:pt idx="49">
                  <c:v>2.8900999999999977</c:v>
                </c:pt>
                <c:pt idx="50">
                  <c:v>2.8493999999999997</c:v>
                </c:pt>
                <c:pt idx="51">
                  <c:v>2.8056999999999968</c:v>
                </c:pt>
                <c:pt idx="52">
                  <c:v>2.7585999999999999</c:v>
                </c:pt>
                <c:pt idx="53">
                  <c:v>2.7075000000000098</c:v>
                </c:pt>
                <c:pt idx="54">
                  <c:v>2.6503000000000001</c:v>
                </c:pt>
                <c:pt idx="55">
                  <c:v>2.5831000000000088</c:v>
                </c:pt>
                <c:pt idx="56">
                  <c:v>2.5009999999999999</c:v>
                </c:pt>
                <c:pt idx="57">
                  <c:v>2.3990999999999967</c:v>
                </c:pt>
                <c:pt idx="58">
                  <c:v>2.2749999999999999</c:v>
                </c:pt>
                <c:pt idx="59">
                  <c:v>2.129</c:v>
                </c:pt>
                <c:pt idx="60">
                  <c:v>1.9619</c:v>
                </c:pt>
                <c:pt idx="61">
                  <c:v>1.7735999999999947</c:v>
                </c:pt>
                <c:pt idx="62">
                  <c:v>1.5638999999999947</c:v>
                </c:pt>
                <c:pt idx="63">
                  <c:v>1.337599999999995</c:v>
                </c:pt>
                <c:pt idx="64">
                  <c:v>1.107799999999995</c:v>
                </c:pt>
                <c:pt idx="65">
                  <c:v>0.89280000000000004</c:v>
                </c:pt>
                <c:pt idx="66">
                  <c:v>0.70800000000000063</c:v>
                </c:pt>
                <c:pt idx="67">
                  <c:v>0.56020000000000003</c:v>
                </c:pt>
                <c:pt idx="68">
                  <c:v>0.44800000000000001</c:v>
                </c:pt>
                <c:pt idx="69">
                  <c:v>0.36550000000000032</c:v>
                </c:pt>
              </c:numCache>
            </c:numRef>
          </c:yVal>
          <c:smooth val="0"/>
        </c:ser>
        <c:ser>
          <c:idx val="3"/>
          <c:order val="3"/>
          <c:tx>
            <c:strRef>
              <c:f>'Hyd Out'!$E$1</c:f>
              <c:strCache>
                <c:ptCount val="1"/>
                <c:pt idx="0">
                  <c:v>1% AEP</c:v>
                </c:pt>
              </c:strCache>
            </c:strRef>
          </c:tx>
          <c:marker>
            <c:symbol val="none"/>
          </c:marker>
          <c:xVal>
            <c:numRef>
              <c:f>'Hyd Out'!$A$2:$A$72</c:f>
              <c:numCache>
                <c:formatCode>General</c:formatCode>
                <c:ptCount val="71"/>
                <c:pt idx="0">
                  <c:v>8.0000000000000043E-2</c:v>
                </c:pt>
                <c:pt idx="1">
                  <c:v>0.17</c:v>
                </c:pt>
                <c:pt idx="2">
                  <c:v>0.25</c:v>
                </c:pt>
                <c:pt idx="3">
                  <c:v>0.33000000000000146</c:v>
                </c:pt>
                <c:pt idx="4">
                  <c:v>0.42000000000000032</c:v>
                </c:pt>
                <c:pt idx="5">
                  <c:v>0.5</c:v>
                </c:pt>
                <c:pt idx="6">
                  <c:v>0.58000000000000007</c:v>
                </c:pt>
                <c:pt idx="7">
                  <c:v>0.67000000000000293</c:v>
                </c:pt>
                <c:pt idx="8">
                  <c:v>0.75000000000000233</c:v>
                </c:pt>
                <c:pt idx="9">
                  <c:v>0.83000000000000063</c:v>
                </c:pt>
                <c:pt idx="10">
                  <c:v>0.92</c:v>
                </c:pt>
                <c:pt idx="11">
                  <c:v>1</c:v>
                </c:pt>
                <c:pt idx="12">
                  <c:v>1.08</c:v>
                </c:pt>
                <c:pt idx="13">
                  <c:v>1.1700000000000021</c:v>
                </c:pt>
                <c:pt idx="14">
                  <c:v>1.25</c:v>
                </c:pt>
                <c:pt idx="15">
                  <c:v>1.33</c:v>
                </c:pt>
                <c:pt idx="16">
                  <c:v>1.42</c:v>
                </c:pt>
                <c:pt idx="17">
                  <c:v>1.5</c:v>
                </c:pt>
                <c:pt idx="18">
                  <c:v>1.58</c:v>
                </c:pt>
                <c:pt idx="19">
                  <c:v>1.6700000000000021</c:v>
                </c:pt>
                <c:pt idx="20">
                  <c:v>1.75</c:v>
                </c:pt>
                <c:pt idx="21">
                  <c:v>1.83</c:v>
                </c:pt>
                <c:pt idx="22">
                  <c:v>1.9200000000000021</c:v>
                </c:pt>
                <c:pt idx="23">
                  <c:v>2</c:v>
                </c:pt>
                <c:pt idx="24">
                  <c:v>2.08</c:v>
                </c:pt>
                <c:pt idx="25">
                  <c:v>2.17</c:v>
                </c:pt>
                <c:pt idx="26">
                  <c:v>2.25</c:v>
                </c:pt>
                <c:pt idx="27">
                  <c:v>2.3299999999999987</c:v>
                </c:pt>
                <c:pt idx="28">
                  <c:v>2.42</c:v>
                </c:pt>
                <c:pt idx="29">
                  <c:v>2.5</c:v>
                </c:pt>
                <c:pt idx="30">
                  <c:v>2.58</c:v>
                </c:pt>
                <c:pt idx="31">
                  <c:v>2.67</c:v>
                </c:pt>
                <c:pt idx="32">
                  <c:v>2.75</c:v>
                </c:pt>
                <c:pt idx="33">
                  <c:v>2.8299999999999987</c:v>
                </c:pt>
                <c:pt idx="34">
                  <c:v>2.92</c:v>
                </c:pt>
                <c:pt idx="35">
                  <c:v>3</c:v>
                </c:pt>
                <c:pt idx="36">
                  <c:v>3.08</c:v>
                </c:pt>
                <c:pt idx="37">
                  <c:v>3.17</c:v>
                </c:pt>
                <c:pt idx="38">
                  <c:v>3.25</c:v>
                </c:pt>
                <c:pt idx="39">
                  <c:v>3.3299999999999987</c:v>
                </c:pt>
                <c:pt idx="40">
                  <c:v>3.42</c:v>
                </c:pt>
                <c:pt idx="41">
                  <c:v>3.5</c:v>
                </c:pt>
                <c:pt idx="42">
                  <c:v>3.58</c:v>
                </c:pt>
                <c:pt idx="43">
                  <c:v>3.67</c:v>
                </c:pt>
                <c:pt idx="44">
                  <c:v>3.75</c:v>
                </c:pt>
                <c:pt idx="45">
                  <c:v>3.8299999999999987</c:v>
                </c:pt>
                <c:pt idx="46">
                  <c:v>3.92</c:v>
                </c:pt>
                <c:pt idx="47">
                  <c:v>4</c:v>
                </c:pt>
                <c:pt idx="48">
                  <c:v>4.08</c:v>
                </c:pt>
                <c:pt idx="49">
                  <c:v>4.17</c:v>
                </c:pt>
                <c:pt idx="50">
                  <c:v>4.25</c:v>
                </c:pt>
                <c:pt idx="51">
                  <c:v>4.33</c:v>
                </c:pt>
                <c:pt idx="52">
                  <c:v>4.42</c:v>
                </c:pt>
                <c:pt idx="53">
                  <c:v>4.5</c:v>
                </c:pt>
                <c:pt idx="54">
                  <c:v>4.58</c:v>
                </c:pt>
                <c:pt idx="55">
                  <c:v>4.67</c:v>
                </c:pt>
                <c:pt idx="56">
                  <c:v>4.75</c:v>
                </c:pt>
                <c:pt idx="57">
                  <c:v>4.83</c:v>
                </c:pt>
                <c:pt idx="58">
                  <c:v>4.92</c:v>
                </c:pt>
                <c:pt idx="59">
                  <c:v>5</c:v>
                </c:pt>
                <c:pt idx="60">
                  <c:v>5.08</c:v>
                </c:pt>
                <c:pt idx="61">
                  <c:v>5.17</c:v>
                </c:pt>
                <c:pt idx="62">
                  <c:v>5.25</c:v>
                </c:pt>
                <c:pt idx="63">
                  <c:v>5.33</c:v>
                </c:pt>
                <c:pt idx="64">
                  <c:v>5.42</c:v>
                </c:pt>
                <c:pt idx="65">
                  <c:v>5.5</c:v>
                </c:pt>
                <c:pt idx="66">
                  <c:v>5.58</c:v>
                </c:pt>
                <c:pt idx="67">
                  <c:v>5.67</c:v>
                </c:pt>
                <c:pt idx="68">
                  <c:v>5.75</c:v>
                </c:pt>
                <c:pt idx="69">
                  <c:v>5.83</c:v>
                </c:pt>
                <c:pt idx="70">
                  <c:v>5.92</c:v>
                </c:pt>
              </c:numCache>
            </c:numRef>
          </c:xVal>
          <c:yVal>
            <c:numRef>
              <c:f>'Hyd Out'!$E$2:$E$71</c:f>
              <c:numCache>
                <c:formatCode>General</c:formatCode>
                <c:ptCount val="70"/>
                <c:pt idx="0">
                  <c:v>0</c:v>
                </c:pt>
                <c:pt idx="1">
                  <c:v>0</c:v>
                </c:pt>
                <c:pt idx="2">
                  <c:v>3.0000000000000138E-4</c:v>
                </c:pt>
                <c:pt idx="3">
                  <c:v>0.87649999999999995</c:v>
                </c:pt>
                <c:pt idx="4">
                  <c:v>6.3328999999999995</c:v>
                </c:pt>
                <c:pt idx="5">
                  <c:v>19.2273</c:v>
                </c:pt>
                <c:pt idx="6">
                  <c:v>33.868400000000001</c:v>
                </c:pt>
                <c:pt idx="7">
                  <c:v>41.582100000000011</c:v>
                </c:pt>
                <c:pt idx="8">
                  <c:v>45.0747</c:v>
                </c:pt>
                <c:pt idx="9">
                  <c:v>48.478900000000003</c:v>
                </c:pt>
                <c:pt idx="10">
                  <c:v>48.279300000000013</c:v>
                </c:pt>
                <c:pt idx="11">
                  <c:v>43.5426</c:v>
                </c:pt>
                <c:pt idx="12">
                  <c:v>36.839300000000001</c:v>
                </c:pt>
                <c:pt idx="13">
                  <c:v>30.7058</c:v>
                </c:pt>
                <c:pt idx="14">
                  <c:v>25.501200000000001</c:v>
                </c:pt>
                <c:pt idx="15">
                  <c:v>20.931000000000001</c:v>
                </c:pt>
                <c:pt idx="16">
                  <c:v>17.227599999999921</c:v>
                </c:pt>
                <c:pt idx="17">
                  <c:v>14.4872</c:v>
                </c:pt>
                <c:pt idx="18">
                  <c:v>12.465300000000004</c:v>
                </c:pt>
                <c:pt idx="19">
                  <c:v>10.909600000000006</c:v>
                </c:pt>
                <c:pt idx="20">
                  <c:v>9.7697000000000003</c:v>
                </c:pt>
                <c:pt idx="21">
                  <c:v>8.9681000000000015</c:v>
                </c:pt>
                <c:pt idx="22">
                  <c:v>8.3753000000000046</c:v>
                </c:pt>
                <c:pt idx="23">
                  <c:v>7.9459999999999997</c:v>
                </c:pt>
                <c:pt idx="24">
                  <c:v>7.6196000000000002</c:v>
                </c:pt>
                <c:pt idx="25">
                  <c:v>7.3642999999999965</c:v>
                </c:pt>
                <c:pt idx="26">
                  <c:v>7.1671999999999789</c:v>
                </c:pt>
                <c:pt idx="27">
                  <c:v>7.0136000000000003</c:v>
                </c:pt>
                <c:pt idx="28">
                  <c:v>6.8921999999999946</c:v>
                </c:pt>
                <c:pt idx="29">
                  <c:v>6.7931999999999997</c:v>
                </c:pt>
                <c:pt idx="30">
                  <c:v>6.6993999999999998</c:v>
                </c:pt>
                <c:pt idx="31">
                  <c:v>6.5926</c:v>
                </c:pt>
                <c:pt idx="32">
                  <c:v>6.4122000000000003</c:v>
                </c:pt>
                <c:pt idx="33">
                  <c:v>6.0739999999999998</c:v>
                </c:pt>
                <c:pt idx="34">
                  <c:v>5.5903999999999998</c:v>
                </c:pt>
                <c:pt idx="35">
                  <c:v>5.1172999999999975</c:v>
                </c:pt>
                <c:pt idx="36">
                  <c:v>4.7759</c:v>
                </c:pt>
                <c:pt idx="37">
                  <c:v>4.5584999999999996</c:v>
                </c:pt>
                <c:pt idx="38">
                  <c:v>4.4217000000000004</c:v>
                </c:pt>
                <c:pt idx="39">
                  <c:v>4.3400999999999996</c:v>
                </c:pt>
                <c:pt idx="40">
                  <c:v>4.2950999999999997</c:v>
                </c:pt>
                <c:pt idx="41">
                  <c:v>4.2687999999999997</c:v>
                </c:pt>
                <c:pt idx="42">
                  <c:v>4.2494000000000014</c:v>
                </c:pt>
                <c:pt idx="43">
                  <c:v>4.2328000000000001</c:v>
                </c:pt>
                <c:pt idx="44">
                  <c:v>4.2178999999999975</c:v>
                </c:pt>
                <c:pt idx="45">
                  <c:v>4.2042000000000002</c:v>
                </c:pt>
                <c:pt idx="46">
                  <c:v>4.1912000000000003</c:v>
                </c:pt>
                <c:pt idx="47">
                  <c:v>4.1787999999999998</c:v>
                </c:pt>
                <c:pt idx="48">
                  <c:v>4.1667999999999985</c:v>
                </c:pt>
                <c:pt idx="49">
                  <c:v>4.1549999999999789</c:v>
                </c:pt>
                <c:pt idx="50">
                  <c:v>4.1433</c:v>
                </c:pt>
                <c:pt idx="51">
                  <c:v>4.1318000000000001</c:v>
                </c:pt>
                <c:pt idx="52">
                  <c:v>4.1202999999999985</c:v>
                </c:pt>
                <c:pt idx="53">
                  <c:v>4.1087999999999996</c:v>
                </c:pt>
                <c:pt idx="54">
                  <c:v>4.0972999999999997</c:v>
                </c:pt>
                <c:pt idx="55">
                  <c:v>4.0854999999999997</c:v>
                </c:pt>
                <c:pt idx="56">
                  <c:v>4.0733000000000024</c:v>
                </c:pt>
                <c:pt idx="57">
                  <c:v>4.0606</c:v>
                </c:pt>
                <c:pt idx="58">
                  <c:v>4.0472999999999999</c:v>
                </c:pt>
                <c:pt idx="59">
                  <c:v>4.0335999999999999</c:v>
                </c:pt>
                <c:pt idx="60">
                  <c:v>4.0197000000000003</c:v>
                </c:pt>
                <c:pt idx="61">
                  <c:v>4.0054999999999996</c:v>
                </c:pt>
                <c:pt idx="62">
                  <c:v>3.9910999999999968</c:v>
                </c:pt>
                <c:pt idx="63">
                  <c:v>3.9765999999999977</c:v>
                </c:pt>
                <c:pt idx="64">
                  <c:v>3.9619</c:v>
                </c:pt>
                <c:pt idx="65">
                  <c:v>3.9468999999999967</c:v>
                </c:pt>
                <c:pt idx="66">
                  <c:v>3.9309999999999987</c:v>
                </c:pt>
                <c:pt idx="67">
                  <c:v>3.9133999999999998</c:v>
                </c:pt>
                <c:pt idx="68">
                  <c:v>3.8927999999999967</c:v>
                </c:pt>
                <c:pt idx="69">
                  <c:v>3.8681000000000001</c:v>
                </c:pt>
              </c:numCache>
            </c:numRef>
          </c:yVal>
          <c:smooth val="0"/>
        </c:ser>
        <c:dLbls>
          <c:showLegendKey val="0"/>
          <c:showVal val="0"/>
          <c:showCatName val="0"/>
          <c:showSerName val="0"/>
          <c:showPercent val="0"/>
          <c:showBubbleSize val="0"/>
        </c:dLbls>
        <c:axId val="154326144"/>
        <c:axId val="154328064"/>
      </c:scatterChart>
      <c:valAx>
        <c:axId val="154326144"/>
        <c:scaling>
          <c:orientation val="minMax"/>
          <c:max val="6"/>
        </c:scaling>
        <c:delete val="0"/>
        <c:axPos val="b"/>
        <c:title>
          <c:tx>
            <c:rich>
              <a:bodyPr/>
              <a:lstStyle/>
              <a:p>
                <a:pPr>
                  <a:defRPr lang="en-AU"/>
                </a:pPr>
                <a:r>
                  <a:rPr lang="en-AU"/>
                  <a:t>Time (hours)</a:t>
                </a:r>
              </a:p>
            </c:rich>
          </c:tx>
          <c:layout/>
          <c:overlay val="0"/>
        </c:title>
        <c:numFmt formatCode="General" sourceLinked="1"/>
        <c:majorTickMark val="out"/>
        <c:minorTickMark val="none"/>
        <c:tickLblPos val="nextTo"/>
        <c:txPr>
          <a:bodyPr/>
          <a:lstStyle/>
          <a:p>
            <a:pPr>
              <a:defRPr lang="en-AU"/>
            </a:pPr>
            <a:endParaRPr lang="en-US"/>
          </a:p>
        </c:txPr>
        <c:crossAx val="154328064"/>
        <c:crosses val="autoZero"/>
        <c:crossBetween val="midCat"/>
      </c:valAx>
      <c:valAx>
        <c:axId val="154328064"/>
        <c:scaling>
          <c:orientation val="minMax"/>
        </c:scaling>
        <c:delete val="0"/>
        <c:axPos val="l"/>
        <c:majorGridlines/>
        <c:title>
          <c:tx>
            <c:rich>
              <a:bodyPr rot="-5400000" vert="horz"/>
              <a:lstStyle/>
              <a:p>
                <a:pPr>
                  <a:defRPr lang="en-AU"/>
                </a:pPr>
                <a:r>
                  <a:rPr lang="en-AU"/>
                  <a:t>Flow (m</a:t>
                </a:r>
                <a:r>
                  <a:rPr lang="en-AU" baseline="30000"/>
                  <a:t>3</a:t>
                </a:r>
                <a:r>
                  <a:rPr lang="en-AU"/>
                  <a:t>/s)</a:t>
                </a:r>
              </a:p>
            </c:rich>
          </c:tx>
          <c:layout/>
          <c:overlay val="0"/>
        </c:title>
        <c:numFmt formatCode="General" sourceLinked="1"/>
        <c:majorTickMark val="out"/>
        <c:minorTickMark val="none"/>
        <c:tickLblPos val="nextTo"/>
        <c:txPr>
          <a:bodyPr/>
          <a:lstStyle/>
          <a:p>
            <a:pPr>
              <a:defRPr lang="en-AU"/>
            </a:pPr>
            <a:endParaRPr lang="en-US"/>
          </a:p>
        </c:txPr>
        <c:crossAx val="154326144"/>
        <c:crosses val="autoZero"/>
        <c:crossBetween val="midCat"/>
      </c:valAx>
    </c:plotArea>
    <c:legend>
      <c:legendPos val="r"/>
      <c:layout/>
      <c:overlay val="0"/>
      <c:txPr>
        <a:bodyPr/>
        <a:lstStyle/>
        <a:p>
          <a:pPr>
            <a:defRPr lang="en-AU"/>
          </a:pPr>
          <a:endParaRPr lang="en-US"/>
        </a:p>
      </c:txPr>
    </c:legend>
    <c:plotVisOnly val="1"/>
    <c:dispBlanksAs val="gap"/>
    <c:showDLblsOverMax val="0"/>
  </c:chart>
  <c:spPr>
    <a:ln w="635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14B0F-76D5-4245-8360-8AF29203E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Template>
  <TotalTime>61</TotalTime>
  <Pages>109</Pages>
  <Words>18584</Words>
  <Characters>105929</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Prepared for:</vt:lpstr>
    </vt:vector>
  </TitlesOfParts>
  <Company>WBM Pty Ltd.</Company>
  <LinksUpToDate>false</LinksUpToDate>
  <CharactersWithSpaces>124265</CharactersWithSpaces>
  <SharedDoc>false</SharedDoc>
  <HLinks>
    <vt:vector size="6" baseType="variant">
      <vt:variant>
        <vt:i4>1900632</vt:i4>
      </vt:variant>
      <vt:variant>
        <vt:i4>0</vt:i4>
      </vt:variant>
      <vt:variant>
        <vt:i4>0</vt:i4>
      </vt:variant>
      <vt:variant>
        <vt:i4>5</vt:i4>
      </vt:variant>
      <vt:variant>
        <vt:lpwstr>http://www.wbmpl.com.au/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for:</dc:title>
  <dc:creator>Joel Leister</dc:creator>
  <cp:lastModifiedBy>Joel Leister</cp:lastModifiedBy>
  <cp:revision>10</cp:revision>
  <cp:lastPrinted>2014-05-08T00:57:00Z</cp:lastPrinted>
  <dcterms:created xsi:type="dcterms:W3CDTF">2014-05-07T23:54:00Z</dcterms:created>
  <dcterms:modified xsi:type="dcterms:W3CDTF">2014-05-08T00:57:00Z</dcterms:modified>
</cp:coreProperties>
</file>