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8E6" w:rsidRPr="006109DA" w:rsidRDefault="00A068E6" w:rsidP="00996878">
      <w:pPr>
        <w:pStyle w:val="ActTitle"/>
        <w:rPr>
          <w:rFonts w:cs="Arial"/>
          <w:sz w:val="20"/>
        </w:rPr>
      </w:pPr>
      <w:r w:rsidRPr="006109DA">
        <w:rPr>
          <w:rFonts w:cs="Arial"/>
          <w:sz w:val="20"/>
        </w:rPr>
        <w:t>Planning and Environment Act 1987</w:t>
      </w:r>
    </w:p>
    <w:p w:rsidR="00A068E6" w:rsidRPr="003C28E0" w:rsidRDefault="003D7CC1" w:rsidP="00684895">
      <w:pPr>
        <w:pStyle w:val="Heading1"/>
        <w:rPr>
          <w:rFonts w:cs="Arial"/>
          <w:sz w:val="28"/>
          <w:szCs w:val="28"/>
        </w:rPr>
      </w:pPr>
      <w:r w:rsidRPr="006C7654">
        <w:rPr>
          <w:rFonts w:cs="Arial"/>
          <w:sz w:val="28"/>
          <w:szCs w:val="28"/>
        </w:rPr>
        <w:t>GREATER GEELONG</w:t>
      </w:r>
      <w:r w:rsidR="00A068E6" w:rsidRPr="003C28E0">
        <w:rPr>
          <w:rFonts w:cs="Arial"/>
          <w:sz w:val="28"/>
          <w:szCs w:val="28"/>
        </w:rPr>
        <w:t xml:space="preserve"> PLANNING SCHEME</w:t>
      </w:r>
    </w:p>
    <w:p w:rsidR="00A068E6" w:rsidRPr="006C7654" w:rsidRDefault="00A068E6" w:rsidP="00684895">
      <w:pPr>
        <w:pStyle w:val="Heading1"/>
        <w:rPr>
          <w:rFonts w:cs="Arial"/>
          <w:sz w:val="28"/>
          <w:szCs w:val="28"/>
        </w:rPr>
      </w:pPr>
      <w:r w:rsidRPr="006C7654">
        <w:rPr>
          <w:rFonts w:cs="Arial"/>
          <w:sz w:val="28"/>
          <w:szCs w:val="28"/>
        </w:rPr>
        <w:t>AMENDMENT C</w:t>
      </w:r>
      <w:r w:rsidR="003D7CC1" w:rsidRPr="006C7654">
        <w:rPr>
          <w:rFonts w:cs="Arial"/>
          <w:sz w:val="28"/>
          <w:szCs w:val="28"/>
        </w:rPr>
        <w:t>336</w:t>
      </w:r>
    </w:p>
    <w:p w:rsidR="00A068E6" w:rsidRPr="006109DA" w:rsidRDefault="006109DA" w:rsidP="00684895">
      <w:pPr>
        <w:pStyle w:val="Heading1"/>
        <w:rPr>
          <w:rFonts w:cs="Arial"/>
          <w:szCs w:val="24"/>
        </w:rPr>
      </w:pPr>
      <w:r>
        <w:rPr>
          <w:rFonts w:cs="Arial"/>
          <w:szCs w:val="24"/>
        </w:rPr>
        <w:t>E</w:t>
      </w:r>
      <w:r w:rsidR="00A068E6" w:rsidRPr="006109DA">
        <w:rPr>
          <w:rFonts w:cs="Arial"/>
          <w:szCs w:val="24"/>
        </w:rPr>
        <w:t>XPLANATORY REPORT</w:t>
      </w:r>
    </w:p>
    <w:p w:rsidR="00A068E6" w:rsidRPr="00420A5B" w:rsidRDefault="00A068E6" w:rsidP="008310E5">
      <w:pPr>
        <w:pStyle w:val="Heading2"/>
        <w:jc w:val="left"/>
        <w:rPr>
          <w:rFonts w:cs="Arial"/>
        </w:rPr>
      </w:pPr>
      <w:r w:rsidRPr="00420A5B">
        <w:rPr>
          <w:rFonts w:cs="Arial"/>
        </w:rPr>
        <w:t>Who is the planning authority?</w:t>
      </w:r>
    </w:p>
    <w:p w:rsidR="00A068E6" w:rsidRPr="006C7654" w:rsidRDefault="00A068E6" w:rsidP="008310E5">
      <w:pPr>
        <w:jc w:val="left"/>
        <w:rPr>
          <w:rFonts w:ascii="Arial" w:hAnsi="Arial" w:cs="Arial"/>
          <w:sz w:val="22"/>
          <w:szCs w:val="22"/>
        </w:rPr>
      </w:pPr>
      <w:r w:rsidRPr="006C7654">
        <w:rPr>
          <w:rFonts w:ascii="Arial" w:hAnsi="Arial" w:cs="Arial"/>
          <w:sz w:val="22"/>
          <w:szCs w:val="22"/>
        </w:rPr>
        <w:t>This amendment has been prepared by the</w:t>
      </w:r>
      <w:r w:rsidR="006C7654" w:rsidRPr="006C7654">
        <w:rPr>
          <w:rFonts w:ascii="Arial" w:hAnsi="Arial" w:cs="Arial"/>
          <w:sz w:val="22"/>
          <w:szCs w:val="22"/>
        </w:rPr>
        <w:t xml:space="preserve"> </w:t>
      </w:r>
      <w:r w:rsidR="003D7CC1" w:rsidRPr="006C7654">
        <w:rPr>
          <w:rFonts w:ascii="Arial" w:hAnsi="Arial" w:cs="Arial"/>
          <w:sz w:val="22"/>
          <w:szCs w:val="22"/>
        </w:rPr>
        <w:t>Greater Geelong City Council</w:t>
      </w:r>
      <w:r w:rsidR="00FE71B0" w:rsidRPr="006C7654">
        <w:rPr>
          <w:rFonts w:ascii="Arial" w:hAnsi="Arial" w:cs="Arial"/>
          <w:sz w:val="22"/>
          <w:szCs w:val="22"/>
        </w:rPr>
        <w:t xml:space="preserve">, </w:t>
      </w:r>
      <w:r w:rsidR="00C93B2C" w:rsidRPr="006C7654">
        <w:rPr>
          <w:rFonts w:ascii="Arial" w:hAnsi="Arial" w:cs="Arial"/>
          <w:sz w:val="22"/>
          <w:szCs w:val="22"/>
        </w:rPr>
        <w:t>which</w:t>
      </w:r>
      <w:r w:rsidR="005C12D1" w:rsidRPr="006C7654">
        <w:rPr>
          <w:rFonts w:ascii="Arial" w:hAnsi="Arial" w:cs="Arial"/>
          <w:sz w:val="22"/>
          <w:szCs w:val="22"/>
        </w:rPr>
        <w:t xml:space="preserve"> </w:t>
      </w:r>
      <w:r w:rsidRPr="006C7654">
        <w:rPr>
          <w:rFonts w:ascii="Arial" w:hAnsi="Arial" w:cs="Arial"/>
          <w:sz w:val="22"/>
          <w:szCs w:val="22"/>
        </w:rPr>
        <w:t>is the planning authority for this amendment.</w:t>
      </w:r>
    </w:p>
    <w:p w:rsidR="00A068E6" w:rsidRPr="006C7654" w:rsidRDefault="00855A78" w:rsidP="008310E5">
      <w:pPr>
        <w:jc w:val="left"/>
        <w:rPr>
          <w:rFonts w:ascii="Arial" w:hAnsi="Arial" w:cs="Arial"/>
          <w:sz w:val="22"/>
          <w:szCs w:val="22"/>
        </w:rPr>
      </w:pPr>
      <w:r w:rsidRPr="006C7654">
        <w:rPr>
          <w:rFonts w:ascii="Arial" w:hAnsi="Arial" w:cs="Arial"/>
          <w:sz w:val="22"/>
          <w:szCs w:val="22"/>
        </w:rPr>
        <w:t>The A</w:t>
      </w:r>
      <w:r w:rsidR="00A068E6" w:rsidRPr="006C7654">
        <w:rPr>
          <w:rFonts w:ascii="Arial" w:hAnsi="Arial" w:cs="Arial"/>
          <w:sz w:val="22"/>
          <w:szCs w:val="22"/>
        </w:rPr>
        <w:t>mendment has been made at the request of</w:t>
      </w:r>
      <w:r w:rsidR="006C7654" w:rsidRPr="006C7654">
        <w:rPr>
          <w:rFonts w:ascii="Arial" w:hAnsi="Arial" w:cs="Arial"/>
          <w:sz w:val="22"/>
          <w:szCs w:val="22"/>
        </w:rPr>
        <w:t xml:space="preserve"> </w:t>
      </w:r>
      <w:r w:rsidR="003D7CC1" w:rsidRPr="006C7654">
        <w:rPr>
          <w:rFonts w:ascii="Arial" w:hAnsi="Arial" w:cs="Arial"/>
          <w:sz w:val="22"/>
          <w:szCs w:val="22"/>
        </w:rPr>
        <w:t>BUPA Care Services</w:t>
      </w:r>
      <w:r w:rsidR="00A068E6" w:rsidRPr="006C7654">
        <w:rPr>
          <w:rFonts w:ascii="Arial" w:hAnsi="Arial" w:cs="Arial"/>
          <w:sz w:val="22"/>
          <w:szCs w:val="22"/>
        </w:rPr>
        <w:t>.</w:t>
      </w:r>
    </w:p>
    <w:p w:rsidR="00A068E6" w:rsidRPr="006C7654" w:rsidRDefault="00855A78" w:rsidP="008310E5">
      <w:pPr>
        <w:pStyle w:val="Heading2"/>
        <w:jc w:val="left"/>
        <w:rPr>
          <w:rFonts w:cs="Arial"/>
        </w:rPr>
      </w:pPr>
      <w:r w:rsidRPr="006C7654">
        <w:rPr>
          <w:rFonts w:cs="Arial"/>
        </w:rPr>
        <w:t>Land affected by the A</w:t>
      </w:r>
      <w:r w:rsidR="00814A45" w:rsidRPr="006C7654">
        <w:rPr>
          <w:rFonts w:cs="Arial"/>
        </w:rPr>
        <w:t>mendment</w:t>
      </w:r>
    </w:p>
    <w:p w:rsidR="00A068E6" w:rsidRPr="006C7654" w:rsidRDefault="00855A78" w:rsidP="008310E5">
      <w:pPr>
        <w:jc w:val="left"/>
        <w:rPr>
          <w:rFonts w:ascii="Arial" w:hAnsi="Arial" w:cs="Arial"/>
          <w:sz w:val="22"/>
          <w:szCs w:val="22"/>
        </w:rPr>
      </w:pPr>
      <w:r w:rsidRPr="006C7654">
        <w:rPr>
          <w:rFonts w:ascii="Arial" w:hAnsi="Arial" w:cs="Arial"/>
          <w:sz w:val="22"/>
          <w:szCs w:val="22"/>
        </w:rPr>
        <w:t>The A</w:t>
      </w:r>
      <w:r w:rsidR="00A068E6" w:rsidRPr="006C7654">
        <w:rPr>
          <w:rFonts w:ascii="Arial" w:hAnsi="Arial" w:cs="Arial"/>
          <w:sz w:val="22"/>
          <w:szCs w:val="22"/>
        </w:rPr>
        <w:t>mendment applies to</w:t>
      </w:r>
      <w:r w:rsidR="00FE71B0" w:rsidRPr="006C7654">
        <w:rPr>
          <w:rFonts w:ascii="Arial" w:hAnsi="Arial" w:cs="Arial"/>
          <w:sz w:val="22"/>
          <w:szCs w:val="22"/>
        </w:rPr>
        <w:t xml:space="preserve"> </w:t>
      </w:r>
      <w:r w:rsidR="000E54B8" w:rsidRPr="006C7654">
        <w:rPr>
          <w:rFonts w:ascii="Arial" w:hAnsi="Arial" w:cs="Arial"/>
          <w:sz w:val="22"/>
          <w:szCs w:val="22"/>
        </w:rPr>
        <w:t>402-404 Bellarine Highway, Moolap</w:t>
      </w:r>
      <w:r w:rsidR="00FE71B0" w:rsidRPr="006C7654">
        <w:rPr>
          <w:rFonts w:ascii="Arial" w:hAnsi="Arial" w:cs="Arial"/>
          <w:sz w:val="22"/>
          <w:szCs w:val="22"/>
        </w:rPr>
        <w:t>.</w:t>
      </w:r>
    </w:p>
    <w:p w:rsidR="00A068E6" w:rsidRPr="006C7654" w:rsidRDefault="00814A45" w:rsidP="008310E5">
      <w:pPr>
        <w:pStyle w:val="Heading2"/>
        <w:jc w:val="left"/>
        <w:rPr>
          <w:rFonts w:cs="Arial"/>
        </w:rPr>
      </w:pPr>
      <w:r w:rsidRPr="006C7654">
        <w:rPr>
          <w:rFonts w:cs="Arial"/>
        </w:rPr>
        <w:t>What the amendment does</w:t>
      </w:r>
    </w:p>
    <w:p w:rsidR="00CD64B8" w:rsidRPr="006C7654" w:rsidRDefault="00855A78" w:rsidP="008310E5">
      <w:pPr>
        <w:jc w:val="left"/>
        <w:rPr>
          <w:rFonts w:ascii="Arial" w:hAnsi="Arial" w:cs="Arial"/>
          <w:sz w:val="22"/>
          <w:szCs w:val="22"/>
        </w:rPr>
      </w:pPr>
      <w:r w:rsidRPr="006C7654">
        <w:rPr>
          <w:rFonts w:ascii="Arial" w:hAnsi="Arial" w:cs="Arial"/>
          <w:sz w:val="22"/>
          <w:szCs w:val="22"/>
        </w:rPr>
        <w:t>The A</w:t>
      </w:r>
      <w:r w:rsidR="001E53D0" w:rsidRPr="006C7654">
        <w:rPr>
          <w:rFonts w:ascii="Arial" w:hAnsi="Arial" w:cs="Arial"/>
          <w:sz w:val="22"/>
          <w:szCs w:val="22"/>
        </w:rPr>
        <w:t xml:space="preserve">mendment </w:t>
      </w:r>
      <w:r w:rsidR="000E54B8" w:rsidRPr="006C7654">
        <w:rPr>
          <w:rFonts w:ascii="Arial" w:hAnsi="Arial" w:cs="Arial"/>
          <w:sz w:val="22"/>
          <w:szCs w:val="22"/>
        </w:rPr>
        <w:t>introduces a site specific provision to enable a two lot subdivision of the subject site</w:t>
      </w:r>
      <w:r w:rsidR="00DC5939" w:rsidRPr="006C7654">
        <w:rPr>
          <w:rFonts w:ascii="Arial" w:hAnsi="Arial" w:cs="Arial"/>
          <w:sz w:val="22"/>
          <w:szCs w:val="22"/>
        </w:rPr>
        <w:t>.</w:t>
      </w:r>
    </w:p>
    <w:p w:rsidR="00CD64B8" w:rsidRPr="006C7654" w:rsidRDefault="00855A78" w:rsidP="008310E5">
      <w:pPr>
        <w:jc w:val="left"/>
        <w:rPr>
          <w:rFonts w:ascii="Arial" w:hAnsi="Arial" w:cs="Arial"/>
          <w:sz w:val="22"/>
          <w:szCs w:val="22"/>
        </w:rPr>
      </w:pPr>
      <w:r w:rsidRPr="006C7654">
        <w:rPr>
          <w:rFonts w:ascii="Arial" w:hAnsi="Arial" w:cs="Arial"/>
          <w:sz w:val="22"/>
          <w:szCs w:val="22"/>
        </w:rPr>
        <w:t>The A</w:t>
      </w:r>
      <w:r w:rsidR="001E53D0" w:rsidRPr="006C7654">
        <w:rPr>
          <w:rFonts w:ascii="Arial" w:hAnsi="Arial" w:cs="Arial"/>
          <w:sz w:val="22"/>
          <w:szCs w:val="22"/>
        </w:rPr>
        <w:t xml:space="preserve">mendment </w:t>
      </w:r>
      <w:r w:rsidR="000E54B8" w:rsidRPr="006C7654">
        <w:rPr>
          <w:rFonts w:ascii="Arial" w:hAnsi="Arial" w:cs="Arial"/>
          <w:sz w:val="22"/>
          <w:szCs w:val="22"/>
        </w:rPr>
        <w:t>makes the following changes to the Greater Geelong Planning Scheme</w:t>
      </w:r>
      <w:r w:rsidR="00E61D20" w:rsidRPr="006C7654">
        <w:rPr>
          <w:rFonts w:ascii="Arial" w:hAnsi="Arial" w:cs="Arial"/>
          <w:sz w:val="22"/>
          <w:szCs w:val="22"/>
        </w:rPr>
        <w:t>.</w:t>
      </w:r>
    </w:p>
    <w:p w:rsidR="000E54B8" w:rsidRPr="006C7654" w:rsidRDefault="000E54B8" w:rsidP="00AB0FC5">
      <w:pPr>
        <w:numPr>
          <w:ilvl w:val="0"/>
          <w:numId w:val="41"/>
        </w:numPr>
        <w:tabs>
          <w:tab w:val="left" w:pos="426"/>
        </w:tabs>
        <w:ind w:left="426" w:hanging="426"/>
        <w:jc w:val="left"/>
        <w:rPr>
          <w:rFonts w:ascii="Arial" w:hAnsi="Arial" w:cs="Arial"/>
          <w:sz w:val="22"/>
          <w:szCs w:val="22"/>
        </w:rPr>
      </w:pPr>
      <w:r w:rsidRPr="006C7654">
        <w:rPr>
          <w:rFonts w:ascii="Arial" w:hAnsi="Arial" w:cs="Arial"/>
          <w:sz w:val="22"/>
          <w:szCs w:val="22"/>
        </w:rPr>
        <w:t>Amends the Schedule to Clause 52.03 Specific Sites and Exclusions to include the incorporated document titled “</w:t>
      </w:r>
      <w:r w:rsidRPr="006C7654">
        <w:rPr>
          <w:rFonts w:ascii="Arial" w:eastAsia="Arial" w:hAnsi="Arial" w:cs="Arial"/>
          <w:bCs/>
          <w:spacing w:val="-1"/>
          <w:sz w:val="22"/>
          <w:szCs w:val="22"/>
        </w:rPr>
        <w:t xml:space="preserve">BUPA </w:t>
      </w:r>
      <w:r w:rsidRPr="006C7654">
        <w:rPr>
          <w:rFonts w:ascii="Arial" w:hAnsi="Arial" w:cs="Arial"/>
          <w:bCs/>
          <w:sz w:val="22"/>
          <w:szCs w:val="22"/>
        </w:rPr>
        <w:t>Aged</w:t>
      </w:r>
      <w:r w:rsidRPr="006C7654">
        <w:rPr>
          <w:rFonts w:ascii="Arial" w:eastAsia="Arial" w:hAnsi="Arial" w:cs="Arial"/>
          <w:bCs/>
          <w:spacing w:val="-1"/>
          <w:sz w:val="22"/>
          <w:szCs w:val="22"/>
        </w:rPr>
        <w:t xml:space="preserve"> Care Facility, Bellarine Lakes, </w:t>
      </w:r>
      <w:r w:rsidR="0047679D">
        <w:rPr>
          <w:rFonts w:ascii="Arial" w:eastAsia="Arial" w:hAnsi="Arial" w:cs="Arial"/>
          <w:bCs/>
          <w:spacing w:val="-4"/>
          <w:sz w:val="22"/>
          <w:szCs w:val="22"/>
        </w:rPr>
        <w:t>September</w:t>
      </w:r>
      <w:r w:rsidRPr="006C7654">
        <w:rPr>
          <w:rFonts w:ascii="Arial" w:eastAsia="Arial" w:hAnsi="Arial" w:cs="Arial"/>
          <w:bCs/>
          <w:spacing w:val="-4"/>
          <w:sz w:val="22"/>
          <w:szCs w:val="22"/>
        </w:rPr>
        <w:t xml:space="preserve"> 2015”</w:t>
      </w:r>
      <w:r w:rsidR="00735E94">
        <w:rPr>
          <w:rFonts w:ascii="Arial" w:eastAsia="Arial" w:hAnsi="Arial" w:cs="Arial"/>
          <w:bCs/>
          <w:spacing w:val="-4"/>
          <w:sz w:val="22"/>
          <w:szCs w:val="22"/>
        </w:rPr>
        <w:t>.</w:t>
      </w:r>
    </w:p>
    <w:p w:rsidR="001E53D0" w:rsidRPr="006C7654" w:rsidRDefault="000E54B8" w:rsidP="00AB0FC5">
      <w:pPr>
        <w:numPr>
          <w:ilvl w:val="0"/>
          <w:numId w:val="41"/>
        </w:numPr>
        <w:tabs>
          <w:tab w:val="left" w:pos="426"/>
        </w:tabs>
        <w:ind w:left="426" w:hanging="426"/>
        <w:jc w:val="left"/>
        <w:rPr>
          <w:rFonts w:ascii="Arial" w:hAnsi="Arial" w:cs="Arial"/>
          <w:sz w:val="22"/>
          <w:szCs w:val="22"/>
        </w:rPr>
      </w:pPr>
      <w:r w:rsidRPr="006C7654">
        <w:rPr>
          <w:rFonts w:ascii="Arial" w:hAnsi="Arial" w:cs="Arial"/>
          <w:sz w:val="22"/>
          <w:szCs w:val="22"/>
        </w:rPr>
        <w:t>Amends the Schedule to Clause 81 Documents Incorporated into this Scheme to include the incorporated document titled “</w:t>
      </w:r>
      <w:r w:rsidRPr="006C7654">
        <w:rPr>
          <w:rFonts w:ascii="Arial" w:eastAsia="Arial" w:hAnsi="Arial" w:cs="Arial"/>
          <w:bCs/>
          <w:spacing w:val="-1"/>
          <w:sz w:val="22"/>
          <w:szCs w:val="22"/>
        </w:rPr>
        <w:t xml:space="preserve">BUPA </w:t>
      </w:r>
      <w:r w:rsidRPr="006C7654">
        <w:rPr>
          <w:rFonts w:ascii="Arial" w:hAnsi="Arial" w:cs="Arial"/>
          <w:bCs/>
          <w:sz w:val="22"/>
          <w:szCs w:val="22"/>
        </w:rPr>
        <w:t>Aged</w:t>
      </w:r>
      <w:r w:rsidRPr="006C7654">
        <w:rPr>
          <w:rFonts w:ascii="Arial" w:eastAsia="Arial" w:hAnsi="Arial" w:cs="Arial"/>
          <w:bCs/>
          <w:spacing w:val="-1"/>
          <w:sz w:val="22"/>
          <w:szCs w:val="22"/>
        </w:rPr>
        <w:t xml:space="preserve"> Care Facility, Bellarine Lakes, </w:t>
      </w:r>
      <w:r w:rsidR="0047679D">
        <w:rPr>
          <w:rFonts w:ascii="Arial" w:eastAsia="Arial" w:hAnsi="Arial" w:cs="Arial"/>
          <w:bCs/>
          <w:spacing w:val="-4"/>
          <w:sz w:val="22"/>
          <w:szCs w:val="22"/>
        </w:rPr>
        <w:t>September</w:t>
      </w:r>
      <w:r w:rsidRPr="006C7654">
        <w:rPr>
          <w:rFonts w:ascii="Arial" w:eastAsia="Arial" w:hAnsi="Arial" w:cs="Arial"/>
          <w:bCs/>
          <w:spacing w:val="-4"/>
          <w:sz w:val="22"/>
          <w:szCs w:val="22"/>
        </w:rPr>
        <w:t xml:space="preserve"> 2015</w:t>
      </w:r>
      <w:r w:rsidR="00735E94">
        <w:rPr>
          <w:rFonts w:ascii="Arial" w:eastAsia="Arial" w:hAnsi="Arial" w:cs="Arial"/>
          <w:bCs/>
          <w:spacing w:val="-4"/>
          <w:sz w:val="22"/>
          <w:szCs w:val="22"/>
        </w:rPr>
        <w:t>”</w:t>
      </w:r>
      <w:r w:rsidRPr="006C7654">
        <w:rPr>
          <w:rFonts w:ascii="Arial" w:eastAsia="Arial" w:hAnsi="Arial" w:cs="Arial"/>
          <w:bCs/>
          <w:spacing w:val="-4"/>
          <w:sz w:val="22"/>
          <w:szCs w:val="22"/>
        </w:rPr>
        <w:t>.</w:t>
      </w:r>
    </w:p>
    <w:p w:rsidR="00A068E6" w:rsidRPr="00823BB7" w:rsidRDefault="00A068E6" w:rsidP="008310E5">
      <w:pPr>
        <w:pStyle w:val="Heading2"/>
        <w:jc w:val="left"/>
        <w:rPr>
          <w:rFonts w:cs="Arial"/>
          <w:smallCaps/>
        </w:rPr>
      </w:pPr>
      <w:r w:rsidRPr="00823BB7">
        <w:rPr>
          <w:rFonts w:cs="Arial"/>
        </w:rPr>
        <w:t xml:space="preserve">Strategic assessment of the </w:t>
      </w:r>
      <w:r w:rsidR="00855A78">
        <w:rPr>
          <w:rFonts w:cs="Arial"/>
        </w:rPr>
        <w:t>A</w:t>
      </w:r>
      <w:r w:rsidRPr="00823BB7">
        <w:rPr>
          <w:rFonts w:cs="Arial"/>
        </w:rPr>
        <w:t xml:space="preserve">mendment </w:t>
      </w:r>
    </w:p>
    <w:p w:rsidR="00A068E6" w:rsidRPr="00420A5B" w:rsidRDefault="00855A78" w:rsidP="008310E5">
      <w:pPr>
        <w:pStyle w:val="Heading3"/>
        <w:numPr>
          <w:ilvl w:val="0"/>
          <w:numId w:val="0"/>
        </w:numPr>
        <w:jc w:val="left"/>
        <w:rPr>
          <w:rFonts w:ascii="Arial" w:hAnsi="Arial" w:cs="Arial"/>
          <w:szCs w:val="24"/>
        </w:rPr>
      </w:pPr>
      <w:r>
        <w:rPr>
          <w:rFonts w:ascii="Arial" w:hAnsi="Arial" w:cs="Arial"/>
          <w:szCs w:val="24"/>
        </w:rPr>
        <w:t>Why is the A</w:t>
      </w:r>
      <w:r w:rsidR="00A068E6" w:rsidRPr="00420A5B">
        <w:rPr>
          <w:rFonts w:ascii="Arial" w:hAnsi="Arial" w:cs="Arial"/>
          <w:szCs w:val="24"/>
        </w:rPr>
        <w:t>mendment required?</w:t>
      </w:r>
    </w:p>
    <w:p w:rsidR="003D7CC1" w:rsidRPr="006C7654" w:rsidRDefault="003D7CC1" w:rsidP="003D7CC1">
      <w:pPr>
        <w:rPr>
          <w:rFonts w:ascii="Arial" w:hAnsi="Arial" w:cs="Arial"/>
          <w:sz w:val="22"/>
          <w:szCs w:val="22"/>
        </w:rPr>
      </w:pPr>
      <w:r w:rsidRPr="006C7654">
        <w:rPr>
          <w:rFonts w:ascii="Arial" w:hAnsi="Arial" w:cs="Arial"/>
          <w:sz w:val="22"/>
          <w:szCs w:val="22"/>
        </w:rPr>
        <w:t>The amendment is required to provide a site specific approval in Clause 52.03 of the Greater Geelong Planning Scheme.</w:t>
      </w:r>
    </w:p>
    <w:p w:rsidR="003D7CC1" w:rsidRPr="006C7654" w:rsidRDefault="003D7CC1" w:rsidP="003D7CC1">
      <w:pPr>
        <w:rPr>
          <w:rFonts w:ascii="Arial" w:hAnsi="Arial" w:cs="Arial"/>
          <w:sz w:val="22"/>
          <w:szCs w:val="22"/>
        </w:rPr>
      </w:pPr>
      <w:r w:rsidRPr="006C7654">
        <w:rPr>
          <w:rFonts w:ascii="Arial" w:hAnsi="Arial" w:cs="Arial"/>
          <w:sz w:val="22"/>
          <w:szCs w:val="22"/>
        </w:rPr>
        <w:t xml:space="preserve">The purpose of the site specific approval is to introduce an incorporated document in the form of a planning permit to Clause 52.03 that enables the creation of a separate lot for </w:t>
      </w:r>
      <w:r w:rsidR="0047679D">
        <w:rPr>
          <w:rFonts w:ascii="Arial" w:hAnsi="Arial" w:cs="Arial"/>
          <w:sz w:val="22"/>
          <w:szCs w:val="22"/>
        </w:rPr>
        <w:t>a</w:t>
      </w:r>
      <w:r w:rsidRPr="006C7654">
        <w:rPr>
          <w:rFonts w:ascii="Arial" w:hAnsi="Arial" w:cs="Arial"/>
          <w:sz w:val="22"/>
          <w:szCs w:val="22"/>
        </w:rPr>
        <w:t xml:space="preserve"> Residential Aged Care Facility </w:t>
      </w:r>
      <w:r w:rsidR="0047679D">
        <w:rPr>
          <w:rFonts w:ascii="Arial" w:hAnsi="Arial" w:cs="Arial"/>
          <w:sz w:val="22"/>
          <w:szCs w:val="22"/>
        </w:rPr>
        <w:t>previously approved by Permit 10/2006.</w:t>
      </w:r>
    </w:p>
    <w:p w:rsidR="003D7CC1" w:rsidRPr="006C7654" w:rsidRDefault="003D7CC1" w:rsidP="003D7CC1">
      <w:pPr>
        <w:rPr>
          <w:rFonts w:ascii="Arial" w:hAnsi="Arial" w:cs="Arial"/>
          <w:sz w:val="22"/>
          <w:szCs w:val="22"/>
        </w:rPr>
      </w:pPr>
      <w:r w:rsidRPr="006C7654">
        <w:rPr>
          <w:rFonts w:ascii="Arial" w:hAnsi="Arial" w:cs="Arial"/>
          <w:sz w:val="22"/>
          <w:szCs w:val="22"/>
        </w:rPr>
        <w:t xml:space="preserve">The </w:t>
      </w:r>
      <w:r w:rsidR="0047679D">
        <w:rPr>
          <w:rFonts w:ascii="Arial" w:hAnsi="Arial" w:cs="Arial"/>
          <w:sz w:val="22"/>
          <w:szCs w:val="22"/>
        </w:rPr>
        <w:t xml:space="preserve">proposed </w:t>
      </w:r>
      <w:r w:rsidRPr="006C7654">
        <w:rPr>
          <w:rFonts w:ascii="Arial" w:hAnsi="Arial" w:cs="Arial"/>
          <w:sz w:val="22"/>
          <w:szCs w:val="22"/>
        </w:rPr>
        <w:t>subdivision</w:t>
      </w:r>
      <w:r w:rsidR="0047679D">
        <w:rPr>
          <w:rFonts w:ascii="Arial" w:hAnsi="Arial" w:cs="Arial"/>
          <w:sz w:val="22"/>
          <w:szCs w:val="22"/>
        </w:rPr>
        <w:t xml:space="preserve"> is prohibited by the Farming Zone and Floodway Overlay provisions of the planning scheme, thus generating the need for a Planning Scheme Amendment</w:t>
      </w:r>
      <w:r w:rsidRPr="006C7654">
        <w:rPr>
          <w:rFonts w:ascii="Arial" w:hAnsi="Arial" w:cs="Arial"/>
          <w:sz w:val="22"/>
          <w:szCs w:val="22"/>
        </w:rPr>
        <w:t>.</w:t>
      </w:r>
    </w:p>
    <w:p w:rsidR="003D7CC1" w:rsidRPr="006C7654" w:rsidRDefault="003D7CC1" w:rsidP="003D7CC1">
      <w:pPr>
        <w:rPr>
          <w:rFonts w:ascii="Arial" w:hAnsi="Arial" w:cs="Arial"/>
          <w:sz w:val="22"/>
          <w:szCs w:val="22"/>
        </w:rPr>
      </w:pPr>
      <w:r w:rsidRPr="006C7654">
        <w:rPr>
          <w:rFonts w:ascii="Arial" w:hAnsi="Arial" w:cs="Arial"/>
          <w:sz w:val="22"/>
          <w:szCs w:val="22"/>
        </w:rPr>
        <w:t>The approval will effectively create a two lot subdivision</w:t>
      </w:r>
      <w:r w:rsidR="0047679D">
        <w:rPr>
          <w:rFonts w:ascii="Arial" w:hAnsi="Arial" w:cs="Arial"/>
          <w:sz w:val="22"/>
          <w:szCs w:val="22"/>
        </w:rPr>
        <w:t xml:space="preserve"> and </w:t>
      </w:r>
      <w:r w:rsidRPr="006C7654">
        <w:rPr>
          <w:rFonts w:ascii="Arial" w:hAnsi="Arial" w:cs="Arial"/>
          <w:sz w:val="22"/>
          <w:szCs w:val="22"/>
        </w:rPr>
        <w:t xml:space="preserve">create required easements for servicing and access. </w:t>
      </w:r>
    </w:p>
    <w:p w:rsidR="00A068E6" w:rsidRPr="00420A5B" w:rsidRDefault="00855A78" w:rsidP="008310E5">
      <w:pPr>
        <w:pStyle w:val="Heading3"/>
        <w:numPr>
          <w:ilvl w:val="0"/>
          <w:numId w:val="0"/>
        </w:numPr>
        <w:jc w:val="left"/>
        <w:rPr>
          <w:rFonts w:ascii="Arial" w:hAnsi="Arial" w:cs="Arial"/>
          <w:szCs w:val="24"/>
        </w:rPr>
      </w:pPr>
      <w:r>
        <w:rPr>
          <w:rFonts w:ascii="Arial" w:hAnsi="Arial" w:cs="Arial"/>
          <w:szCs w:val="24"/>
        </w:rPr>
        <w:t>How does the A</w:t>
      </w:r>
      <w:r w:rsidR="00A068E6" w:rsidRPr="00420A5B">
        <w:rPr>
          <w:rFonts w:ascii="Arial" w:hAnsi="Arial" w:cs="Arial"/>
          <w:szCs w:val="24"/>
        </w:rPr>
        <w:t>mendment implement the objectives of planning in Victoria?</w:t>
      </w:r>
    </w:p>
    <w:p w:rsidR="000E54B8" w:rsidRPr="006C7654" w:rsidRDefault="000E54B8" w:rsidP="000E54B8">
      <w:pPr>
        <w:rPr>
          <w:rFonts w:ascii="Arial" w:hAnsi="Arial" w:cs="Arial"/>
          <w:sz w:val="22"/>
          <w:szCs w:val="22"/>
        </w:rPr>
      </w:pPr>
      <w:r w:rsidRPr="006C7654">
        <w:rPr>
          <w:rFonts w:ascii="Arial" w:hAnsi="Arial" w:cs="Arial"/>
          <w:sz w:val="22"/>
          <w:szCs w:val="22"/>
        </w:rPr>
        <w:t>The Amendment ensures that the objectives of planning in Victoria are met by providing for the fair, orderly, economic and sustainable use of the land through enabling it to be used efficiently for the provision of residential aged care housing.</w:t>
      </w:r>
    </w:p>
    <w:p w:rsidR="00C519DF" w:rsidRDefault="00C519DF">
      <w:pPr>
        <w:spacing w:before="0"/>
        <w:jc w:val="left"/>
        <w:rPr>
          <w:rFonts w:ascii="Arial" w:hAnsi="Arial" w:cs="Arial"/>
          <w:sz w:val="22"/>
          <w:szCs w:val="22"/>
        </w:rPr>
      </w:pPr>
      <w:r>
        <w:rPr>
          <w:rFonts w:ascii="Arial" w:hAnsi="Arial" w:cs="Arial"/>
          <w:sz w:val="22"/>
          <w:szCs w:val="22"/>
        </w:rPr>
        <w:br w:type="page"/>
      </w:r>
    </w:p>
    <w:p w:rsidR="00A068E6" w:rsidRDefault="00855A78" w:rsidP="008310E5">
      <w:pPr>
        <w:pStyle w:val="Heading3"/>
        <w:numPr>
          <w:ilvl w:val="0"/>
          <w:numId w:val="0"/>
        </w:numPr>
        <w:jc w:val="left"/>
        <w:rPr>
          <w:rFonts w:ascii="Arial" w:hAnsi="Arial" w:cs="Arial"/>
          <w:szCs w:val="24"/>
        </w:rPr>
      </w:pPr>
      <w:r>
        <w:rPr>
          <w:rFonts w:ascii="Arial" w:hAnsi="Arial" w:cs="Arial"/>
          <w:szCs w:val="24"/>
        </w:rPr>
        <w:lastRenderedPageBreak/>
        <w:t>How does the A</w:t>
      </w:r>
      <w:r w:rsidR="00646305" w:rsidRPr="00646305">
        <w:rPr>
          <w:rFonts w:ascii="Arial" w:hAnsi="Arial" w:cs="Arial"/>
          <w:szCs w:val="24"/>
        </w:rPr>
        <w:t>mendment address any environmenta</w:t>
      </w:r>
      <w:r w:rsidR="00EE21EB">
        <w:rPr>
          <w:rFonts w:ascii="Arial" w:hAnsi="Arial" w:cs="Arial"/>
          <w:szCs w:val="24"/>
        </w:rPr>
        <w:t>l, social and economic effects?</w:t>
      </w:r>
    </w:p>
    <w:p w:rsidR="000E54B8" w:rsidRPr="006C7654" w:rsidRDefault="000E54B8" w:rsidP="000E54B8">
      <w:pPr>
        <w:rPr>
          <w:rFonts w:ascii="Arial" w:hAnsi="Arial" w:cs="Arial"/>
          <w:sz w:val="22"/>
          <w:szCs w:val="22"/>
          <w:u w:val="single"/>
        </w:rPr>
      </w:pPr>
      <w:r w:rsidRPr="006C7654">
        <w:rPr>
          <w:rFonts w:ascii="Arial" w:hAnsi="Arial" w:cs="Arial"/>
          <w:sz w:val="22"/>
          <w:szCs w:val="22"/>
          <w:u w:val="single"/>
        </w:rPr>
        <w:t>Environmental Effects</w:t>
      </w:r>
    </w:p>
    <w:p w:rsidR="000E54B8" w:rsidRPr="006C7654" w:rsidRDefault="000E54B8" w:rsidP="000E54B8">
      <w:pPr>
        <w:rPr>
          <w:rFonts w:ascii="Arial" w:hAnsi="Arial" w:cs="Arial"/>
          <w:sz w:val="22"/>
          <w:szCs w:val="22"/>
        </w:rPr>
      </w:pPr>
      <w:r w:rsidRPr="006C7654">
        <w:rPr>
          <w:rFonts w:ascii="Arial" w:hAnsi="Arial" w:cs="Arial"/>
          <w:sz w:val="22"/>
          <w:szCs w:val="22"/>
        </w:rPr>
        <w:t xml:space="preserve">The amendment </w:t>
      </w:r>
      <w:r w:rsidR="00735E94">
        <w:rPr>
          <w:rFonts w:ascii="Arial" w:hAnsi="Arial" w:cs="Arial"/>
          <w:sz w:val="22"/>
          <w:szCs w:val="22"/>
        </w:rPr>
        <w:t xml:space="preserve">which </w:t>
      </w:r>
      <w:r w:rsidRPr="006C7654">
        <w:rPr>
          <w:rFonts w:ascii="Arial" w:hAnsi="Arial" w:cs="Arial"/>
          <w:sz w:val="22"/>
          <w:szCs w:val="22"/>
        </w:rPr>
        <w:t>facilitate</w:t>
      </w:r>
      <w:r w:rsidR="00735E94">
        <w:rPr>
          <w:rFonts w:ascii="Arial" w:hAnsi="Arial" w:cs="Arial"/>
          <w:sz w:val="22"/>
          <w:szCs w:val="22"/>
        </w:rPr>
        <w:t>s</w:t>
      </w:r>
      <w:r w:rsidRPr="006C7654">
        <w:rPr>
          <w:rFonts w:ascii="Arial" w:hAnsi="Arial" w:cs="Arial"/>
          <w:sz w:val="22"/>
          <w:szCs w:val="22"/>
        </w:rPr>
        <w:t xml:space="preserve"> a two lot subdivision of existing approved facilities will have no adverse effects on the environment. The amendment does not alter the physical appearance of the site.</w:t>
      </w:r>
    </w:p>
    <w:p w:rsidR="000E54B8" w:rsidRPr="006C7654" w:rsidRDefault="000E54B8" w:rsidP="000E54B8">
      <w:pPr>
        <w:rPr>
          <w:rFonts w:ascii="Arial" w:hAnsi="Arial" w:cs="Arial"/>
          <w:sz w:val="22"/>
          <w:szCs w:val="22"/>
          <w:u w:val="single"/>
        </w:rPr>
      </w:pPr>
      <w:r w:rsidRPr="006C7654">
        <w:rPr>
          <w:rFonts w:ascii="Arial" w:hAnsi="Arial" w:cs="Arial"/>
          <w:sz w:val="22"/>
          <w:szCs w:val="22"/>
          <w:u w:val="single"/>
        </w:rPr>
        <w:t>Social Impact</w:t>
      </w:r>
    </w:p>
    <w:p w:rsidR="005E1CC4" w:rsidRDefault="000E54B8" w:rsidP="000E54B8">
      <w:pPr>
        <w:autoSpaceDE w:val="0"/>
        <w:autoSpaceDN w:val="0"/>
        <w:adjustRightInd w:val="0"/>
        <w:rPr>
          <w:rFonts w:ascii="Arial" w:hAnsi="Arial" w:cs="Arial"/>
          <w:sz w:val="22"/>
          <w:szCs w:val="22"/>
        </w:rPr>
      </w:pPr>
      <w:r w:rsidRPr="006C7654">
        <w:rPr>
          <w:rFonts w:ascii="Arial" w:hAnsi="Arial" w:cs="Arial"/>
          <w:sz w:val="22"/>
          <w:szCs w:val="22"/>
        </w:rPr>
        <w:t>The Amendment will result in positive social impacts to the municipality. The amendment will help to provide an efficiently operating residential aged care facility established by a recognised operator. This will provide high quality housing for a demographic that is increasing in number and in need of additional and appropriate facilities (</w:t>
      </w:r>
      <w:r w:rsidRPr="006C7654">
        <w:rPr>
          <w:rFonts w:ascii="Arial" w:hAnsi="Arial" w:cs="Arial"/>
          <w:i/>
          <w:sz w:val="22"/>
          <w:szCs w:val="22"/>
        </w:rPr>
        <w:t>the Bellarine Peninsula Strategic Plan 2006-2016</w:t>
      </w:r>
      <w:r w:rsidRPr="006C7654">
        <w:rPr>
          <w:rFonts w:ascii="Arial" w:hAnsi="Arial" w:cs="Arial"/>
          <w:sz w:val="22"/>
          <w:szCs w:val="22"/>
        </w:rPr>
        <w:t xml:space="preserve"> recognises that the aged population is amongst the fastest growing in Greater Geelong and a key action of the Plan is to encourage suitable siting of housing for older people and to develop a variety of housing styles suitable for seniors close to facilities). </w:t>
      </w:r>
    </w:p>
    <w:p w:rsidR="000E54B8" w:rsidRPr="006C7654" w:rsidRDefault="000E54B8" w:rsidP="000E54B8">
      <w:pPr>
        <w:autoSpaceDE w:val="0"/>
        <w:autoSpaceDN w:val="0"/>
        <w:adjustRightInd w:val="0"/>
        <w:rPr>
          <w:rFonts w:ascii="Arial" w:hAnsi="Arial" w:cs="Arial"/>
          <w:sz w:val="22"/>
          <w:szCs w:val="22"/>
          <w:u w:val="single"/>
        </w:rPr>
      </w:pPr>
      <w:r w:rsidRPr="006C7654">
        <w:rPr>
          <w:rFonts w:ascii="Arial" w:hAnsi="Arial" w:cs="Arial"/>
          <w:sz w:val="22"/>
          <w:szCs w:val="22"/>
          <w:u w:val="single"/>
        </w:rPr>
        <w:t>Economic Benefits</w:t>
      </w:r>
    </w:p>
    <w:p w:rsidR="000E54B8" w:rsidRPr="006C7654" w:rsidRDefault="000E54B8" w:rsidP="000E54B8">
      <w:pPr>
        <w:rPr>
          <w:rFonts w:ascii="Arial" w:hAnsi="Arial" w:cs="Arial"/>
          <w:sz w:val="22"/>
          <w:szCs w:val="22"/>
        </w:rPr>
      </w:pPr>
      <w:r w:rsidRPr="006C7654">
        <w:rPr>
          <w:rFonts w:ascii="Arial" w:hAnsi="Arial" w:cs="Arial"/>
          <w:sz w:val="22"/>
          <w:szCs w:val="22"/>
        </w:rPr>
        <w:t>The Amendment will have a positive impact on the economy of the area and the wider municipality and region. An effectively operating facility will provide immediate and sustainable employment opportunities at the site, which is considered to be conveniently accessible to several communities</w:t>
      </w:r>
      <w:r w:rsidR="005E1CC4">
        <w:rPr>
          <w:rFonts w:ascii="Arial" w:hAnsi="Arial" w:cs="Arial"/>
          <w:sz w:val="22"/>
          <w:szCs w:val="22"/>
        </w:rPr>
        <w:t>.</w:t>
      </w:r>
      <w:r w:rsidRPr="006C7654">
        <w:rPr>
          <w:rFonts w:ascii="Arial" w:hAnsi="Arial" w:cs="Arial"/>
          <w:sz w:val="22"/>
          <w:szCs w:val="22"/>
        </w:rPr>
        <w:t xml:space="preserve"> </w:t>
      </w:r>
    </w:p>
    <w:p w:rsidR="0047628B" w:rsidRPr="0047628B" w:rsidRDefault="00855A78" w:rsidP="008310E5">
      <w:pPr>
        <w:pStyle w:val="Heading3"/>
        <w:numPr>
          <w:ilvl w:val="0"/>
          <w:numId w:val="0"/>
        </w:numPr>
        <w:jc w:val="left"/>
        <w:rPr>
          <w:rFonts w:ascii="Arial" w:hAnsi="Arial" w:cs="Arial"/>
          <w:szCs w:val="24"/>
        </w:rPr>
      </w:pPr>
      <w:r>
        <w:rPr>
          <w:rFonts w:ascii="Arial" w:hAnsi="Arial" w:cs="Arial"/>
          <w:szCs w:val="24"/>
        </w:rPr>
        <w:t>Does the A</w:t>
      </w:r>
      <w:r w:rsidR="0047628B" w:rsidRPr="0047628B">
        <w:rPr>
          <w:rFonts w:ascii="Arial" w:hAnsi="Arial" w:cs="Arial"/>
          <w:szCs w:val="24"/>
        </w:rPr>
        <w:t>mendment address relevant bushfire risk?</w:t>
      </w:r>
    </w:p>
    <w:p w:rsidR="000E54B8" w:rsidRPr="006C7654" w:rsidRDefault="000E54B8" w:rsidP="000E54B8">
      <w:pPr>
        <w:rPr>
          <w:rFonts w:ascii="Arial" w:hAnsi="Arial" w:cs="Arial"/>
          <w:sz w:val="22"/>
          <w:szCs w:val="22"/>
        </w:rPr>
      </w:pPr>
      <w:r w:rsidRPr="006C7654">
        <w:rPr>
          <w:rFonts w:ascii="Arial" w:hAnsi="Arial" w:cs="Arial"/>
          <w:sz w:val="22"/>
          <w:szCs w:val="22"/>
        </w:rPr>
        <w:t>The subject site is largely cleared and is not in a Designated Bushfire Prone area pursuant to the Department of Environment, Water, Land, and Planning (DEWLP) mapping.</w:t>
      </w:r>
    </w:p>
    <w:p w:rsidR="00A068E6" w:rsidRPr="00420A5B" w:rsidRDefault="00855A78" w:rsidP="008310E5">
      <w:pPr>
        <w:pStyle w:val="Heading3"/>
        <w:numPr>
          <w:ilvl w:val="0"/>
          <w:numId w:val="0"/>
        </w:numPr>
        <w:jc w:val="left"/>
        <w:rPr>
          <w:rFonts w:ascii="Arial" w:hAnsi="Arial" w:cs="Arial"/>
          <w:szCs w:val="24"/>
        </w:rPr>
      </w:pPr>
      <w:r>
        <w:rPr>
          <w:rFonts w:ascii="Arial" w:hAnsi="Arial" w:cs="Arial"/>
          <w:szCs w:val="24"/>
        </w:rPr>
        <w:t>Does the A</w:t>
      </w:r>
      <w:r w:rsidR="00A068E6" w:rsidRPr="00420A5B">
        <w:rPr>
          <w:rFonts w:ascii="Arial" w:hAnsi="Arial" w:cs="Arial"/>
          <w:szCs w:val="24"/>
        </w:rPr>
        <w:t>mendment comply with the requirements of any Minister’s Direction applicable to the amendment?</w:t>
      </w:r>
    </w:p>
    <w:p w:rsidR="000E54B8" w:rsidRPr="006C7654" w:rsidRDefault="000E54B8" w:rsidP="000E54B8">
      <w:pPr>
        <w:rPr>
          <w:rFonts w:ascii="Arial" w:hAnsi="Arial" w:cs="Arial"/>
          <w:sz w:val="22"/>
          <w:szCs w:val="22"/>
        </w:rPr>
      </w:pPr>
      <w:r w:rsidRPr="006C7654">
        <w:rPr>
          <w:rFonts w:ascii="Arial" w:hAnsi="Arial" w:cs="Arial"/>
          <w:sz w:val="22"/>
          <w:szCs w:val="22"/>
        </w:rPr>
        <w:t>Ministerial Direction No.11 (Strategic Assessment of Amendments) is the relevant Minister’s Direction with regard to the proposed amendment. This section of the report outlines the proposed amendment’s compliance with the Strategic Assessment Guidelines.</w:t>
      </w:r>
    </w:p>
    <w:p w:rsidR="005E1CC4" w:rsidRDefault="000E54B8" w:rsidP="005E1CC4">
      <w:pPr>
        <w:rPr>
          <w:rFonts w:ascii="Arial" w:hAnsi="Arial" w:cs="Arial"/>
          <w:sz w:val="22"/>
          <w:szCs w:val="22"/>
        </w:rPr>
      </w:pPr>
      <w:r w:rsidRPr="006C7654">
        <w:rPr>
          <w:rFonts w:ascii="Arial" w:hAnsi="Arial" w:cs="Arial"/>
          <w:sz w:val="22"/>
          <w:szCs w:val="22"/>
        </w:rPr>
        <w:t>The amendment documents also comply with the Ministerial Direction on the Form and Content of Planning Schemes.</w:t>
      </w:r>
    </w:p>
    <w:p w:rsidR="00A068E6" w:rsidRPr="00420A5B" w:rsidRDefault="00855A78" w:rsidP="005E1CC4">
      <w:pPr>
        <w:pStyle w:val="Heading3"/>
        <w:numPr>
          <w:ilvl w:val="0"/>
          <w:numId w:val="0"/>
        </w:numPr>
        <w:jc w:val="left"/>
        <w:rPr>
          <w:rFonts w:ascii="Arial" w:hAnsi="Arial" w:cs="Arial"/>
          <w:szCs w:val="24"/>
        </w:rPr>
      </w:pPr>
      <w:r>
        <w:rPr>
          <w:rFonts w:ascii="Arial" w:hAnsi="Arial" w:cs="Arial"/>
          <w:szCs w:val="24"/>
        </w:rPr>
        <w:t>How does the A</w:t>
      </w:r>
      <w:r w:rsidR="00A068E6" w:rsidRPr="00420A5B">
        <w:rPr>
          <w:rFonts w:ascii="Arial" w:hAnsi="Arial" w:cs="Arial"/>
          <w:szCs w:val="24"/>
        </w:rPr>
        <w:t xml:space="preserve">mendment support or implement the </w:t>
      </w:r>
      <w:r w:rsidR="007A4DF1">
        <w:rPr>
          <w:rFonts w:ascii="Arial" w:hAnsi="Arial" w:cs="Arial"/>
          <w:szCs w:val="24"/>
        </w:rPr>
        <w:t>State Planning Policy Framework and any adopted State policy?</w:t>
      </w:r>
    </w:p>
    <w:p w:rsidR="000E54B8" w:rsidRPr="006C7654" w:rsidRDefault="000E54B8" w:rsidP="000E54B8">
      <w:pPr>
        <w:rPr>
          <w:rFonts w:ascii="Arial" w:hAnsi="Arial" w:cs="Arial"/>
          <w:sz w:val="22"/>
          <w:szCs w:val="22"/>
        </w:rPr>
      </w:pPr>
      <w:r w:rsidRPr="006C7654">
        <w:rPr>
          <w:rFonts w:ascii="Arial" w:hAnsi="Arial" w:cs="Arial"/>
          <w:sz w:val="22"/>
          <w:szCs w:val="22"/>
        </w:rPr>
        <w:t xml:space="preserve">The amendment is supported by Clause 11.05-1 (Regional settlement networks) that aims to ‘promote the sustainable growth and development of regional Victoria’. </w:t>
      </w:r>
    </w:p>
    <w:p w:rsidR="00FA2EA3" w:rsidRDefault="000E54B8" w:rsidP="000E54B8">
      <w:pPr>
        <w:rPr>
          <w:rFonts w:ascii="Arial" w:hAnsi="Arial" w:cs="Arial"/>
          <w:sz w:val="22"/>
          <w:szCs w:val="22"/>
        </w:rPr>
      </w:pPr>
      <w:r w:rsidRPr="006C7654">
        <w:rPr>
          <w:rFonts w:ascii="Arial" w:hAnsi="Arial" w:cs="Arial"/>
          <w:sz w:val="22"/>
          <w:szCs w:val="22"/>
        </w:rPr>
        <w:t xml:space="preserve">The Amendment supports investment in the Geelong region through providing operational certainty for a recognised aged care provider. This is consistent with Clause 11.07 that supports the role of Geelong as the State’s second city and encourages investment to cater for expected growth. </w:t>
      </w:r>
    </w:p>
    <w:p w:rsidR="0068276B" w:rsidRDefault="0068276B" w:rsidP="000E54B8">
      <w:pPr>
        <w:rPr>
          <w:rFonts w:ascii="Arial" w:hAnsi="Arial" w:cs="Arial"/>
          <w:sz w:val="22"/>
          <w:szCs w:val="22"/>
        </w:rPr>
      </w:pPr>
      <w:r w:rsidRPr="0065167F">
        <w:rPr>
          <w:rFonts w:ascii="Arial" w:hAnsi="Arial" w:cs="Arial"/>
          <w:sz w:val="22"/>
          <w:szCs w:val="22"/>
        </w:rPr>
        <w:t xml:space="preserve">The Amendment does not impact on productive farmland as required by Clause 14.01-1 (Protection of agricultural land) as the site is already approved for an aged care centre. The Amendment (and the future aged care facility) will have minimal off site impacts </w:t>
      </w:r>
      <w:r w:rsidR="004E7B10" w:rsidRPr="0065167F">
        <w:rPr>
          <w:rFonts w:ascii="Arial" w:hAnsi="Arial" w:cs="Arial"/>
          <w:sz w:val="22"/>
          <w:szCs w:val="22"/>
        </w:rPr>
        <w:t xml:space="preserve">on agriculture </w:t>
      </w:r>
      <w:r w:rsidRPr="0065167F">
        <w:rPr>
          <w:rFonts w:ascii="Arial" w:hAnsi="Arial" w:cs="Arial"/>
          <w:sz w:val="22"/>
          <w:szCs w:val="22"/>
        </w:rPr>
        <w:t xml:space="preserve">as the surrounding land is mainly used for non-agricultural purposes (retirement village, dwellings) except for the land to the east which </w:t>
      </w:r>
      <w:r w:rsidR="004E7B10" w:rsidRPr="0065167F">
        <w:rPr>
          <w:rFonts w:ascii="Arial" w:hAnsi="Arial" w:cs="Arial"/>
          <w:sz w:val="22"/>
          <w:szCs w:val="22"/>
        </w:rPr>
        <w:t>is unlikely to be</w:t>
      </w:r>
      <w:r w:rsidRPr="0065167F">
        <w:rPr>
          <w:rFonts w:ascii="Arial" w:hAnsi="Arial" w:cs="Arial"/>
          <w:sz w:val="22"/>
          <w:szCs w:val="22"/>
        </w:rPr>
        <w:t xml:space="preserve"> affected.</w:t>
      </w:r>
    </w:p>
    <w:p w:rsidR="00FA2EA3" w:rsidRPr="006C7654" w:rsidRDefault="000E54B8" w:rsidP="00FA2EA3">
      <w:pPr>
        <w:rPr>
          <w:rFonts w:ascii="Arial" w:hAnsi="Arial" w:cs="Arial"/>
          <w:sz w:val="22"/>
          <w:szCs w:val="22"/>
        </w:rPr>
      </w:pPr>
      <w:r w:rsidRPr="006C7654">
        <w:rPr>
          <w:rFonts w:ascii="Arial" w:hAnsi="Arial" w:cs="Arial"/>
          <w:sz w:val="22"/>
          <w:szCs w:val="22"/>
        </w:rPr>
        <w:t xml:space="preserve">The Amendment supports Clause 16.02-3 (Residential aged care facilities) through enabling older people to live in appropriate housing in their local community and Clause 16.01-1 (Integrated housing) that promotes ‘a housing market that meets community needs’. The amendment will also promote diversity and affordability, which are the objectives of clause 16.01-4 (Housing Diversity) and Clause 16.01-5 (Housing Affordability). </w:t>
      </w:r>
    </w:p>
    <w:p w:rsidR="00A068E6" w:rsidRPr="00420A5B" w:rsidRDefault="00FA2EA3" w:rsidP="008310E5">
      <w:pPr>
        <w:pStyle w:val="Heading3"/>
        <w:numPr>
          <w:ilvl w:val="0"/>
          <w:numId w:val="0"/>
        </w:numPr>
        <w:jc w:val="left"/>
        <w:rPr>
          <w:rFonts w:ascii="Arial" w:hAnsi="Arial" w:cs="Arial"/>
          <w:szCs w:val="24"/>
        </w:rPr>
      </w:pPr>
      <w:r>
        <w:rPr>
          <w:rFonts w:ascii="Arial" w:hAnsi="Arial" w:cs="Arial"/>
          <w:szCs w:val="24"/>
        </w:rPr>
        <w:br w:type="page"/>
      </w:r>
      <w:r w:rsidR="00855A78">
        <w:rPr>
          <w:rFonts w:ascii="Arial" w:hAnsi="Arial" w:cs="Arial"/>
          <w:szCs w:val="24"/>
        </w:rPr>
        <w:t>How does the A</w:t>
      </w:r>
      <w:r w:rsidR="00A068E6" w:rsidRPr="00420A5B">
        <w:rPr>
          <w:rFonts w:ascii="Arial" w:hAnsi="Arial" w:cs="Arial"/>
          <w:szCs w:val="24"/>
        </w:rPr>
        <w:t>mendment support or implement the Local Planning Policy Framework</w:t>
      </w:r>
      <w:r w:rsidR="007A4DF1">
        <w:rPr>
          <w:rFonts w:ascii="Arial" w:hAnsi="Arial" w:cs="Arial"/>
          <w:szCs w:val="24"/>
        </w:rPr>
        <w:t>, and specifically the Municipal Strategic Statement?</w:t>
      </w:r>
    </w:p>
    <w:p w:rsidR="000E54B8" w:rsidRPr="006C7654" w:rsidRDefault="000E54B8" w:rsidP="000E54B8">
      <w:pPr>
        <w:rPr>
          <w:rFonts w:ascii="Arial" w:hAnsi="Arial" w:cs="Arial"/>
          <w:sz w:val="22"/>
          <w:szCs w:val="22"/>
        </w:rPr>
      </w:pPr>
      <w:r w:rsidRPr="006C7654">
        <w:rPr>
          <w:rFonts w:ascii="Arial" w:hAnsi="Arial" w:cs="Arial"/>
          <w:sz w:val="22"/>
          <w:szCs w:val="22"/>
        </w:rPr>
        <w:t xml:space="preserve">The Municipal Strategic Statement (MSS) is consistent with State policy on the matter of supporting appropriate housing for older persons and encouraging economic and social sustainability. Clause 21.06 (Settlement and Housing) recognises that the municipality’s population is growing and aging rapidly and that the </w:t>
      </w:r>
      <w:r w:rsidR="00FA2EA3">
        <w:rPr>
          <w:rFonts w:ascii="Arial" w:hAnsi="Arial" w:cs="Arial"/>
          <w:sz w:val="22"/>
          <w:szCs w:val="22"/>
        </w:rPr>
        <w:t>Bellarine Peninsula</w:t>
      </w:r>
      <w:r w:rsidRPr="006C7654">
        <w:rPr>
          <w:rFonts w:ascii="Arial" w:hAnsi="Arial" w:cs="Arial"/>
          <w:sz w:val="22"/>
          <w:szCs w:val="22"/>
        </w:rPr>
        <w:t xml:space="preserve"> is a destination for those wishing to retire. There is a recognised demand for retirement accommodation, which should be directed to areas that are convenient to urban services.</w:t>
      </w:r>
    </w:p>
    <w:p w:rsidR="00FA2EA3" w:rsidRDefault="000E54B8" w:rsidP="000E54B8">
      <w:pPr>
        <w:rPr>
          <w:rFonts w:ascii="Arial" w:hAnsi="Arial" w:cs="Arial"/>
          <w:sz w:val="22"/>
          <w:szCs w:val="22"/>
        </w:rPr>
      </w:pPr>
      <w:r w:rsidRPr="006C7654">
        <w:rPr>
          <w:rFonts w:ascii="Arial" w:hAnsi="Arial" w:cs="Arial"/>
          <w:sz w:val="22"/>
          <w:szCs w:val="22"/>
        </w:rPr>
        <w:t xml:space="preserve">The Amendment is consistent with these policies. The Amendment will assist in enhancing the functionality of an approved aged care facility. </w:t>
      </w:r>
    </w:p>
    <w:p w:rsidR="000E54B8" w:rsidRPr="006C7654" w:rsidRDefault="000E54B8" w:rsidP="000E54B8">
      <w:pPr>
        <w:rPr>
          <w:rFonts w:ascii="Arial" w:hAnsi="Arial" w:cs="Arial"/>
          <w:sz w:val="22"/>
          <w:szCs w:val="22"/>
        </w:rPr>
      </w:pPr>
      <w:r w:rsidRPr="006C7654">
        <w:rPr>
          <w:rFonts w:ascii="Arial" w:hAnsi="Arial" w:cs="Arial"/>
          <w:sz w:val="22"/>
          <w:szCs w:val="22"/>
        </w:rPr>
        <w:t xml:space="preserve">Local policy encourages the retention of urban breaks between settlements (Clause 21.14 - The Bellarine Peninsula). </w:t>
      </w:r>
      <w:r w:rsidR="00FA2EA3">
        <w:rPr>
          <w:rFonts w:ascii="Arial" w:hAnsi="Arial" w:cs="Arial"/>
          <w:sz w:val="22"/>
          <w:szCs w:val="22"/>
        </w:rPr>
        <w:t>However it is</w:t>
      </w:r>
      <w:r w:rsidRPr="006C7654">
        <w:rPr>
          <w:rFonts w:ascii="Arial" w:hAnsi="Arial" w:cs="Arial"/>
          <w:sz w:val="22"/>
          <w:szCs w:val="22"/>
        </w:rPr>
        <w:t xml:space="preserve"> important to note that the purpose of the Amendment is to assist with the subdivision of an approved development that, in terms of built form and site location, has been previously assessed to be appropriate.</w:t>
      </w:r>
    </w:p>
    <w:p w:rsidR="00A068E6" w:rsidRPr="00420A5B" w:rsidRDefault="00855A78" w:rsidP="008310E5">
      <w:pPr>
        <w:pStyle w:val="Heading3"/>
        <w:numPr>
          <w:ilvl w:val="0"/>
          <w:numId w:val="0"/>
        </w:numPr>
        <w:jc w:val="left"/>
        <w:rPr>
          <w:rFonts w:ascii="Arial" w:hAnsi="Arial" w:cs="Arial"/>
          <w:szCs w:val="24"/>
        </w:rPr>
      </w:pPr>
      <w:r>
        <w:rPr>
          <w:rFonts w:ascii="Arial" w:hAnsi="Arial" w:cs="Arial"/>
          <w:szCs w:val="24"/>
        </w:rPr>
        <w:t>Does the A</w:t>
      </w:r>
      <w:r w:rsidR="00A068E6" w:rsidRPr="00420A5B">
        <w:rPr>
          <w:rFonts w:ascii="Arial" w:hAnsi="Arial" w:cs="Arial"/>
          <w:szCs w:val="24"/>
        </w:rPr>
        <w:t>mendment make proper use of the Victoria Planning Provisions?</w:t>
      </w:r>
    </w:p>
    <w:p w:rsidR="000E54B8" w:rsidRPr="006C7654" w:rsidRDefault="000E54B8" w:rsidP="000E54B8">
      <w:pPr>
        <w:rPr>
          <w:rFonts w:ascii="Arial" w:hAnsi="Arial" w:cs="Arial"/>
          <w:sz w:val="22"/>
          <w:szCs w:val="22"/>
        </w:rPr>
      </w:pPr>
      <w:r w:rsidRPr="006C7654">
        <w:rPr>
          <w:rFonts w:ascii="Arial" w:hAnsi="Arial" w:cs="Arial"/>
          <w:sz w:val="22"/>
          <w:szCs w:val="22"/>
        </w:rPr>
        <w:t>The Amendment makes use of the most appropriate Victoria Planning Provision (VPP) tool for the subdivision of the subject site. A site specific approval in the form of an Incorporated Document in Clause 52.03 of the Greater Geelong Planning Scheme is appropriate for the following reasons:</w:t>
      </w:r>
    </w:p>
    <w:p w:rsidR="000E54B8" w:rsidRPr="006C7654" w:rsidRDefault="000E54B8" w:rsidP="00C519DF">
      <w:pPr>
        <w:numPr>
          <w:ilvl w:val="0"/>
          <w:numId w:val="43"/>
        </w:numPr>
        <w:tabs>
          <w:tab w:val="left" w:pos="426"/>
        </w:tabs>
        <w:spacing w:line="260" w:lineRule="exact"/>
        <w:ind w:left="426" w:hanging="426"/>
        <w:rPr>
          <w:rFonts w:ascii="Arial" w:hAnsi="Arial" w:cs="Arial"/>
          <w:sz w:val="22"/>
          <w:szCs w:val="22"/>
        </w:rPr>
      </w:pPr>
      <w:r w:rsidRPr="006C7654">
        <w:rPr>
          <w:rFonts w:ascii="Arial" w:hAnsi="Arial" w:cs="Arial"/>
          <w:sz w:val="22"/>
          <w:szCs w:val="22"/>
        </w:rPr>
        <w:t>The use of Clause 52.03 acknowledges the unique and site specific nature of the need to subdivide the land, which has arisen from an historical approval;</w:t>
      </w:r>
    </w:p>
    <w:p w:rsidR="000E54B8" w:rsidRPr="006C7654" w:rsidRDefault="000E54B8" w:rsidP="00C519DF">
      <w:pPr>
        <w:numPr>
          <w:ilvl w:val="0"/>
          <w:numId w:val="43"/>
        </w:numPr>
        <w:tabs>
          <w:tab w:val="left" w:pos="426"/>
        </w:tabs>
        <w:spacing w:line="260" w:lineRule="exact"/>
        <w:ind w:left="426" w:hanging="426"/>
        <w:rPr>
          <w:rFonts w:ascii="Arial" w:hAnsi="Arial" w:cs="Arial"/>
          <w:sz w:val="22"/>
          <w:szCs w:val="22"/>
        </w:rPr>
      </w:pPr>
      <w:r w:rsidRPr="006C7654">
        <w:rPr>
          <w:rFonts w:ascii="Arial" w:hAnsi="Arial" w:cs="Arial"/>
          <w:sz w:val="22"/>
          <w:szCs w:val="22"/>
        </w:rPr>
        <w:t>The approach maintains the integrity of the Farming Zone as it is applied to other land in the municipality in respect to subdivision;</w:t>
      </w:r>
    </w:p>
    <w:p w:rsidR="000E54B8" w:rsidRPr="006C7654" w:rsidRDefault="000E54B8" w:rsidP="00C519DF">
      <w:pPr>
        <w:numPr>
          <w:ilvl w:val="0"/>
          <w:numId w:val="43"/>
        </w:numPr>
        <w:tabs>
          <w:tab w:val="left" w:pos="426"/>
        </w:tabs>
        <w:spacing w:line="260" w:lineRule="exact"/>
        <w:ind w:left="426" w:hanging="426"/>
        <w:rPr>
          <w:rFonts w:ascii="Arial" w:hAnsi="Arial" w:cs="Arial"/>
          <w:sz w:val="22"/>
          <w:szCs w:val="22"/>
        </w:rPr>
      </w:pPr>
      <w:r w:rsidRPr="006C7654">
        <w:rPr>
          <w:rFonts w:ascii="Arial" w:hAnsi="Arial" w:cs="Arial"/>
          <w:sz w:val="22"/>
          <w:szCs w:val="22"/>
        </w:rPr>
        <w:t>There is precedence for using this VPP tool in Greater Geelong, which has been effective in promoting ec</w:t>
      </w:r>
      <w:r w:rsidR="00C519DF">
        <w:rPr>
          <w:rFonts w:ascii="Arial" w:hAnsi="Arial" w:cs="Arial"/>
          <w:sz w:val="22"/>
          <w:szCs w:val="22"/>
        </w:rPr>
        <w:t>onomic growth within the region.</w:t>
      </w:r>
    </w:p>
    <w:p w:rsidR="00A068E6" w:rsidRPr="00420A5B" w:rsidRDefault="00855A78" w:rsidP="008310E5">
      <w:pPr>
        <w:pStyle w:val="Heading3"/>
        <w:numPr>
          <w:ilvl w:val="0"/>
          <w:numId w:val="0"/>
        </w:numPr>
        <w:jc w:val="left"/>
        <w:rPr>
          <w:rFonts w:ascii="Arial" w:hAnsi="Arial" w:cs="Arial"/>
          <w:szCs w:val="24"/>
        </w:rPr>
      </w:pPr>
      <w:r>
        <w:rPr>
          <w:rFonts w:ascii="Arial" w:hAnsi="Arial" w:cs="Arial"/>
          <w:szCs w:val="24"/>
        </w:rPr>
        <w:t>How does the A</w:t>
      </w:r>
      <w:r w:rsidR="00A068E6" w:rsidRPr="00420A5B">
        <w:rPr>
          <w:rFonts w:ascii="Arial" w:hAnsi="Arial" w:cs="Arial"/>
          <w:szCs w:val="24"/>
        </w:rPr>
        <w:t>mendment address the views of any relevant agency?</w:t>
      </w:r>
    </w:p>
    <w:p w:rsidR="000E54B8" w:rsidRPr="006C7654" w:rsidRDefault="000E54B8" w:rsidP="000E54B8">
      <w:pPr>
        <w:rPr>
          <w:rFonts w:ascii="Arial" w:hAnsi="Arial" w:cs="Arial"/>
          <w:b/>
          <w:sz w:val="22"/>
          <w:szCs w:val="22"/>
        </w:rPr>
      </w:pPr>
      <w:r w:rsidRPr="006C7654">
        <w:rPr>
          <w:rFonts w:ascii="Arial" w:hAnsi="Arial" w:cs="Arial"/>
          <w:b/>
          <w:sz w:val="22"/>
          <w:szCs w:val="22"/>
        </w:rPr>
        <w:t>Service Authorities</w:t>
      </w:r>
    </w:p>
    <w:p w:rsidR="000E54B8" w:rsidRPr="006C7654" w:rsidRDefault="000E54B8" w:rsidP="000E54B8">
      <w:pPr>
        <w:rPr>
          <w:rFonts w:ascii="Arial" w:hAnsi="Arial" w:cs="Arial"/>
          <w:sz w:val="22"/>
          <w:szCs w:val="22"/>
        </w:rPr>
      </w:pPr>
      <w:r w:rsidRPr="006C7654">
        <w:rPr>
          <w:rFonts w:ascii="Arial" w:hAnsi="Arial" w:cs="Arial"/>
          <w:sz w:val="22"/>
          <w:szCs w:val="22"/>
        </w:rPr>
        <w:t>The amendment supports a two lot subdivision of the subject site.  The standard conditions in Clause 66.01-1 for a two lot subdivision have been included in the Incorporated Document and therefore the requirements of service authorities are addressed.</w:t>
      </w:r>
    </w:p>
    <w:p w:rsidR="000E54B8" w:rsidRPr="006C7654" w:rsidRDefault="000E54B8" w:rsidP="000E54B8">
      <w:pPr>
        <w:rPr>
          <w:rFonts w:ascii="Arial" w:hAnsi="Arial" w:cs="Arial"/>
          <w:b/>
          <w:sz w:val="22"/>
          <w:szCs w:val="22"/>
        </w:rPr>
      </w:pPr>
      <w:r w:rsidRPr="006C7654">
        <w:rPr>
          <w:rFonts w:ascii="Arial" w:hAnsi="Arial" w:cs="Arial"/>
          <w:b/>
          <w:sz w:val="22"/>
          <w:szCs w:val="22"/>
        </w:rPr>
        <w:t>VicRoads</w:t>
      </w:r>
    </w:p>
    <w:p w:rsidR="000E54B8" w:rsidRPr="006C7654" w:rsidRDefault="000E54B8" w:rsidP="000E54B8">
      <w:pPr>
        <w:rPr>
          <w:rFonts w:ascii="Arial" w:hAnsi="Arial" w:cs="Arial"/>
          <w:sz w:val="22"/>
          <w:szCs w:val="22"/>
        </w:rPr>
      </w:pPr>
      <w:r w:rsidRPr="006C7654">
        <w:rPr>
          <w:rFonts w:ascii="Arial" w:hAnsi="Arial" w:cs="Arial"/>
          <w:sz w:val="22"/>
          <w:szCs w:val="22"/>
        </w:rPr>
        <w:t>The amendment does not propose any alteration to the access to the site nor increase the likely traffic to be generated from the approved use.</w:t>
      </w:r>
    </w:p>
    <w:p w:rsidR="00BB1CA4" w:rsidRPr="00420A5B" w:rsidRDefault="00BC596D" w:rsidP="008310E5">
      <w:pPr>
        <w:pStyle w:val="Heading3"/>
        <w:numPr>
          <w:ilvl w:val="0"/>
          <w:numId w:val="0"/>
        </w:numPr>
        <w:jc w:val="left"/>
        <w:rPr>
          <w:rFonts w:ascii="Arial" w:hAnsi="Arial" w:cs="Arial"/>
          <w:szCs w:val="24"/>
        </w:rPr>
      </w:pPr>
      <w:r w:rsidRPr="00420A5B">
        <w:rPr>
          <w:rFonts w:ascii="Arial" w:hAnsi="Arial" w:cs="Arial"/>
          <w:szCs w:val="24"/>
        </w:rPr>
        <w:t>D</w:t>
      </w:r>
      <w:r w:rsidR="00855A78">
        <w:rPr>
          <w:rFonts w:ascii="Arial" w:hAnsi="Arial" w:cs="Arial"/>
          <w:szCs w:val="24"/>
        </w:rPr>
        <w:t>oes the A</w:t>
      </w:r>
      <w:r w:rsidR="00B74D9F" w:rsidRPr="00420A5B">
        <w:rPr>
          <w:rFonts w:ascii="Arial" w:hAnsi="Arial" w:cs="Arial"/>
          <w:szCs w:val="24"/>
        </w:rPr>
        <w:t xml:space="preserve">mendment address </w:t>
      </w:r>
      <w:r w:rsidRPr="00420A5B">
        <w:rPr>
          <w:rFonts w:ascii="Arial" w:hAnsi="Arial" w:cs="Arial"/>
          <w:szCs w:val="24"/>
        </w:rPr>
        <w:t>relevant</w:t>
      </w:r>
      <w:r w:rsidR="00B74D9F" w:rsidRPr="00420A5B">
        <w:rPr>
          <w:rFonts w:ascii="Arial" w:hAnsi="Arial" w:cs="Arial"/>
          <w:szCs w:val="24"/>
        </w:rPr>
        <w:t xml:space="preserve"> requirements of the Transport Integration Act 2010?</w:t>
      </w:r>
    </w:p>
    <w:p w:rsidR="000E54B8" w:rsidRPr="006C7654" w:rsidRDefault="000E54B8" w:rsidP="000E54B8">
      <w:pPr>
        <w:rPr>
          <w:rFonts w:ascii="Arial" w:hAnsi="Arial" w:cs="Arial"/>
          <w:sz w:val="22"/>
          <w:szCs w:val="22"/>
        </w:rPr>
      </w:pPr>
      <w:r w:rsidRPr="006C7654">
        <w:rPr>
          <w:rFonts w:ascii="Arial" w:hAnsi="Arial" w:cs="Arial"/>
          <w:sz w:val="22"/>
          <w:szCs w:val="22"/>
        </w:rPr>
        <w:t xml:space="preserve">The amendment </w:t>
      </w:r>
      <w:r w:rsidR="00FA2EA3">
        <w:rPr>
          <w:rFonts w:ascii="Arial" w:hAnsi="Arial" w:cs="Arial"/>
          <w:sz w:val="22"/>
          <w:szCs w:val="22"/>
        </w:rPr>
        <w:t>has no traffic impacts.</w:t>
      </w:r>
    </w:p>
    <w:p w:rsidR="00814A45" w:rsidRPr="00823BB7" w:rsidRDefault="00814A45" w:rsidP="008310E5">
      <w:pPr>
        <w:pStyle w:val="Heading2"/>
        <w:jc w:val="left"/>
        <w:rPr>
          <w:rFonts w:cs="Arial"/>
        </w:rPr>
      </w:pPr>
      <w:r w:rsidRPr="00823BB7">
        <w:rPr>
          <w:rFonts w:cs="Arial"/>
        </w:rPr>
        <w:t>Resource and administrative costs</w:t>
      </w:r>
    </w:p>
    <w:p w:rsidR="00A068E6" w:rsidRPr="00823BB7" w:rsidRDefault="00A068E6" w:rsidP="008310E5">
      <w:pPr>
        <w:pStyle w:val="Heading3"/>
        <w:jc w:val="left"/>
        <w:rPr>
          <w:rFonts w:ascii="Arial" w:hAnsi="Arial" w:cs="Arial"/>
          <w:szCs w:val="24"/>
        </w:rPr>
      </w:pPr>
      <w:r w:rsidRPr="00823BB7">
        <w:rPr>
          <w:rFonts w:ascii="Arial" w:hAnsi="Arial" w:cs="Arial"/>
          <w:szCs w:val="24"/>
        </w:rPr>
        <w:t>What impact will the new planning provisions have on the resource and administrative costs of the responsible authority?</w:t>
      </w:r>
    </w:p>
    <w:p w:rsidR="000E54B8" w:rsidRPr="0023740B" w:rsidRDefault="00FA2EA3" w:rsidP="000E54B8">
      <w:pPr>
        <w:rPr>
          <w:rFonts w:ascii="Arial" w:hAnsi="Arial" w:cs="Arial"/>
          <w:sz w:val="22"/>
          <w:szCs w:val="22"/>
        </w:rPr>
      </w:pPr>
      <w:r>
        <w:rPr>
          <w:rFonts w:ascii="Arial" w:hAnsi="Arial" w:cs="Arial"/>
          <w:sz w:val="22"/>
          <w:szCs w:val="22"/>
        </w:rPr>
        <w:t>The amendment will have no impact on the Council’s resources and administrative costs.</w:t>
      </w:r>
    </w:p>
    <w:p w:rsidR="00A068E6" w:rsidRPr="00823BB7" w:rsidRDefault="00FA2EA3" w:rsidP="008310E5">
      <w:pPr>
        <w:pStyle w:val="Heading2"/>
        <w:jc w:val="left"/>
        <w:rPr>
          <w:rFonts w:cs="Arial"/>
        </w:rPr>
      </w:pPr>
      <w:r>
        <w:rPr>
          <w:rFonts w:cs="Arial"/>
        </w:rPr>
        <w:br w:type="page"/>
      </w:r>
      <w:r w:rsidR="00A068E6" w:rsidRPr="00823BB7">
        <w:rPr>
          <w:rFonts w:cs="Arial"/>
        </w:rPr>
        <w:t>Where</w:t>
      </w:r>
      <w:r w:rsidR="00814A45" w:rsidRPr="00823BB7">
        <w:rPr>
          <w:rFonts w:cs="Arial"/>
        </w:rPr>
        <w:t xml:space="preserve"> you may inspect this Amendment</w:t>
      </w:r>
    </w:p>
    <w:p w:rsidR="00A068E6" w:rsidRPr="00F27102" w:rsidRDefault="00A068E6" w:rsidP="008310E5">
      <w:pPr>
        <w:jc w:val="left"/>
        <w:rPr>
          <w:rFonts w:ascii="Arial" w:hAnsi="Arial" w:cs="Arial"/>
          <w:sz w:val="22"/>
          <w:szCs w:val="22"/>
        </w:rPr>
      </w:pPr>
      <w:r w:rsidRPr="00F27102">
        <w:rPr>
          <w:rFonts w:ascii="Arial" w:hAnsi="Arial" w:cs="Arial"/>
          <w:sz w:val="22"/>
          <w:szCs w:val="22"/>
        </w:rPr>
        <w:t xml:space="preserve">The </w:t>
      </w:r>
      <w:r w:rsidR="00855A78">
        <w:rPr>
          <w:rFonts w:ascii="Arial" w:hAnsi="Arial" w:cs="Arial"/>
          <w:sz w:val="22"/>
          <w:szCs w:val="22"/>
        </w:rPr>
        <w:t>A</w:t>
      </w:r>
      <w:r w:rsidRPr="00F27102">
        <w:rPr>
          <w:rFonts w:ascii="Arial" w:hAnsi="Arial" w:cs="Arial"/>
          <w:sz w:val="22"/>
          <w:szCs w:val="22"/>
        </w:rPr>
        <w:t>mendment is available for public inspection, free of charge, during offic</w:t>
      </w:r>
      <w:r w:rsidR="00821867" w:rsidRPr="00F27102">
        <w:rPr>
          <w:rFonts w:ascii="Arial" w:hAnsi="Arial" w:cs="Arial"/>
          <w:sz w:val="22"/>
          <w:szCs w:val="22"/>
        </w:rPr>
        <w:t>e hours at the following places:</w:t>
      </w:r>
    </w:p>
    <w:p w:rsidR="00FB6587" w:rsidRDefault="00FB6587" w:rsidP="00FB6587">
      <w:pPr>
        <w:autoSpaceDE w:val="0"/>
        <w:autoSpaceDN w:val="0"/>
        <w:adjustRightInd w:val="0"/>
        <w:spacing w:before="240"/>
        <w:jc w:val="left"/>
        <w:rPr>
          <w:rFonts w:ascii="Arial" w:hAnsi="Arial" w:cs="Arial"/>
          <w:sz w:val="22"/>
          <w:szCs w:val="22"/>
          <w:lang w:bidi="th-TH"/>
        </w:rPr>
      </w:pPr>
      <w:r>
        <w:rPr>
          <w:rFonts w:ascii="Arial" w:hAnsi="Arial" w:cs="Arial"/>
          <w:sz w:val="22"/>
          <w:szCs w:val="22"/>
          <w:lang w:bidi="th-TH"/>
        </w:rPr>
        <w:t>Greater Geelong City Council</w:t>
      </w:r>
    </w:p>
    <w:p w:rsidR="00FB6587" w:rsidRDefault="00FB6587" w:rsidP="00FB6587">
      <w:pPr>
        <w:autoSpaceDE w:val="0"/>
        <w:autoSpaceDN w:val="0"/>
        <w:adjustRightInd w:val="0"/>
        <w:spacing w:before="0"/>
        <w:jc w:val="left"/>
        <w:rPr>
          <w:rFonts w:ascii="Arial" w:hAnsi="Arial" w:cs="Arial"/>
          <w:sz w:val="22"/>
          <w:szCs w:val="22"/>
          <w:lang w:bidi="th-TH"/>
        </w:rPr>
      </w:pPr>
      <w:r>
        <w:rPr>
          <w:rFonts w:ascii="Arial" w:hAnsi="Arial" w:cs="Arial"/>
          <w:sz w:val="22"/>
          <w:szCs w:val="22"/>
          <w:lang w:bidi="th-TH"/>
        </w:rPr>
        <w:t>Ground Floor</w:t>
      </w:r>
    </w:p>
    <w:p w:rsidR="00FB6587" w:rsidRDefault="00FB6587" w:rsidP="00FB6587">
      <w:pPr>
        <w:autoSpaceDE w:val="0"/>
        <w:autoSpaceDN w:val="0"/>
        <w:adjustRightInd w:val="0"/>
        <w:spacing w:before="0"/>
        <w:jc w:val="left"/>
        <w:rPr>
          <w:rFonts w:ascii="Arial" w:hAnsi="Arial" w:cs="Arial"/>
          <w:sz w:val="22"/>
          <w:szCs w:val="22"/>
          <w:lang w:bidi="th-TH"/>
        </w:rPr>
      </w:pPr>
      <w:r>
        <w:rPr>
          <w:rFonts w:ascii="Arial" w:hAnsi="Arial" w:cs="Arial"/>
          <w:sz w:val="22"/>
          <w:szCs w:val="22"/>
          <w:lang w:bidi="th-TH"/>
        </w:rPr>
        <w:t>100 Brougham Street</w:t>
      </w:r>
    </w:p>
    <w:p w:rsidR="00FB6587" w:rsidRDefault="00FB6587" w:rsidP="00FB6587">
      <w:pPr>
        <w:autoSpaceDE w:val="0"/>
        <w:autoSpaceDN w:val="0"/>
        <w:adjustRightInd w:val="0"/>
        <w:spacing w:before="0"/>
        <w:jc w:val="left"/>
        <w:rPr>
          <w:rFonts w:ascii="Arial" w:hAnsi="Arial" w:cs="Arial"/>
          <w:sz w:val="22"/>
          <w:szCs w:val="22"/>
          <w:lang w:bidi="th-TH"/>
        </w:rPr>
      </w:pPr>
      <w:r>
        <w:rPr>
          <w:rFonts w:ascii="Arial" w:hAnsi="Arial" w:cs="Arial"/>
          <w:sz w:val="22"/>
          <w:szCs w:val="22"/>
          <w:lang w:bidi="th-TH"/>
        </w:rPr>
        <w:t>GEELONG</w:t>
      </w:r>
    </w:p>
    <w:p w:rsidR="00FB6587" w:rsidRDefault="00FB6587" w:rsidP="00FB6587">
      <w:pPr>
        <w:autoSpaceDE w:val="0"/>
        <w:autoSpaceDN w:val="0"/>
        <w:adjustRightInd w:val="0"/>
        <w:spacing w:before="240"/>
        <w:jc w:val="left"/>
        <w:rPr>
          <w:rFonts w:ascii="Arial" w:hAnsi="Arial" w:cs="Arial"/>
          <w:color w:val="000000"/>
          <w:sz w:val="22"/>
          <w:szCs w:val="22"/>
        </w:rPr>
      </w:pPr>
      <w:r>
        <w:rPr>
          <w:rFonts w:ascii="Arial" w:hAnsi="Arial" w:cs="Arial"/>
          <w:color w:val="000000"/>
          <w:sz w:val="22"/>
          <w:szCs w:val="22"/>
        </w:rPr>
        <w:t>The amendment can also be inspected free of charge at the:</w:t>
      </w:r>
    </w:p>
    <w:p w:rsidR="00FB6587" w:rsidRDefault="00FB6587" w:rsidP="00FB6587">
      <w:pPr>
        <w:jc w:val="left"/>
        <w:rPr>
          <w:rFonts w:ascii="Arial" w:hAnsi="Arial" w:cs="Arial"/>
          <w:color w:val="0000FF"/>
          <w:sz w:val="22"/>
          <w:szCs w:val="22"/>
        </w:rPr>
      </w:pPr>
      <w:r>
        <w:rPr>
          <w:rFonts w:ascii="Arial" w:hAnsi="Arial" w:cs="Arial"/>
          <w:b/>
          <w:bCs/>
          <w:color w:val="000000"/>
          <w:sz w:val="22"/>
          <w:szCs w:val="22"/>
        </w:rPr>
        <w:t xml:space="preserve">‘Amendments’ </w:t>
      </w:r>
      <w:r>
        <w:rPr>
          <w:rFonts w:ascii="Arial" w:hAnsi="Arial" w:cs="Arial"/>
          <w:color w:val="000000"/>
          <w:sz w:val="22"/>
          <w:szCs w:val="22"/>
        </w:rPr>
        <w:t xml:space="preserve">section of the City’s website </w:t>
      </w:r>
      <w:hyperlink r:id="rId7" w:history="1">
        <w:r w:rsidRPr="003B627F">
          <w:rPr>
            <w:rStyle w:val="Hyperlink"/>
            <w:rFonts w:ascii="Arial" w:hAnsi="Arial" w:cs="Arial"/>
            <w:sz w:val="22"/>
            <w:szCs w:val="22"/>
          </w:rPr>
          <w:t>www.geelongaustralia.com.au/amendments/</w:t>
        </w:r>
      </w:hyperlink>
    </w:p>
    <w:p w:rsidR="00A068E6" w:rsidRPr="00F27102" w:rsidRDefault="00A009DB" w:rsidP="00FB6587">
      <w:pPr>
        <w:jc w:val="left"/>
        <w:rPr>
          <w:rFonts w:ascii="Arial" w:hAnsi="Arial" w:cs="Arial"/>
          <w:sz w:val="22"/>
          <w:szCs w:val="22"/>
        </w:rPr>
      </w:pPr>
      <w:r w:rsidRPr="00F27102">
        <w:rPr>
          <w:rFonts w:ascii="Arial" w:hAnsi="Arial" w:cs="Arial"/>
          <w:sz w:val="22"/>
          <w:szCs w:val="22"/>
        </w:rPr>
        <w:t xml:space="preserve">The </w:t>
      </w:r>
      <w:r w:rsidR="00855A78">
        <w:rPr>
          <w:rFonts w:ascii="Arial" w:hAnsi="Arial" w:cs="Arial"/>
          <w:sz w:val="22"/>
          <w:szCs w:val="22"/>
        </w:rPr>
        <w:t>A</w:t>
      </w:r>
      <w:r w:rsidRPr="00F27102">
        <w:rPr>
          <w:rFonts w:ascii="Arial" w:hAnsi="Arial" w:cs="Arial"/>
          <w:sz w:val="22"/>
          <w:szCs w:val="22"/>
        </w:rPr>
        <w:t>mendment</w:t>
      </w:r>
      <w:r w:rsidR="00821867" w:rsidRPr="00F27102">
        <w:rPr>
          <w:rFonts w:ascii="Arial" w:hAnsi="Arial" w:cs="Arial"/>
          <w:sz w:val="22"/>
          <w:szCs w:val="22"/>
        </w:rPr>
        <w:t xml:space="preserve"> can also be inspected free of charge at the </w:t>
      </w:r>
      <w:r w:rsidR="00855A78" w:rsidRPr="00855A78">
        <w:rPr>
          <w:rFonts w:ascii="Arial" w:hAnsi="Arial" w:cs="Arial"/>
          <w:sz w:val="22"/>
          <w:szCs w:val="22"/>
        </w:rPr>
        <w:t xml:space="preserve">Department of Environment, Land, Water and Planning </w:t>
      </w:r>
      <w:r w:rsidR="009A2D3F" w:rsidRPr="00F27102">
        <w:rPr>
          <w:rFonts w:ascii="Arial" w:hAnsi="Arial" w:cs="Arial"/>
          <w:sz w:val="22"/>
          <w:szCs w:val="22"/>
        </w:rPr>
        <w:t>web</w:t>
      </w:r>
      <w:r w:rsidR="00821867" w:rsidRPr="00F27102">
        <w:rPr>
          <w:rFonts w:ascii="Arial" w:hAnsi="Arial" w:cs="Arial"/>
          <w:sz w:val="22"/>
          <w:szCs w:val="22"/>
        </w:rPr>
        <w:t xml:space="preserve">site at </w:t>
      </w:r>
      <w:hyperlink r:id="rId8" w:history="1">
        <w:r w:rsidR="00BC17A0" w:rsidRPr="00BC17A0">
          <w:rPr>
            <w:rFonts w:ascii="Arial" w:hAnsi="Arial" w:cs="Arial"/>
            <w:color w:val="0000FF"/>
            <w:sz w:val="22"/>
            <w:szCs w:val="22"/>
            <w:u w:val="single"/>
          </w:rPr>
          <w:t>www.delwp.vic.gov.au/public-inspection</w:t>
        </w:r>
      </w:hyperlink>
      <w:r w:rsidR="00821867" w:rsidRPr="00F27102">
        <w:rPr>
          <w:rFonts w:ascii="Arial" w:hAnsi="Arial" w:cs="Arial"/>
          <w:sz w:val="22"/>
          <w:szCs w:val="22"/>
        </w:rPr>
        <w:t>.</w:t>
      </w:r>
    </w:p>
    <w:p w:rsidR="00E85EC7" w:rsidRPr="000C4CD6" w:rsidRDefault="00E85EC7" w:rsidP="008310E5">
      <w:pPr>
        <w:pStyle w:val="Heading2"/>
        <w:jc w:val="left"/>
        <w:rPr>
          <w:rFonts w:cs="Arial"/>
        </w:rPr>
      </w:pPr>
      <w:r w:rsidRPr="000C4CD6">
        <w:rPr>
          <w:rFonts w:cs="Arial"/>
        </w:rPr>
        <w:t xml:space="preserve">Submissions </w:t>
      </w:r>
    </w:p>
    <w:p w:rsidR="00E85EC7" w:rsidRPr="000C4CD6" w:rsidRDefault="00E85EC7" w:rsidP="008310E5">
      <w:pPr>
        <w:jc w:val="left"/>
        <w:rPr>
          <w:rFonts w:ascii="Arial" w:hAnsi="Arial" w:cs="Arial"/>
          <w:sz w:val="22"/>
          <w:szCs w:val="22"/>
        </w:rPr>
      </w:pPr>
      <w:r w:rsidRPr="000C4CD6">
        <w:rPr>
          <w:rFonts w:ascii="Arial" w:hAnsi="Arial" w:cs="Arial"/>
          <w:sz w:val="22"/>
          <w:szCs w:val="22"/>
        </w:rPr>
        <w:t>Any per</w:t>
      </w:r>
      <w:r w:rsidR="00855A78">
        <w:rPr>
          <w:rFonts w:ascii="Arial" w:hAnsi="Arial" w:cs="Arial"/>
          <w:sz w:val="22"/>
          <w:szCs w:val="22"/>
        </w:rPr>
        <w:t>son who may be affected by the A</w:t>
      </w:r>
      <w:r w:rsidRPr="000C4CD6">
        <w:rPr>
          <w:rFonts w:ascii="Arial" w:hAnsi="Arial" w:cs="Arial"/>
          <w:sz w:val="22"/>
          <w:szCs w:val="22"/>
        </w:rPr>
        <w:t>mendment may make a submission to the planning aut</w:t>
      </w:r>
      <w:r w:rsidR="00855A78">
        <w:rPr>
          <w:rFonts w:ascii="Arial" w:hAnsi="Arial" w:cs="Arial"/>
          <w:sz w:val="22"/>
          <w:szCs w:val="22"/>
        </w:rPr>
        <w:t>hority.  Submissions about the A</w:t>
      </w:r>
      <w:r w:rsidRPr="000C4CD6">
        <w:rPr>
          <w:rFonts w:ascii="Arial" w:hAnsi="Arial" w:cs="Arial"/>
          <w:sz w:val="22"/>
          <w:szCs w:val="22"/>
        </w:rPr>
        <w:t xml:space="preserve">mendment must be received </w:t>
      </w:r>
      <w:r w:rsidR="00C519DF" w:rsidRPr="00510AD6">
        <w:rPr>
          <w:rFonts w:ascii="Arial" w:hAnsi="Arial" w:cs="Arial"/>
          <w:b/>
          <w:sz w:val="22"/>
          <w:szCs w:val="22"/>
        </w:rPr>
        <w:t>Monday 11 January 2016</w:t>
      </w:r>
      <w:r w:rsidR="00C519DF">
        <w:rPr>
          <w:rFonts w:ascii="Arial" w:hAnsi="Arial" w:cs="Arial"/>
          <w:sz w:val="22"/>
          <w:szCs w:val="22"/>
        </w:rPr>
        <w:t xml:space="preserve">. </w:t>
      </w:r>
    </w:p>
    <w:p w:rsidR="00E85EC7" w:rsidRDefault="00E85EC7" w:rsidP="008310E5">
      <w:pPr>
        <w:jc w:val="left"/>
        <w:rPr>
          <w:rFonts w:ascii="Arial" w:hAnsi="Arial" w:cs="Arial"/>
          <w:color w:val="FF0000"/>
          <w:sz w:val="22"/>
          <w:szCs w:val="22"/>
        </w:rPr>
      </w:pPr>
      <w:r w:rsidRPr="000C4CD6">
        <w:rPr>
          <w:rFonts w:ascii="Arial" w:hAnsi="Arial" w:cs="Arial"/>
          <w:sz w:val="22"/>
          <w:szCs w:val="22"/>
        </w:rPr>
        <w:t>A submission must be sent to</w:t>
      </w:r>
      <w:r>
        <w:rPr>
          <w:rFonts w:ascii="Arial" w:hAnsi="Arial" w:cs="Arial"/>
          <w:sz w:val="22"/>
          <w:szCs w:val="22"/>
        </w:rPr>
        <w:t xml:space="preserve">: </w:t>
      </w:r>
    </w:p>
    <w:p w:rsidR="00FB6587" w:rsidRDefault="00FB6587" w:rsidP="00FB6587">
      <w:pPr>
        <w:autoSpaceDE w:val="0"/>
        <w:autoSpaceDN w:val="0"/>
        <w:adjustRightInd w:val="0"/>
        <w:spacing w:before="240"/>
        <w:jc w:val="left"/>
        <w:rPr>
          <w:rFonts w:ascii="Arial" w:hAnsi="Arial" w:cs="Arial"/>
          <w:color w:val="000000"/>
          <w:sz w:val="22"/>
          <w:szCs w:val="22"/>
        </w:rPr>
      </w:pPr>
      <w:r>
        <w:rPr>
          <w:rFonts w:ascii="Arial" w:hAnsi="Arial" w:cs="Arial"/>
          <w:color w:val="000000"/>
          <w:sz w:val="22"/>
          <w:szCs w:val="22"/>
        </w:rPr>
        <w:t>The Coordinator</w:t>
      </w:r>
    </w:p>
    <w:p w:rsidR="00FB6587" w:rsidRDefault="00FB6587" w:rsidP="00FB6587">
      <w:pPr>
        <w:autoSpaceDE w:val="0"/>
        <w:autoSpaceDN w:val="0"/>
        <w:adjustRightInd w:val="0"/>
        <w:spacing w:before="0"/>
        <w:jc w:val="left"/>
        <w:rPr>
          <w:rFonts w:ascii="Arial" w:hAnsi="Arial" w:cs="Arial"/>
          <w:color w:val="000000"/>
          <w:sz w:val="22"/>
          <w:szCs w:val="22"/>
        </w:rPr>
      </w:pPr>
      <w:r>
        <w:rPr>
          <w:rFonts w:ascii="Arial" w:hAnsi="Arial" w:cs="Arial"/>
          <w:color w:val="000000"/>
          <w:sz w:val="22"/>
          <w:szCs w:val="22"/>
        </w:rPr>
        <w:t>Strategic Implementation</w:t>
      </w:r>
    </w:p>
    <w:p w:rsidR="00FB6587" w:rsidRDefault="00FB6587" w:rsidP="00FB6587">
      <w:pPr>
        <w:autoSpaceDE w:val="0"/>
        <w:autoSpaceDN w:val="0"/>
        <w:adjustRightInd w:val="0"/>
        <w:spacing w:before="0"/>
        <w:jc w:val="left"/>
        <w:rPr>
          <w:rFonts w:ascii="Arial" w:hAnsi="Arial" w:cs="Arial"/>
          <w:color w:val="000000"/>
          <w:sz w:val="22"/>
          <w:szCs w:val="22"/>
        </w:rPr>
      </w:pPr>
      <w:r>
        <w:rPr>
          <w:rFonts w:ascii="Arial" w:hAnsi="Arial" w:cs="Arial"/>
          <w:color w:val="000000"/>
          <w:sz w:val="22"/>
          <w:szCs w:val="22"/>
        </w:rPr>
        <w:t>City of Greater Geelong</w:t>
      </w:r>
    </w:p>
    <w:p w:rsidR="00FB6587" w:rsidRDefault="00FB6587" w:rsidP="00FB6587">
      <w:pPr>
        <w:autoSpaceDE w:val="0"/>
        <w:autoSpaceDN w:val="0"/>
        <w:adjustRightInd w:val="0"/>
        <w:spacing w:before="0"/>
        <w:jc w:val="left"/>
        <w:rPr>
          <w:rFonts w:ascii="Arial" w:hAnsi="Arial" w:cs="Arial"/>
          <w:color w:val="000000"/>
          <w:sz w:val="22"/>
          <w:szCs w:val="22"/>
        </w:rPr>
      </w:pPr>
      <w:r>
        <w:rPr>
          <w:rFonts w:ascii="Arial" w:hAnsi="Arial" w:cs="Arial"/>
          <w:color w:val="000000"/>
          <w:sz w:val="22"/>
          <w:szCs w:val="22"/>
        </w:rPr>
        <w:t>either by mail to:</w:t>
      </w:r>
    </w:p>
    <w:p w:rsidR="00FB6587" w:rsidRDefault="00FB6587" w:rsidP="00FB6587">
      <w:pPr>
        <w:autoSpaceDE w:val="0"/>
        <w:autoSpaceDN w:val="0"/>
        <w:adjustRightInd w:val="0"/>
        <w:spacing w:before="240"/>
        <w:jc w:val="left"/>
        <w:rPr>
          <w:rFonts w:ascii="Arial" w:hAnsi="Arial" w:cs="Arial"/>
          <w:color w:val="000000"/>
          <w:sz w:val="22"/>
          <w:szCs w:val="22"/>
        </w:rPr>
      </w:pPr>
      <w:r>
        <w:rPr>
          <w:rFonts w:ascii="Arial" w:hAnsi="Arial" w:cs="Arial"/>
          <w:color w:val="000000"/>
          <w:sz w:val="22"/>
          <w:szCs w:val="22"/>
        </w:rPr>
        <w:t>PO Box 104, GEELONG VIC 3220</w:t>
      </w:r>
    </w:p>
    <w:p w:rsidR="00FB6587" w:rsidRDefault="00FB6587" w:rsidP="00FB6587">
      <w:pPr>
        <w:autoSpaceDE w:val="0"/>
        <w:autoSpaceDN w:val="0"/>
        <w:adjustRightInd w:val="0"/>
        <w:spacing w:before="240"/>
        <w:jc w:val="left"/>
        <w:rPr>
          <w:rFonts w:ascii="Arial" w:hAnsi="Arial" w:cs="Arial"/>
          <w:color w:val="000000"/>
          <w:sz w:val="22"/>
          <w:szCs w:val="22"/>
        </w:rPr>
      </w:pPr>
      <w:r>
        <w:rPr>
          <w:rFonts w:ascii="Arial" w:hAnsi="Arial" w:cs="Arial"/>
          <w:color w:val="000000"/>
          <w:sz w:val="22"/>
          <w:szCs w:val="22"/>
        </w:rPr>
        <w:t>or by email to:</w:t>
      </w:r>
    </w:p>
    <w:p w:rsidR="00FB6587" w:rsidRDefault="00FB6587" w:rsidP="00FB6587">
      <w:pPr>
        <w:autoSpaceDE w:val="0"/>
        <w:autoSpaceDN w:val="0"/>
        <w:adjustRightInd w:val="0"/>
        <w:spacing w:before="0"/>
        <w:jc w:val="left"/>
        <w:rPr>
          <w:rFonts w:ascii="Arial" w:hAnsi="Arial" w:cs="Arial"/>
          <w:color w:val="0000FF"/>
          <w:sz w:val="22"/>
          <w:szCs w:val="22"/>
        </w:rPr>
      </w:pPr>
      <w:r>
        <w:rPr>
          <w:rFonts w:ascii="Arial" w:hAnsi="Arial" w:cs="Arial"/>
          <w:color w:val="0000FF"/>
          <w:sz w:val="22"/>
          <w:szCs w:val="22"/>
        </w:rPr>
        <w:t>strategicplanning@geelongcity.vic.gov.au</w:t>
      </w:r>
    </w:p>
    <w:p w:rsidR="00FB6587" w:rsidRDefault="00FB6587" w:rsidP="00FB6587">
      <w:pPr>
        <w:autoSpaceDE w:val="0"/>
        <w:autoSpaceDN w:val="0"/>
        <w:adjustRightInd w:val="0"/>
        <w:spacing w:before="240"/>
        <w:jc w:val="left"/>
        <w:rPr>
          <w:rFonts w:ascii="Arial" w:hAnsi="Arial" w:cs="Arial"/>
          <w:color w:val="000000"/>
          <w:sz w:val="22"/>
          <w:szCs w:val="22"/>
        </w:rPr>
      </w:pPr>
      <w:r>
        <w:rPr>
          <w:rFonts w:ascii="Arial" w:hAnsi="Arial" w:cs="Arial"/>
          <w:color w:val="000000"/>
          <w:sz w:val="22"/>
          <w:szCs w:val="22"/>
        </w:rPr>
        <w:t>Alternatively, a submission may be lodged online at the City’s website:</w:t>
      </w:r>
    </w:p>
    <w:p w:rsidR="00FB6587" w:rsidRPr="000C4CD6" w:rsidRDefault="00FB6587" w:rsidP="00FB6587">
      <w:pPr>
        <w:jc w:val="left"/>
        <w:rPr>
          <w:rFonts w:ascii="Arial" w:hAnsi="Arial" w:cs="Arial"/>
          <w:sz w:val="22"/>
          <w:szCs w:val="22"/>
        </w:rPr>
      </w:pPr>
      <w:r>
        <w:rPr>
          <w:rFonts w:ascii="Arial" w:hAnsi="Arial" w:cs="Arial"/>
          <w:color w:val="0000FF"/>
          <w:sz w:val="22"/>
          <w:szCs w:val="22"/>
        </w:rPr>
        <w:t>www.geelongaustralia.com.au/amendments</w:t>
      </w:r>
    </w:p>
    <w:p w:rsidR="00E85EC7" w:rsidRPr="00ED3674" w:rsidRDefault="00E85EC7" w:rsidP="008310E5">
      <w:pPr>
        <w:pStyle w:val="Heading2"/>
        <w:jc w:val="left"/>
        <w:rPr>
          <w:rFonts w:cs="Arial"/>
        </w:rPr>
      </w:pPr>
      <w:r w:rsidRPr="00ED3674">
        <w:rPr>
          <w:rFonts w:cs="Arial"/>
        </w:rPr>
        <w:t>Panel hearing dates</w:t>
      </w:r>
      <w:r>
        <w:rPr>
          <w:rFonts w:cs="Arial"/>
        </w:rPr>
        <w:t xml:space="preserve"> </w:t>
      </w:r>
    </w:p>
    <w:p w:rsidR="00E85EC7" w:rsidRPr="00ED3674" w:rsidRDefault="00E85EC7" w:rsidP="008310E5">
      <w:pPr>
        <w:jc w:val="left"/>
        <w:rPr>
          <w:rFonts w:ascii="Arial" w:hAnsi="Arial" w:cs="Arial"/>
          <w:sz w:val="22"/>
          <w:szCs w:val="22"/>
        </w:rPr>
      </w:pPr>
      <w:r w:rsidRPr="00ED3674">
        <w:rPr>
          <w:rFonts w:ascii="Arial" w:hAnsi="Arial" w:cs="Arial"/>
          <w:sz w:val="22"/>
          <w:szCs w:val="22"/>
        </w:rPr>
        <w:t>In accordance with clause 4(2) of Ministerial Direction No.15 the following panel hearing dates have been set for this amendment:</w:t>
      </w:r>
    </w:p>
    <w:p w:rsidR="00E85EC7" w:rsidRPr="00C519DF" w:rsidRDefault="00E85EC7" w:rsidP="008310E5">
      <w:pPr>
        <w:numPr>
          <w:ilvl w:val="0"/>
          <w:numId w:val="40"/>
        </w:numPr>
        <w:spacing w:after="120"/>
        <w:ind w:left="357" w:hanging="357"/>
        <w:jc w:val="left"/>
        <w:rPr>
          <w:rFonts w:ascii="New York" w:hAnsi="New York"/>
          <w:color w:val="000000" w:themeColor="text1"/>
          <w:sz w:val="22"/>
          <w:szCs w:val="22"/>
        </w:rPr>
      </w:pPr>
      <w:r w:rsidRPr="00ED3674">
        <w:rPr>
          <w:rFonts w:ascii="Arial" w:hAnsi="Arial" w:cs="Arial"/>
          <w:sz w:val="22"/>
          <w:szCs w:val="22"/>
        </w:rPr>
        <w:t xml:space="preserve">directions hearing:  </w:t>
      </w:r>
      <w:r w:rsidR="00C519DF" w:rsidRPr="00C519DF">
        <w:rPr>
          <w:rFonts w:ascii="Arial" w:hAnsi="Arial" w:cs="Arial"/>
          <w:color w:val="000000" w:themeColor="text1"/>
          <w:sz w:val="22"/>
          <w:szCs w:val="22"/>
        </w:rPr>
        <w:t>week commencing 8</w:t>
      </w:r>
      <w:r w:rsidR="00C519DF" w:rsidRPr="00C519DF">
        <w:rPr>
          <w:rFonts w:ascii="Arial" w:hAnsi="Arial" w:cs="Arial"/>
          <w:color w:val="000000" w:themeColor="text1"/>
          <w:sz w:val="22"/>
          <w:szCs w:val="22"/>
          <w:vertAlign w:val="superscript"/>
        </w:rPr>
        <w:t>th</w:t>
      </w:r>
      <w:r w:rsidR="00C519DF" w:rsidRPr="00C519DF">
        <w:rPr>
          <w:rFonts w:ascii="Arial" w:hAnsi="Arial" w:cs="Arial"/>
          <w:color w:val="000000" w:themeColor="text1"/>
          <w:sz w:val="22"/>
          <w:szCs w:val="22"/>
        </w:rPr>
        <w:t xml:space="preserve"> February 2016</w:t>
      </w:r>
    </w:p>
    <w:p w:rsidR="00FE71B0" w:rsidRPr="00FE3326" w:rsidRDefault="00E85EC7" w:rsidP="008310E5">
      <w:pPr>
        <w:numPr>
          <w:ilvl w:val="0"/>
          <w:numId w:val="40"/>
        </w:numPr>
        <w:spacing w:after="120"/>
        <w:ind w:left="357" w:hanging="357"/>
        <w:jc w:val="left"/>
        <w:rPr>
          <w:sz w:val="22"/>
          <w:szCs w:val="22"/>
        </w:rPr>
      </w:pPr>
      <w:proofErr w:type="gramStart"/>
      <w:r w:rsidRPr="00ED3674">
        <w:rPr>
          <w:rFonts w:ascii="Arial" w:hAnsi="Arial" w:cs="Arial"/>
          <w:sz w:val="22"/>
          <w:szCs w:val="22"/>
        </w:rPr>
        <w:t>panel</w:t>
      </w:r>
      <w:proofErr w:type="gramEnd"/>
      <w:r w:rsidRPr="00ED3674">
        <w:rPr>
          <w:rFonts w:ascii="Arial" w:hAnsi="Arial" w:cs="Arial"/>
          <w:sz w:val="22"/>
          <w:szCs w:val="22"/>
        </w:rPr>
        <w:t xml:space="preserve"> hearing:  </w:t>
      </w:r>
      <w:r w:rsidR="00C519DF" w:rsidRPr="00C519DF">
        <w:rPr>
          <w:rFonts w:ascii="Arial" w:hAnsi="Arial" w:cs="Arial"/>
          <w:color w:val="000000" w:themeColor="text1"/>
          <w:sz w:val="22"/>
          <w:szCs w:val="22"/>
        </w:rPr>
        <w:t>week commencing 22</w:t>
      </w:r>
      <w:r w:rsidR="00C519DF" w:rsidRPr="00C519DF">
        <w:rPr>
          <w:rFonts w:ascii="Arial" w:hAnsi="Arial" w:cs="Arial"/>
          <w:color w:val="000000" w:themeColor="text1"/>
          <w:sz w:val="22"/>
          <w:szCs w:val="22"/>
          <w:vertAlign w:val="superscript"/>
        </w:rPr>
        <w:t>nd</w:t>
      </w:r>
      <w:r w:rsidR="00C519DF" w:rsidRPr="00C519DF">
        <w:rPr>
          <w:rFonts w:ascii="Arial" w:hAnsi="Arial" w:cs="Arial"/>
          <w:color w:val="000000" w:themeColor="text1"/>
          <w:sz w:val="22"/>
          <w:szCs w:val="22"/>
        </w:rPr>
        <w:t xml:space="preserve"> February 2016</w:t>
      </w:r>
      <w:r w:rsidR="00C519DF">
        <w:rPr>
          <w:rFonts w:ascii="Arial" w:hAnsi="Arial" w:cs="Arial"/>
          <w:color w:val="FF0000"/>
          <w:sz w:val="22"/>
          <w:szCs w:val="22"/>
        </w:rPr>
        <w:t xml:space="preserve">.  </w:t>
      </w:r>
    </w:p>
    <w:p w:rsidR="00A068E6" w:rsidRDefault="00A068E6">
      <w:pPr>
        <w:jc w:val="center"/>
        <w:rPr>
          <w:rFonts w:ascii="Arial" w:hAnsi="Arial"/>
          <w:vanish/>
        </w:rPr>
      </w:pPr>
    </w:p>
    <w:p w:rsidR="00A068E6" w:rsidRDefault="00A068E6">
      <w:pPr>
        <w:jc w:val="center"/>
        <w:rPr>
          <w:rFonts w:ascii="Arial" w:hAnsi="Arial"/>
          <w:vanish/>
        </w:rPr>
      </w:pPr>
    </w:p>
    <w:p w:rsidR="00A068E6" w:rsidRDefault="00A068E6">
      <w:pPr>
        <w:jc w:val="center"/>
        <w:rPr>
          <w:rFonts w:ascii="Arial" w:hAnsi="Arial"/>
          <w:vanish/>
        </w:rPr>
      </w:pPr>
    </w:p>
    <w:p w:rsidR="001E53D0" w:rsidRDefault="001E53D0">
      <w:pPr>
        <w:jc w:val="center"/>
        <w:rPr>
          <w:rFonts w:ascii="Arial" w:hAnsi="Arial"/>
          <w:vanish/>
        </w:rPr>
      </w:pPr>
    </w:p>
    <w:p w:rsidR="001E53D0" w:rsidRDefault="001E53D0">
      <w:pPr>
        <w:jc w:val="center"/>
        <w:rPr>
          <w:rFonts w:ascii="Arial" w:hAnsi="Arial"/>
          <w:vanish/>
        </w:rPr>
      </w:pPr>
    </w:p>
    <w:p w:rsidR="001E53D0" w:rsidRDefault="001E53D0">
      <w:pPr>
        <w:jc w:val="center"/>
        <w:rPr>
          <w:rFonts w:ascii="Arial" w:hAnsi="Arial"/>
          <w:vanish/>
        </w:rPr>
      </w:pPr>
    </w:p>
    <w:p w:rsidR="001E53D0" w:rsidRDefault="001E53D0" w:rsidP="001E53D0">
      <w:pPr>
        <w:rPr>
          <w:rFonts w:ascii="Arial" w:hAnsi="Arial"/>
          <w:vanish/>
        </w:rPr>
      </w:pPr>
    </w:p>
    <w:sectPr w:rsidR="001E53D0" w:rsidSect="00E85EC7">
      <w:type w:val="continuous"/>
      <w:pgSz w:w="11907" w:h="16840" w:code="9"/>
      <w:pgMar w:top="993" w:right="1423" w:bottom="851" w:left="1440" w:header="737" w:footer="851" w:gutter="0"/>
      <w:cols w:space="737"/>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FC5" w:rsidRDefault="00AB0FC5">
      <w:r>
        <w:separator/>
      </w:r>
    </w:p>
  </w:endnote>
  <w:endnote w:type="continuationSeparator" w:id="0">
    <w:p w:rsidR="00AB0FC5" w:rsidRDefault="00AB0F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FC5" w:rsidRDefault="00AB0FC5">
      <w:r>
        <w:separator/>
      </w:r>
    </w:p>
  </w:footnote>
  <w:footnote w:type="continuationSeparator" w:id="0">
    <w:p w:rsidR="00AB0FC5" w:rsidRDefault="00AB0F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30F3"/>
    <w:multiLevelType w:val="hybridMultilevel"/>
    <w:tmpl w:val="49523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74110B"/>
    <w:multiLevelType w:val="hybridMultilevel"/>
    <w:tmpl w:val="01685AF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nsid w:val="167C3E0F"/>
    <w:multiLevelType w:val="multilevel"/>
    <w:tmpl w:val="C16CF884"/>
    <w:lvl w:ilvl="0">
      <w:start w:val="1"/>
      <w:numFmt w:val="bullet"/>
      <w:lvlText w:val=""/>
      <w:lvlJc w:val="left"/>
      <w:pPr>
        <w:tabs>
          <w:tab w:val="num" w:pos="717"/>
        </w:tabs>
        <w:ind w:left="717"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6C41885"/>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4">
    <w:nsid w:val="17D86982"/>
    <w:multiLevelType w:val="multilevel"/>
    <w:tmpl w:val="F7D8DBB4"/>
    <w:lvl w:ilvl="0">
      <w:start w:val="1"/>
      <w:numFmt w:val="bullet"/>
      <w:lvlText w:val=""/>
      <w:lvlJc w:val="left"/>
      <w:pPr>
        <w:tabs>
          <w:tab w:val="num" w:pos="340"/>
        </w:tabs>
        <w:ind w:left="340" w:hanging="34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BB809EC"/>
    <w:multiLevelType w:val="hybridMultilevel"/>
    <w:tmpl w:val="BDE447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22C23241"/>
    <w:multiLevelType w:val="multilevel"/>
    <w:tmpl w:val="2D7A12B6"/>
    <w:lvl w:ilvl="0">
      <w:start w:val="1"/>
      <w:numFmt w:val="bullet"/>
      <w:lvlText w:val=""/>
      <w:lvlJc w:val="left"/>
      <w:pPr>
        <w:tabs>
          <w:tab w:val="num" w:pos="1800"/>
        </w:tabs>
        <w:ind w:left="1800" w:hanging="360"/>
      </w:pPr>
      <w:rPr>
        <w:rFonts w:ascii="Symbol" w:hAnsi="Symbol" w:hint="default"/>
        <w:b w:val="0"/>
        <w:i w:val="0"/>
        <w:sz w:val="18"/>
        <w:szCs w:val="18"/>
      </w:rPr>
    </w:lvl>
    <w:lvl w:ilvl="1">
      <w:start w:val="1"/>
      <w:numFmt w:val="bullet"/>
      <w:lvlText w:val="o"/>
      <w:lvlJc w:val="left"/>
      <w:pPr>
        <w:tabs>
          <w:tab w:val="num" w:pos="2880"/>
        </w:tabs>
        <w:ind w:left="2880" w:hanging="360"/>
      </w:pPr>
      <w:rPr>
        <w:rFonts w:ascii="Courier New" w:hAnsi="Courier New" w:cs="Wingding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Wingdings"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Wingdings"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7">
    <w:nsid w:val="27680BCE"/>
    <w:multiLevelType w:val="hybridMultilevel"/>
    <w:tmpl w:val="0CEAD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96E2E7E"/>
    <w:multiLevelType w:val="singleLevel"/>
    <w:tmpl w:val="5DD401CA"/>
    <w:lvl w:ilvl="0">
      <w:start w:val="1"/>
      <w:numFmt w:val="bullet"/>
      <w:lvlText w:val=""/>
      <w:lvlJc w:val="left"/>
      <w:pPr>
        <w:tabs>
          <w:tab w:val="num" w:pos="360"/>
        </w:tabs>
        <w:ind w:left="360" w:hanging="360"/>
      </w:pPr>
      <w:rPr>
        <w:rFonts w:ascii="Symbol" w:hAnsi="Symbol" w:hint="default"/>
        <w:sz w:val="16"/>
      </w:rPr>
    </w:lvl>
  </w:abstractNum>
  <w:abstractNum w:abstractNumId="9">
    <w:nsid w:val="30E862CC"/>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0">
    <w:nsid w:val="376D1F4C"/>
    <w:multiLevelType w:val="hybridMultilevel"/>
    <w:tmpl w:val="DE02AC36"/>
    <w:lvl w:ilvl="0" w:tplc="FFFFFFFF">
      <w:start w:val="1"/>
      <w:numFmt w:val="bullet"/>
      <w:lvlText w:val=""/>
      <w:lvlJc w:val="left"/>
      <w:pPr>
        <w:tabs>
          <w:tab w:val="num" w:pos="1527"/>
        </w:tabs>
        <w:ind w:left="1527" w:hanging="360"/>
      </w:pPr>
      <w:rPr>
        <w:rFonts w:ascii="Wingdings" w:hAnsi="Wingdings" w:hint="default"/>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41B87F84"/>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2">
    <w:nsid w:val="554742D7"/>
    <w:multiLevelType w:val="hybridMultilevel"/>
    <w:tmpl w:val="0ED8B7F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nsid w:val="5A192ECD"/>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4">
    <w:nsid w:val="60A14C00"/>
    <w:multiLevelType w:val="hybridMultilevel"/>
    <w:tmpl w:val="1C069290"/>
    <w:lvl w:ilvl="0" w:tplc="C160F1F4">
      <w:start w:val="1"/>
      <w:numFmt w:val="bullet"/>
      <w:pStyle w:val="Heading3"/>
      <w:lvlText w:val=""/>
      <w:lvlJc w:val="left"/>
      <w:pPr>
        <w:tabs>
          <w:tab w:val="num" w:pos="284"/>
        </w:tabs>
        <w:ind w:left="284" w:hanging="284"/>
      </w:pPr>
      <w:rPr>
        <w:rFonts w:ascii="Symbol" w:hAnsi="Symbol" w:hint="default"/>
        <w:sz w:val="20"/>
      </w:rPr>
    </w:lvl>
    <w:lvl w:ilvl="1" w:tplc="E8AEF58C">
      <w:start w:val="1"/>
      <w:numFmt w:val="bullet"/>
      <w:pStyle w:val="List2"/>
      <w:lvlText w:val=""/>
      <w:lvlJc w:val="left"/>
      <w:pPr>
        <w:tabs>
          <w:tab w:val="num" w:pos="1440"/>
        </w:tabs>
        <w:ind w:left="1440" w:hanging="360"/>
      </w:pPr>
      <w:rPr>
        <w:rFonts w:ascii="Wingdings" w:hAnsi="Wingdings" w:hint="default"/>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63A624D4"/>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6">
    <w:nsid w:val="656523B6"/>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7">
    <w:nsid w:val="76B00085"/>
    <w:multiLevelType w:val="singleLevel"/>
    <w:tmpl w:val="789C8126"/>
    <w:lvl w:ilvl="0">
      <w:start w:val="1"/>
      <w:numFmt w:val="decimal"/>
      <w:lvlText w:val="%1."/>
      <w:lvlJc w:val="left"/>
      <w:pPr>
        <w:tabs>
          <w:tab w:val="num" w:pos="360"/>
        </w:tabs>
        <w:ind w:left="360" w:hanging="360"/>
      </w:pPr>
    </w:lvl>
  </w:abstractNum>
  <w:abstractNum w:abstractNumId="18">
    <w:nsid w:val="7731652B"/>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num w:numId="1">
    <w:abstractNumId w:val="6"/>
  </w:num>
  <w:num w:numId="2">
    <w:abstractNumId w:val="8"/>
  </w:num>
  <w:num w:numId="3">
    <w:abstractNumId w:val="15"/>
  </w:num>
  <w:num w:numId="4">
    <w:abstractNumId w:val="3"/>
  </w:num>
  <w:num w:numId="5">
    <w:abstractNumId w:val="13"/>
  </w:num>
  <w:num w:numId="6">
    <w:abstractNumId w:val="9"/>
  </w:num>
  <w:num w:numId="7">
    <w:abstractNumId w:val="18"/>
  </w:num>
  <w:num w:numId="8">
    <w:abstractNumId w:val="16"/>
  </w:num>
  <w:num w:numId="9">
    <w:abstractNumId w:val="11"/>
  </w:num>
  <w:num w:numId="10">
    <w:abstractNumId w:val="10"/>
  </w:num>
  <w:num w:numId="11">
    <w:abstractNumId w:val="17"/>
  </w:num>
  <w:num w:numId="12">
    <w:abstractNumId w:val="1"/>
  </w:num>
  <w:num w:numId="13">
    <w:abstractNumId w:val="17"/>
  </w:num>
  <w:num w:numId="14">
    <w:abstractNumId w:val="14"/>
  </w:num>
  <w:num w:numId="15">
    <w:abstractNumId w:val="2"/>
  </w:num>
  <w:num w:numId="16">
    <w:abstractNumId w:val="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2"/>
  </w:num>
  <w:num w:numId="40">
    <w:abstractNumId w:val="5"/>
  </w:num>
  <w:num w:numId="41">
    <w:abstractNumId w:val="7"/>
  </w:num>
  <w:num w:numId="42">
    <w:abstractNumId w:val="14"/>
  </w:num>
  <w:num w:numId="43">
    <w:abstractNumId w:val="0"/>
  </w:num>
  <w:num w:numId="4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intFractionalCharacterWidth/>
  <w:proofState w:spelling="clean" w:grammar="clean"/>
  <w:stylePaneFormatFilter w:val="3F01"/>
  <w:defaultTabStop w:val="284"/>
  <w:doNotHyphenateCaps/>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rsids>
    <w:rsidRoot w:val="00F92B15"/>
    <w:rsid w:val="00007693"/>
    <w:rsid w:val="00020327"/>
    <w:rsid w:val="00023C95"/>
    <w:rsid w:val="00035AEB"/>
    <w:rsid w:val="00051CF3"/>
    <w:rsid w:val="00055F40"/>
    <w:rsid w:val="00063365"/>
    <w:rsid w:val="000704D9"/>
    <w:rsid w:val="00073608"/>
    <w:rsid w:val="00076775"/>
    <w:rsid w:val="00081824"/>
    <w:rsid w:val="000856CA"/>
    <w:rsid w:val="00095995"/>
    <w:rsid w:val="000A66E7"/>
    <w:rsid w:val="000C00A5"/>
    <w:rsid w:val="000C430C"/>
    <w:rsid w:val="000C4CD6"/>
    <w:rsid w:val="000E54B8"/>
    <w:rsid w:val="00104029"/>
    <w:rsid w:val="001068D8"/>
    <w:rsid w:val="00111E10"/>
    <w:rsid w:val="00123E6D"/>
    <w:rsid w:val="00133270"/>
    <w:rsid w:val="00142B0A"/>
    <w:rsid w:val="0014525E"/>
    <w:rsid w:val="00165FF9"/>
    <w:rsid w:val="001A21C9"/>
    <w:rsid w:val="001B06DB"/>
    <w:rsid w:val="001C782E"/>
    <w:rsid w:val="001E53D0"/>
    <w:rsid w:val="001F1FC1"/>
    <w:rsid w:val="00214220"/>
    <w:rsid w:val="00217E7B"/>
    <w:rsid w:val="0023740B"/>
    <w:rsid w:val="00261580"/>
    <w:rsid w:val="00261ED3"/>
    <w:rsid w:val="00276641"/>
    <w:rsid w:val="002822CF"/>
    <w:rsid w:val="002A2C96"/>
    <w:rsid w:val="002B3EB1"/>
    <w:rsid w:val="002C196C"/>
    <w:rsid w:val="002D1F07"/>
    <w:rsid w:val="002E4A8F"/>
    <w:rsid w:val="00301495"/>
    <w:rsid w:val="00304325"/>
    <w:rsid w:val="0030757B"/>
    <w:rsid w:val="0032627D"/>
    <w:rsid w:val="00337D32"/>
    <w:rsid w:val="00354750"/>
    <w:rsid w:val="00385E61"/>
    <w:rsid w:val="003B6F98"/>
    <w:rsid w:val="003C28E0"/>
    <w:rsid w:val="003D3452"/>
    <w:rsid w:val="003D7CC1"/>
    <w:rsid w:val="003F13D4"/>
    <w:rsid w:val="0040268F"/>
    <w:rsid w:val="004202FB"/>
    <w:rsid w:val="00420A5B"/>
    <w:rsid w:val="00431FE1"/>
    <w:rsid w:val="00437138"/>
    <w:rsid w:val="0047628B"/>
    <w:rsid w:val="0047679D"/>
    <w:rsid w:val="004937F8"/>
    <w:rsid w:val="00493840"/>
    <w:rsid w:val="0049725E"/>
    <w:rsid w:val="004A651A"/>
    <w:rsid w:val="004C3B5B"/>
    <w:rsid w:val="004D2140"/>
    <w:rsid w:val="004E4350"/>
    <w:rsid w:val="004E7B10"/>
    <w:rsid w:val="004F2A9F"/>
    <w:rsid w:val="004F56D4"/>
    <w:rsid w:val="005005EA"/>
    <w:rsid w:val="00510AD6"/>
    <w:rsid w:val="00543625"/>
    <w:rsid w:val="00543994"/>
    <w:rsid w:val="00572C76"/>
    <w:rsid w:val="005C12D1"/>
    <w:rsid w:val="005C3387"/>
    <w:rsid w:val="005C7405"/>
    <w:rsid w:val="005D26C8"/>
    <w:rsid w:val="005D5D08"/>
    <w:rsid w:val="005E1CC4"/>
    <w:rsid w:val="005F24B5"/>
    <w:rsid w:val="006109DA"/>
    <w:rsid w:val="0063708B"/>
    <w:rsid w:val="00646305"/>
    <w:rsid w:val="00647B8F"/>
    <w:rsid w:val="0065167F"/>
    <w:rsid w:val="00662D4D"/>
    <w:rsid w:val="006805BC"/>
    <w:rsid w:val="0068276B"/>
    <w:rsid w:val="00684895"/>
    <w:rsid w:val="006932D8"/>
    <w:rsid w:val="00694464"/>
    <w:rsid w:val="006C3B6C"/>
    <w:rsid w:val="006C7654"/>
    <w:rsid w:val="006D740D"/>
    <w:rsid w:val="006E3361"/>
    <w:rsid w:val="006E75C1"/>
    <w:rsid w:val="006F2050"/>
    <w:rsid w:val="00711237"/>
    <w:rsid w:val="0072782F"/>
    <w:rsid w:val="00735E94"/>
    <w:rsid w:val="007458F4"/>
    <w:rsid w:val="00792C7A"/>
    <w:rsid w:val="007A0E5D"/>
    <w:rsid w:val="007A4DF1"/>
    <w:rsid w:val="007A5AF8"/>
    <w:rsid w:val="007B140F"/>
    <w:rsid w:val="007C1C7C"/>
    <w:rsid w:val="007C31E9"/>
    <w:rsid w:val="007D670B"/>
    <w:rsid w:val="008122AB"/>
    <w:rsid w:val="00814A45"/>
    <w:rsid w:val="00821867"/>
    <w:rsid w:val="00822295"/>
    <w:rsid w:val="00823BB7"/>
    <w:rsid w:val="008310E5"/>
    <w:rsid w:val="00831227"/>
    <w:rsid w:val="00840CA5"/>
    <w:rsid w:val="00851EEF"/>
    <w:rsid w:val="00855A78"/>
    <w:rsid w:val="00867C8E"/>
    <w:rsid w:val="0087020F"/>
    <w:rsid w:val="00876BCF"/>
    <w:rsid w:val="0088336B"/>
    <w:rsid w:val="00897496"/>
    <w:rsid w:val="008A1D1B"/>
    <w:rsid w:val="008B2FB6"/>
    <w:rsid w:val="008B7741"/>
    <w:rsid w:val="008C4DB0"/>
    <w:rsid w:val="008E5673"/>
    <w:rsid w:val="008F7745"/>
    <w:rsid w:val="009079FA"/>
    <w:rsid w:val="00924A0E"/>
    <w:rsid w:val="009274C0"/>
    <w:rsid w:val="00935CDE"/>
    <w:rsid w:val="009451B6"/>
    <w:rsid w:val="009461BA"/>
    <w:rsid w:val="00996878"/>
    <w:rsid w:val="009A2D3F"/>
    <w:rsid w:val="009C2FE6"/>
    <w:rsid w:val="009D08AF"/>
    <w:rsid w:val="009D251A"/>
    <w:rsid w:val="009D6F11"/>
    <w:rsid w:val="009D705C"/>
    <w:rsid w:val="009E45A0"/>
    <w:rsid w:val="009F2E4C"/>
    <w:rsid w:val="00A009DB"/>
    <w:rsid w:val="00A05982"/>
    <w:rsid w:val="00A06807"/>
    <w:rsid w:val="00A068E6"/>
    <w:rsid w:val="00A11194"/>
    <w:rsid w:val="00A27817"/>
    <w:rsid w:val="00A52D75"/>
    <w:rsid w:val="00A642C3"/>
    <w:rsid w:val="00A7587E"/>
    <w:rsid w:val="00AB0FC5"/>
    <w:rsid w:val="00AC1043"/>
    <w:rsid w:val="00AC418E"/>
    <w:rsid w:val="00AD1558"/>
    <w:rsid w:val="00AD32D4"/>
    <w:rsid w:val="00B13591"/>
    <w:rsid w:val="00B33746"/>
    <w:rsid w:val="00B53E86"/>
    <w:rsid w:val="00B54B64"/>
    <w:rsid w:val="00B60940"/>
    <w:rsid w:val="00B620A0"/>
    <w:rsid w:val="00B732D5"/>
    <w:rsid w:val="00B7336A"/>
    <w:rsid w:val="00B74D9F"/>
    <w:rsid w:val="00B75180"/>
    <w:rsid w:val="00B92DAC"/>
    <w:rsid w:val="00BB1CA4"/>
    <w:rsid w:val="00BB588F"/>
    <w:rsid w:val="00BB669E"/>
    <w:rsid w:val="00BC17A0"/>
    <w:rsid w:val="00BC596D"/>
    <w:rsid w:val="00BE15BA"/>
    <w:rsid w:val="00BE302E"/>
    <w:rsid w:val="00BE3A87"/>
    <w:rsid w:val="00BE6FD3"/>
    <w:rsid w:val="00BF70B3"/>
    <w:rsid w:val="00C0606D"/>
    <w:rsid w:val="00C10F3F"/>
    <w:rsid w:val="00C457D9"/>
    <w:rsid w:val="00C519DF"/>
    <w:rsid w:val="00C537D1"/>
    <w:rsid w:val="00C613C5"/>
    <w:rsid w:val="00C77483"/>
    <w:rsid w:val="00C93B2C"/>
    <w:rsid w:val="00CB353C"/>
    <w:rsid w:val="00CC60C3"/>
    <w:rsid w:val="00CD5C7E"/>
    <w:rsid w:val="00CD64B8"/>
    <w:rsid w:val="00CE4372"/>
    <w:rsid w:val="00D26ECE"/>
    <w:rsid w:val="00D275D8"/>
    <w:rsid w:val="00DA0679"/>
    <w:rsid w:val="00DC5939"/>
    <w:rsid w:val="00DD563A"/>
    <w:rsid w:val="00E07AF5"/>
    <w:rsid w:val="00E206FB"/>
    <w:rsid w:val="00E37292"/>
    <w:rsid w:val="00E41963"/>
    <w:rsid w:val="00E61D20"/>
    <w:rsid w:val="00E670BD"/>
    <w:rsid w:val="00E744E0"/>
    <w:rsid w:val="00E85EC7"/>
    <w:rsid w:val="00ED3674"/>
    <w:rsid w:val="00ED49CF"/>
    <w:rsid w:val="00EE21EB"/>
    <w:rsid w:val="00F17EAD"/>
    <w:rsid w:val="00F27102"/>
    <w:rsid w:val="00F7264E"/>
    <w:rsid w:val="00F92B15"/>
    <w:rsid w:val="00FA2EA3"/>
    <w:rsid w:val="00FB6587"/>
    <w:rsid w:val="00FC1717"/>
    <w:rsid w:val="00FC2777"/>
    <w:rsid w:val="00FC3844"/>
    <w:rsid w:val="00FC62CF"/>
    <w:rsid w:val="00FD28E4"/>
    <w:rsid w:val="00FE3326"/>
    <w:rsid w:val="00FE71B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1D1B"/>
    <w:pPr>
      <w:spacing w:before="120"/>
      <w:jc w:val="both"/>
    </w:pPr>
    <w:rPr>
      <w:rFonts w:ascii="Times" w:hAnsi="Times"/>
      <w:sz w:val="24"/>
    </w:rPr>
  </w:style>
  <w:style w:type="paragraph" w:styleId="Heading1">
    <w:name w:val="heading 1"/>
    <w:basedOn w:val="Normal"/>
    <w:qFormat/>
    <w:rsid w:val="00684895"/>
    <w:pPr>
      <w:keepNext/>
      <w:keepLines/>
      <w:spacing w:before="240"/>
      <w:jc w:val="center"/>
      <w:outlineLvl w:val="0"/>
    </w:pPr>
    <w:rPr>
      <w:rFonts w:ascii="Arial" w:hAnsi="Arial"/>
      <w:b/>
      <w:bCs/>
      <w:caps/>
    </w:rPr>
  </w:style>
  <w:style w:type="paragraph" w:styleId="Heading2">
    <w:name w:val="heading 2"/>
    <w:basedOn w:val="Normal"/>
    <w:qFormat/>
    <w:rsid w:val="00684895"/>
    <w:pPr>
      <w:spacing w:before="360"/>
      <w:outlineLvl w:val="1"/>
    </w:pPr>
    <w:rPr>
      <w:rFonts w:ascii="Arial" w:hAnsi="Arial"/>
      <w:b/>
      <w:bCs/>
    </w:rPr>
  </w:style>
  <w:style w:type="paragraph" w:styleId="Heading3">
    <w:name w:val="heading 3"/>
    <w:basedOn w:val="Normal"/>
    <w:qFormat/>
    <w:rsid w:val="004937F8"/>
    <w:pPr>
      <w:numPr>
        <w:numId w:val="14"/>
      </w:numPr>
      <w:spacing w:before="240"/>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F13D4"/>
    <w:rPr>
      <w:sz w:val="16"/>
    </w:rPr>
  </w:style>
  <w:style w:type="paragraph" w:customStyle="1" w:styleId="ActTitle">
    <w:name w:val="Act Title"/>
    <w:basedOn w:val="Normal"/>
    <w:rsid w:val="004937F8"/>
    <w:pPr>
      <w:jc w:val="center"/>
    </w:pPr>
    <w:rPr>
      <w:rFonts w:ascii="Arial" w:hAnsi="Arial"/>
      <w:i/>
      <w:iCs/>
    </w:rPr>
  </w:style>
  <w:style w:type="paragraph" w:styleId="BalloonText">
    <w:name w:val="Balloon Text"/>
    <w:basedOn w:val="Normal"/>
    <w:semiHidden/>
    <w:rsid w:val="00B732D5"/>
    <w:rPr>
      <w:rFonts w:ascii="Tahoma" w:hAnsi="Tahoma" w:cs="Tahoma"/>
      <w:sz w:val="16"/>
      <w:szCs w:val="16"/>
    </w:rPr>
  </w:style>
  <w:style w:type="character" w:styleId="CommentReference">
    <w:name w:val="annotation reference"/>
    <w:semiHidden/>
    <w:rsid w:val="00104029"/>
    <w:rPr>
      <w:sz w:val="16"/>
      <w:szCs w:val="16"/>
    </w:rPr>
  </w:style>
  <w:style w:type="paragraph" w:styleId="CommentText">
    <w:name w:val="annotation text"/>
    <w:basedOn w:val="Normal"/>
    <w:semiHidden/>
    <w:rsid w:val="00104029"/>
  </w:style>
  <w:style w:type="paragraph" w:styleId="CommentSubject">
    <w:name w:val="annotation subject"/>
    <w:basedOn w:val="CommentText"/>
    <w:next w:val="CommentText"/>
    <w:semiHidden/>
    <w:rsid w:val="00104029"/>
    <w:rPr>
      <w:b/>
      <w:bCs/>
    </w:rPr>
  </w:style>
  <w:style w:type="paragraph" w:customStyle="1" w:styleId="Instructions">
    <w:name w:val="Instructions"/>
    <w:basedOn w:val="Normal"/>
    <w:link w:val="InstructionsChar"/>
    <w:rsid w:val="00020327"/>
    <w:rPr>
      <w:rFonts w:ascii="Arial" w:hAnsi="Arial" w:cs="Arial"/>
      <w:i/>
      <w:color w:val="0000FF"/>
      <w:sz w:val="20"/>
    </w:rPr>
  </w:style>
  <w:style w:type="character" w:customStyle="1" w:styleId="InstructionsChar">
    <w:name w:val="Instructions Char"/>
    <w:link w:val="Instructions"/>
    <w:rsid w:val="00020327"/>
    <w:rPr>
      <w:rFonts w:ascii="Arial" w:hAnsi="Arial" w:cs="Arial"/>
      <w:i/>
      <w:color w:val="0000FF"/>
      <w:lang w:val="en-AU" w:eastAsia="en-AU" w:bidi="ar-SA"/>
    </w:rPr>
  </w:style>
  <w:style w:type="paragraph" w:customStyle="1" w:styleId="StrategicAssessmentText">
    <w:name w:val="Strategic Assessment Text"/>
    <w:basedOn w:val="Normal"/>
    <w:rsid w:val="008A1D1B"/>
    <w:pPr>
      <w:ind w:left="284"/>
    </w:pPr>
  </w:style>
  <w:style w:type="paragraph" w:styleId="Header">
    <w:name w:val="header"/>
    <w:basedOn w:val="Normal"/>
    <w:rsid w:val="00FE71B0"/>
    <w:pPr>
      <w:tabs>
        <w:tab w:val="center" w:pos="4153"/>
        <w:tab w:val="right" w:pos="8306"/>
      </w:tabs>
    </w:pPr>
  </w:style>
  <w:style w:type="character" w:styleId="Hyperlink">
    <w:name w:val="Hyperlink"/>
    <w:rsid w:val="00FE71B0"/>
    <w:rPr>
      <w:color w:val="0000FF"/>
      <w:u w:val="single"/>
    </w:rPr>
  </w:style>
  <w:style w:type="paragraph" w:styleId="List2">
    <w:name w:val="List 2"/>
    <w:basedOn w:val="Normal"/>
    <w:rsid w:val="00823BB7"/>
    <w:pPr>
      <w:numPr>
        <w:ilvl w:val="1"/>
        <w:numId w:val="14"/>
      </w:numPr>
    </w:pPr>
  </w:style>
  <w:style w:type="character" w:styleId="FollowedHyperlink">
    <w:name w:val="FollowedHyperlink"/>
    <w:rsid w:val="00035AEB"/>
    <w:rPr>
      <w:color w:val="800080"/>
      <w:u w:val="single"/>
    </w:rPr>
  </w:style>
  <w:style w:type="table" w:styleId="TableGrid">
    <w:name w:val="Table Grid"/>
    <w:basedOn w:val="TableNormal"/>
    <w:rsid w:val="003D7CC1"/>
    <w:rPr>
      <w:rFonts w:ascii="Calibri" w:eastAsia="Calibri" w:hAnsi="Calibri" w:cs="Cordia New"/>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internal.vic.gov.au\DTPLI\Groupdata\data14\Planning%20Systems\Amendment%20Development\2015\07%20July%202015\23%20July%202015\Amendments\Baw%20Baw%20C110\(2)C110%20amendment%20docs\www.delwp.vic.gov.au\public-inspection" TargetMode="External"/><Relationship Id="rId3" Type="http://schemas.openxmlformats.org/officeDocument/2006/relationships/settings" Target="settings.xml"/><Relationship Id="rId7" Type="http://schemas.openxmlformats.org/officeDocument/2006/relationships/hyperlink" Target="http://www.geelongaustralia.com.au/amend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1423</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Planning and Environment Act 1987</vt:lpstr>
    </vt:vector>
  </TitlesOfParts>
  <Company>DOI</Company>
  <LinksUpToDate>false</LinksUpToDate>
  <CharactersWithSpaces>9780</CharactersWithSpaces>
  <SharedDoc>false</SharedDoc>
  <HLinks>
    <vt:vector size="12" baseType="variant">
      <vt:variant>
        <vt:i4>2097239</vt:i4>
      </vt:variant>
      <vt:variant>
        <vt:i4>3</vt:i4>
      </vt:variant>
      <vt:variant>
        <vt:i4>0</vt:i4>
      </vt:variant>
      <vt:variant>
        <vt:i4>5</vt:i4>
      </vt:variant>
      <vt:variant>
        <vt:lpwstr>\\internal.vic.gov.au\DTPLI\Groupdata\data14\Planning Systems\Amendment Development\2015\07 July 2015\23 July 2015\Amendments\Baw Baw C110\(2)C110 amendment docs\www.delwp.vic.gov.au\public-inspection</vt:lpwstr>
      </vt:variant>
      <vt:variant>
        <vt:lpwstr/>
      </vt:variant>
      <vt:variant>
        <vt:i4>7077993</vt:i4>
      </vt:variant>
      <vt:variant>
        <vt:i4>0</vt:i4>
      </vt:variant>
      <vt:variant>
        <vt:i4>0</vt:i4>
      </vt:variant>
      <vt:variant>
        <vt:i4>5</vt:i4>
      </vt:variant>
      <vt:variant>
        <vt:lpwstr>http://www.geelongaustralia.com.au/amendments/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Environment Act 1987</dc:title>
  <dc:creator>de Saram</dc:creator>
  <cp:lastModifiedBy>Cramer</cp:lastModifiedBy>
  <cp:revision>4</cp:revision>
  <cp:lastPrinted>2015-11-10T22:13:00Z</cp:lastPrinted>
  <dcterms:created xsi:type="dcterms:W3CDTF">2015-11-11T23:23:00Z</dcterms:created>
  <dcterms:modified xsi:type="dcterms:W3CDTF">2015-11-26T03:42:00Z</dcterms:modified>
</cp:coreProperties>
</file>