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79" w:rsidRDefault="009D3179" w:rsidP="009D3179">
      <w:pPr>
        <w:spacing w:before="12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Planning and Environment Act 1987</w:t>
      </w:r>
    </w:p>
    <w:p w:rsidR="009D3179" w:rsidRDefault="009D3179" w:rsidP="009D3179">
      <w:pPr>
        <w:keepNext/>
        <w:keepLines/>
        <w:spacing w:before="24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GREATER GEELONG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PLANNING SCHEME</w:t>
      </w:r>
    </w:p>
    <w:p w:rsidR="009D3179" w:rsidRDefault="00341652" w:rsidP="009D3179">
      <w:pPr>
        <w:keepNext/>
        <w:keepLines/>
        <w:spacing w:before="24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AMENDMENT C</w:t>
      </w:r>
      <w:r w:rsidR="007C2BBA">
        <w:rPr>
          <w:rFonts w:ascii="Arial" w:hAnsi="Arial" w:cs="Arial"/>
          <w:b/>
          <w:bCs/>
          <w:caps/>
          <w:sz w:val="28"/>
          <w:szCs w:val="28"/>
        </w:rPr>
        <w:t>347</w:t>
      </w:r>
    </w:p>
    <w:p w:rsidR="009D3179" w:rsidRDefault="009D3179" w:rsidP="000548C5">
      <w:pPr>
        <w:keepNext/>
        <w:keepLines/>
        <w:spacing w:before="240" w:after="12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EXPLANATORY REPORT</w:t>
      </w:r>
    </w:p>
    <w:p w:rsidR="009D3179" w:rsidRDefault="009D3179" w:rsidP="000548C5">
      <w:pPr>
        <w:spacing w:before="240"/>
        <w:jc w:val="both"/>
        <w:outlineLvl w:val="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Who is the planning authority?</w:t>
      </w:r>
    </w:p>
    <w:p w:rsidR="009D3179" w:rsidRDefault="009D3179" w:rsidP="001917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amendment has been prepared by the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Greater Geelong City Council, which</w:t>
      </w:r>
      <w:r>
        <w:rPr>
          <w:rFonts w:ascii="Arial" w:hAnsi="Arial" w:cs="Arial"/>
          <w:sz w:val="22"/>
          <w:szCs w:val="22"/>
        </w:rPr>
        <w:t xml:space="preserve"> is the planning authority for this amendment.</w:t>
      </w:r>
    </w:p>
    <w:p w:rsidR="009D3179" w:rsidRDefault="009D3179" w:rsidP="001917E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has been made at the request </w:t>
      </w:r>
      <w:r>
        <w:rPr>
          <w:rFonts w:ascii="Arial" w:hAnsi="Arial" w:cs="Arial"/>
          <w:color w:val="000000"/>
          <w:sz w:val="22"/>
          <w:szCs w:val="22"/>
        </w:rPr>
        <w:t>of the City of Greater Geelong Council.</w:t>
      </w:r>
    </w:p>
    <w:p w:rsidR="009D3179" w:rsidRDefault="009D3179" w:rsidP="0037246C">
      <w:pPr>
        <w:spacing w:before="240"/>
        <w:jc w:val="both"/>
        <w:outlineLvl w:val="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Land affected by the amendment</w:t>
      </w:r>
    </w:p>
    <w:p w:rsidR="0059392F" w:rsidRDefault="009D3179" w:rsidP="001917E6">
      <w:pPr>
        <w:spacing w:before="120" w:after="12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affects all land in the </w:t>
      </w:r>
      <w:r w:rsidR="00F87BD5">
        <w:rPr>
          <w:rFonts w:ascii="Arial" w:hAnsi="Arial" w:cs="Arial"/>
          <w:sz w:val="22"/>
          <w:szCs w:val="22"/>
        </w:rPr>
        <w:t>Farming Zone and Rural Conservation Zone</w:t>
      </w:r>
      <w:r w:rsidR="002A73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the </w:t>
      </w:r>
      <w:r w:rsidR="0059392F">
        <w:rPr>
          <w:rFonts w:ascii="Arial" w:hAnsi="Arial" w:cs="Arial"/>
          <w:sz w:val="22"/>
          <w:szCs w:val="22"/>
        </w:rPr>
        <w:t>City of Greater Geelong Council:</w:t>
      </w:r>
    </w:p>
    <w:p w:rsidR="0059392F" w:rsidRDefault="0059392F" w:rsidP="001917E6">
      <w:pPr>
        <w:spacing w:before="120" w:after="120"/>
        <w:jc w:val="both"/>
        <w:outlineLvl w:val="1"/>
        <w:rPr>
          <w:rFonts w:ascii="Arial" w:hAnsi="Arial" w:cs="Arial"/>
          <w:sz w:val="22"/>
          <w:szCs w:val="22"/>
        </w:rPr>
      </w:pPr>
      <w:r w:rsidRPr="0059392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702849" cy="4460488"/>
            <wp:effectExtent l="19050" t="19050" r="11901" b="16262"/>
            <wp:docPr id="1" name="Picture 1" descr="Northern Geelong and Bellarine (Crop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Geelong and Bellarine (Crop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002" cy="446308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82716" w:rsidRPr="001917E6" w:rsidRDefault="009D3179" w:rsidP="001917E6">
      <w:pPr>
        <w:spacing w:before="240" w:after="120"/>
        <w:jc w:val="both"/>
        <w:outlineLvl w:val="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What the amendment does</w:t>
      </w:r>
    </w:p>
    <w:p w:rsidR="00C82716" w:rsidRPr="00CA478E" w:rsidRDefault="00C82716" w:rsidP="00C82716">
      <w:pPr>
        <w:jc w:val="both"/>
        <w:rPr>
          <w:rFonts w:ascii="Arial" w:hAnsi="Arial" w:cs="Arial"/>
          <w:sz w:val="22"/>
          <w:szCs w:val="22"/>
        </w:rPr>
      </w:pPr>
      <w:r w:rsidRPr="00CA478E">
        <w:rPr>
          <w:rFonts w:ascii="Arial" w:hAnsi="Arial" w:cs="Arial"/>
          <w:sz w:val="22"/>
          <w:szCs w:val="22"/>
        </w:rPr>
        <w:t xml:space="preserve">Amendment </w:t>
      </w:r>
      <w:r w:rsidRPr="00363E52">
        <w:rPr>
          <w:rFonts w:ascii="Arial" w:hAnsi="Arial" w:cs="Arial"/>
          <w:sz w:val="22"/>
          <w:szCs w:val="22"/>
        </w:rPr>
        <w:t>C</w:t>
      </w:r>
      <w:r w:rsidR="00363E52">
        <w:rPr>
          <w:rFonts w:ascii="Arial" w:hAnsi="Arial" w:cs="Arial"/>
          <w:sz w:val="22"/>
          <w:szCs w:val="22"/>
        </w:rPr>
        <w:t>347 changes</w:t>
      </w:r>
      <w:r w:rsidR="004A5DDB">
        <w:rPr>
          <w:rFonts w:ascii="Arial" w:hAnsi="Arial" w:cs="Arial"/>
          <w:sz w:val="22"/>
          <w:szCs w:val="22"/>
        </w:rPr>
        <w:t xml:space="preserve"> the Local</w:t>
      </w:r>
      <w:r w:rsidR="009362E6">
        <w:rPr>
          <w:rFonts w:ascii="Arial" w:hAnsi="Arial" w:cs="Arial"/>
          <w:sz w:val="22"/>
          <w:szCs w:val="22"/>
        </w:rPr>
        <w:t xml:space="preserve"> Planning </w:t>
      </w:r>
      <w:r w:rsidR="005E06BC">
        <w:rPr>
          <w:rFonts w:ascii="Arial" w:hAnsi="Arial" w:cs="Arial"/>
          <w:sz w:val="22"/>
          <w:szCs w:val="22"/>
        </w:rPr>
        <w:t xml:space="preserve">Policy </w:t>
      </w:r>
      <w:r w:rsidR="009362E6">
        <w:rPr>
          <w:rFonts w:ascii="Arial" w:hAnsi="Arial" w:cs="Arial"/>
          <w:sz w:val="22"/>
          <w:szCs w:val="22"/>
        </w:rPr>
        <w:t>Framework at Clause</w:t>
      </w:r>
      <w:r w:rsidR="00363E52">
        <w:rPr>
          <w:rFonts w:ascii="Arial" w:hAnsi="Arial" w:cs="Arial"/>
          <w:sz w:val="22"/>
          <w:szCs w:val="22"/>
        </w:rPr>
        <w:t>s 21.06 and</w:t>
      </w:r>
      <w:r w:rsidR="009362E6">
        <w:rPr>
          <w:rFonts w:ascii="Arial" w:hAnsi="Arial" w:cs="Arial"/>
          <w:sz w:val="22"/>
          <w:szCs w:val="22"/>
        </w:rPr>
        <w:t xml:space="preserve"> 22</w:t>
      </w:r>
      <w:r w:rsidR="00363E52">
        <w:rPr>
          <w:rFonts w:ascii="Arial" w:hAnsi="Arial" w:cs="Arial"/>
          <w:sz w:val="22"/>
          <w:szCs w:val="22"/>
        </w:rPr>
        <w:t xml:space="preserve">.06, and </w:t>
      </w:r>
      <w:r w:rsidR="004A5DDB">
        <w:rPr>
          <w:rFonts w:ascii="Arial" w:hAnsi="Arial" w:cs="Arial"/>
          <w:sz w:val="22"/>
          <w:szCs w:val="22"/>
        </w:rPr>
        <w:t xml:space="preserve">introduces </w:t>
      </w:r>
      <w:r w:rsidR="00363E52">
        <w:rPr>
          <w:rFonts w:ascii="Arial" w:hAnsi="Arial" w:cs="Arial"/>
          <w:sz w:val="22"/>
          <w:szCs w:val="22"/>
        </w:rPr>
        <w:t>a new Clause 22.64</w:t>
      </w:r>
      <w:r w:rsidR="004A5DDB">
        <w:rPr>
          <w:rFonts w:ascii="Arial" w:hAnsi="Arial" w:cs="Arial"/>
          <w:sz w:val="22"/>
          <w:szCs w:val="22"/>
        </w:rPr>
        <w:t xml:space="preserve">. </w:t>
      </w:r>
    </w:p>
    <w:p w:rsidR="009D3179" w:rsidRDefault="005E06BC" w:rsidP="001917E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63E5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proposed</w:t>
      </w:r>
      <w:r w:rsidR="00363E52">
        <w:rPr>
          <w:rFonts w:ascii="Arial" w:hAnsi="Arial" w:cs="Arial"/>
          <w:sz w:val="22"/>
          <w:szCs w:val="22"/>
        </w:rPr>
        <w:t xml:space="preserve"> Clauses</w:t>
      </w:r>
      <w:r>
        <w:rPr>
          <w:rFonts w:ascii="Arial" w:hAnsi="Arial" w:cs="Arial"/>
          <w:sz w:val="22"/>
          <w:szCs w:val="22"/>
        </w:rPr>
        <w:t xml:space="preserve"> </w:t>
      </w:r>
      <w:r w:rsidR="009D3179">
        <w:rPr>
          <w:rFonts w:ascii="Arial" w:hAnsi="Arial" w:cs="Arial"/>
          <w:sz w:val="22"/>
          <w:szCs w:val="22"/>
        </w:rPr>
        <w:t>are as follows:</w:t>
      </w:r>
    </w:p>
    <w:p w:rsidR="009D3179" w:rsidRDefault="009D3179" w:rsidP="009D3179">
      <w:p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Municipal Strategic Statement</w:t>
      </w:r>
    </w:p>
    <w:p w:rsidR="009D3179" w:rsidRDefault="009D3179" w:rsidP="009D3179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Amend Clause 21.0</w:t>
      </w:r>
      <w:r w:rsidR="003E1D3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6D1E15">
        <w:rPr>
          <w:rFonts w:ascii="Arial" w:hAnsi="Arial" w:cs="Arial"/>
          <w:sz w:val="22"/>
          <w:szCs w:val="22"/>
        </w:rPr>
        <w:t xml:space="preserve">- </w:t>
      </w:r>
      <w:r w:rsidR="003E1D37" w:rsidRPr="001917E6">
        <w:rPr>
          <w:rFonts w:ascii="Arial" w:hAnsi="Arial" w:cs="Arial"/>
          <w:i/>
          <w:sz w:val="22"/>
          <w:szCs w:val="22"/>
        </w:rPr>
        <w:t>Economic Development and Employment</w:t>
      </w:r>
      <w:r>
        <w:rPr>
          <w:rFonts w:ascii="Arial" w:hAnsi="Arial" w:cs="Arial"/>
          <w:sz w:val="22"/>
          <w:szCs w:val="22"/>
        </w:rPr>
        <w:t xml:space="preserve"> to align with the implementation of </w:t>
      </w:r>
      <w:r w:rsidR="003E1D37">
        <w:rPr>
          <w:rFonts w:ascii="Arial" w:hAnsi="Arial" w:cs="Arial"/>
          <w:sz w:val="22"/>
          <w:szCs w:val="22"/>
        </w:rPr>
        <w:t>amended Clause 22.06 and new Clause 22.64</w:t>
      </w:r>
      <w:r w:rsidR="006D1E15">
        <w:rPr>
          <w:rFonts w:ascii="Arial" w:hAnsi="Arial" w:cs="Arial"/>
          <w:sz w:val="22"/>
          <w:szCs w:val="22"/>
        </w:rPr>
        <w:t xml:space="preserve"> of the local planning policy</w:t>
      </w:r>
      <w:r w:rsidR="003E1D37">
        <w:rPr>
          <w:rFonts w:ascii="Arial" w:hAnsi="Arial" w:cs="Arial"/>
          <w:sz w:val="22"/>
          <w:szCs w:val="22"/>
        </w:rPr>
        <w:t>.</w:t>
      </w:r>
    </w:p>
    <w:p w:rsidR="009D3179" w:rsidRDefault="009D3179" w:rsidP="009D3179">
      <w:p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Local Planning Policies</w:t>
      </w:r>
    </w:p>
    <w:p w:rsidR="009D3179" w:rsidRDefault="001917E6" w:rsidP="009D3179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Replace</w:t>
      </w:r>
      <w:r w:rsidR="00105491">
        <w:rPr>
          <w:rFonts w:ascii="Arial" w:hAnsi="Arial" w:cs="Arial"/>
          <w:sz w:val="22"/>
          <w:szCs w:val="22"/>
        </w:rPr>
        <w:t xml:space="preserve"> Clause 22.06</w:t>
      </w:r>
      <w:r w:rsidR="009D3179">
        <w:rPr>
          <w:rFonts w:ascii="Arial" w:hAnsi="Arial" w:cs="Arial"/>
          <w:sz w:val="22"/>
          <w:szCs w:val="22"/>
        </w:rPr>
        <w:t xml:space="preserve"> </w:t>
      </w:r>
      <w:r w:rsidR="006D1E15">
        <w:rPr>
          <w:rFonts w:ascii="Arial" w:hAnsi="Arial" w:cs="Arial"/>
          <w:sz w:val="22"/>
          <w:szCs w:val="22"/>
        </w:rPr>
        <w:t xml:space="preserve">- </w:t>
      </w:r>
      <w:r w:rsidRPr="001917E6">
        <w:rPr>
          <w:rFonts w:ascii="Arial" w:hAnsi="Arial" w:cs="Arial"/>
          <w:i/>
          <w:sz w:val="22"/>
          <w:szCs w:val="22"/>
        </w:rPr>
        <w:t>Tourism Development in Rural Areas</w:t>
      </w:r>
      <w:r>
        <w:rPr>
          <w:rFonts w:ascii="Arial" w:hAnsi="Arial" w:cs="Arial"/>
          <w:sz w:val="22"/>
          <w:szCs w:val="22"/>
        </w:rPr>
        <w:t xml:space="preserve"> with a new Clause 22.06 – </w:t>
      </w:r>
      <w:r w:rsidR="00105491" w:rsidRPr="001917E6">
        <w:rPr>
          <w:rFonts w:ascii="Arial" w:hAnsi="Arial" w:cs="Arial"/>
          <w:i/>
          <w:sz w:val="22"/>
          <w:szCs w:val="22"/>
        </w:rPr>
        <w:t>Tourism</w:t>
      </w:r>
      <w:r>
        <w:rPr>
          <w:rFonts w:ascii="Arial" w:hAnsi="Arial" w:cs="Arial"/>
          <w:i/>
          <w:sz w:val="22"/>
          <w:szCs w:val="22"/>
        </w:rPr>
        <w:t>, Accommodation</w:t>
      </w:r>
      <w:r w:rsidR="00105491" w:rsidRPr="001917E6">
        <w:rPr>
          <w:rFonts w:ascii="Arial" w:hAnsi="Arial" w:cs="Arial"/>
          <w:i/>
          <w:sz w:val="22"/>
          <w:szCs w:val="22"/>
        </w:rPr>
        <w:t xml:space="preserve"> and Function Centre Development in Rural Areas</w:t>
      </w:r>
      <w:r w:rsidR="001F7DBE">
        <w:rPr>
          <w:rFonts w:ascii="Arial" w:hAnsi="Arial" w:cs="Arial"/>
          <w:sz w:val="22"/>
          <w:szCs w:val="22"/>
        </w:rPr>
        <w:t xml:space="preserve"> to reflect changes made to the Farming Zone and Rural Conservation Zone</w:t>
      </w:r>
      <w:r>
        <w:rPr>
          <w:rFonts w:ascii="Arial" w:hAnsi="Arial" w:cs="Arial"/>
          <w:sz w:val="22"/>
          <w:szCs w:val="22"/>
        </w:rPr>
        <w:t xml:space="preserve"> in the Victoria</w:t>
      </w:r>
      <w:r w:rsidR="006D1E15">
        <w:rPr>
          <w:rFonts w:ascii="Arial" w:hAnsi="Arial" w:cs="Arial"/>
          <w:sz w:val="22"/>
          <w:szCs w:val="22"/>
        </w:rPr>
        <w:t xml:space="preserve"> Planning Provisions under </w:t>
      </w:r>
      <w:r>
        <w:rPr>
          <w:rFonts w:ascii="Arial" w:hAnsi="Arial" w:cs="Arial"/>
          <w:sz w:val="22"/>
          <w:szCs w:val="22"/>
        </w:rPr>
        <w:t xml:space="preserve">Amendment </w:t>
      </w:r>
      <w:r w:rsidR="006D1E15">
        <w:rPr>
          <w:rFonts w:ascii="Arial" w:hAnsi="Arial" w:cs="Arial"/>
          <w:sz w:val="22"/>
          <w:szCs w:val="22"/>
        </w:rPr>
        <w:t>VC103.</w:t>
      </w:r>
    </w:p>
    <w:p w:rsidR="009D3179" w:rsidRDefault="005E66EF" w:rsidP="001917E6">
      <w:pPr>
        <w:numPr>
          <w:ilvl w:val="0"/>
          <w:numId w:val="13"/>
        </w:numPr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a new Clause 22.64</w:t>
      </w:r>
      <w:r w:rsidR="009D3179">
        <w:rPr>
          <w:rFonts w:ascii="Arial" w:hAnsi="Arial" w:cs="Arial"/>
          <w:sz w:val="22"/>
          <w:szCs w:val="22"/>
        </w:rPr>
        <w:t xml:space="preserve"> </w:t>
      </w:r>
      <w:r w:rsidR="006D1E15">
        <w:rPr>
          <w:rFonts w:ascii="Arial" w:hAnsi="Arial" w:cs="Arial"/>
          <w:sz w:val="22"/>
          <w:szCs w:val="22"/>
        </w:rPr>
        <w:t xml:space="preserve">- </w:t>
      </w:r>
      <w:r w:rsidRPr="001917E6">
        <w:rPr>
          <w:rFonts w:ascii="Arial" w:hAnsi="Arial" w:cs="Arial"/>
          <w:i/>
          <w:sz w:val="22"/>
          <w:szCs w:val="22"/>
        </w:rPr>
        <w:t>Discretionary Uses in Rural Areas</w:t>
      </w:r>
      <w:r w:rsidR="006D1E15">
        <w:rPr>
          <w:rFonts w:ascii="Arial" w:hAnsi="Arial" w:cs="Arial"/>
          <w:sz w:val="22"/>
          <w:szCs w:val="22"/>
        </w:rPr>
        <w:t xml:space="preserve"> to reflect changes made to the Farming Zone and Rural Conservation Zone in the </w:t>
      </w:r>
      <w:r w:rsidR="001917E6">
        <w:rPr>
          <w:rFonts w:ascii="Arial" w:hAnsi="Arial" w:cs="Arial"/>
          <w:sz w:val="22"/>
          <w:szCs w:val="22"/>
        </w:rPr>
        <w:t>Victoria</w:t>
      </w:r>
      <w:r w:rsidR="006D1E15" w:rsidRPr="001917E6">
        <w:rPr>
          <w:rFonts w:ascii="Arial" w:hAnsi="Arial" w:cs="Arial"/>
          <w:sz w:val="22"/>
          <w:szCs w:val="22"/>
        </w:rPr>
        <w:t xml:space="preserve"> Planning Provisions</w:t>
      </w:r>
      <w:r w:rsidR="006D1E15">
        <w:rPr>
          <w:rFonts w:ascii="Arial" w:hAnsi="Arial" w:cs="Arial"/>
          <w:sz w:val="22"/>
          <w:szCs w:val="22"/>
        </w:rPr>
        <w:t xml:space="preserve"> under </w:t>
      </w:r>
      <w:r w:rsidR="001917E6">
        <w:rPr>
          <w:rFonts w:ascii="Arial" w:hAnsi="Arial" w:cs="Arial"/>
          <w:sz w:val="22"/>
          <w:szCs w:val="22"/>
        </w:rPr>
        <w:t xml:space="preserve">Amendment </w:t>
      </w:r>
      <w:r w:rsidR="006D1E15">
        <w:rPr>
          <w:rFonts w:ascii="Arial" w:hAnsi="Arial" w:cs="Arial"/>
          <w:sz w:val="22"/>
          <w:szCs w:val="22"/>
        </w:rPr>
        <w:t>VC103</w:t>
      </w:r>
      <w:r w:rsidR="009D3179">
        <w:rPr>
          <w:rFonts w:ascii="Arial" w:hAnsi="Arial" w:cs="Arial"/>
          <w:sz w:val="22"/>
          <w:szCs w:val="22"/>
        </w:rPr>
        <w:t>.</w:t>
      </w:r>
      <w:r w:rsidR="006D1E15">
        <w:rPr>
          <w:rFonts w:ascii="Arial" w:hAnsi="Arial" w:cs="Arial"/>
          <w:sz w:val="22"/>
          <w:szCs w:val="22"/>
        </w:rPr>
        <w:t xml:space="preserve"> </w:t>
      </w:r>
    </w:p>
    <w:p w:rsidR="009D3179" w:rsidRDefault="009D3179" w:rsidP="0037246C">
      <w:pPr>
        <w:spacing w:before="240"/>
        <w:jc w:val="both"/>
        <w:outlineLvl w:val="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Strategic assessment of the amendment </w:t>
      </w:r>
    </w:p>
    <w:p w:rsidR="009D3179" w:rsidRDefault="009D3179" w:rsidP="0037246C">
      <w:pPr>
        <w:spacing w:before="240"/>
        <w:jc w:val="both"/>
        <w:outlineLvl w:val="1"/>
        <w:rPr>
          <w:rFonts w:ascii="Arial" w:hAnsi="Arial" w:cs="Arial"/>
          <w:b/>
          <w:bCs/>
          <w:smallCaps/>
          <w:sz w:val="24"/>
        </w:rPr>
      </w:pPr>
      <w:r>
        <w:rPr>
          <w:rFonts w:ascii="Arial" w:hAnsi="Arial" w:cs="Arial"/>
          <w:b/>
          <w:bCs/>
          <w:sz w:val="24"/>
        </w:rPr>
        <w:t>Why is the amendment required?</w:t>
      </w:r>
    </w:p>
    <w:p w:rsidR="00531528" w:rsidRDefault="009D3179" w:rsidP="001917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</w:t>
      </w:r>
      <w:r w:rsidR="00BF66B7">
        <w:rPr>
          <w:rFonts w:ascii="Arial" w:hAnsi="Arial" w:cs="Arial"/>
          <w:sz w:val="22"/>
          <w:szCs w:val="22"/>
        </w:rPr>
        <w:t>respond</w:t>
      </w:r>
      <w:r w:rsidR="00001350">
        <w:rPr>
          <w:rFonts w:ascii="Arial" w:hAnsi="Arial" w:cs="Arial"/>
          <w:sz w:val="22"/>
          <w:szCs w:val="22"/>
        </w:rPr>
        <w:t>s</w:t>
      </w:r>
      <w:r w:rsidR="00BF66B7">
        <w:rPr>
          <w:rFonts w:ascii="Arial" w:hAnsi="Arial" w:cs="Arial"/>
          <w:sz w:val="22"/>
          <w:szCs w:val="22"/>
        </w:rPr>
        <w:t xml:space="preserve"> to changes made to the Farming and Rural Conservation </w:t>
      </w:r>
      <w:r w:rsidR="00001350">
        <w:rPr>
          <w:rFonts w:ascii="Arial" w:hAnsi="Arial" w:cs="Arial"/>
          <w:sz w:val="22"/>
          <w:szCs w:val="22"/>
        </w:rPr>
        <w:t>Z</w:t>
      </w:r>
      <w:r w:rsidR="00BF66B7">
        <w:rPr>
          <w:rFonts w:ascii="Arial" w:hAnsi="Arial" w:cs="Arial"/>
          <w:sz w:val="22"/>
          <w:szCs w:val="22"/>
        </w:rPr>
        <w:t xml:space="preserve">ones </w:t>
      </w:r>
      <w:r w:rsidR="00001350">
        <w:rPr>
          <w:rFonts w:ascii="Arial" w:hAnsi="Arial" w:cs="Arial"/>
          <w:sz w:val="22"/>
          <w:szCs w:val="22"/>
        </w:rPr>
        <w:t>of</w:t>
      </w:r>
      <w:r w:rsidR="00531528">
        <w:rPr>
          <w:rFonts w:ascii="Arial" w:hAnsi="Arial" w:cs="Arial"/>
          <w:sz w:val="22"/>
          <w:szCs w:val="22"/>
        </w:rPr>
        <w:t xml:space="preserve"> the </w:t>
      </w:r>
      <w:r w:rsidR="00531528" w:rsidRPr="001917E6">
        <w:rPr>
          <w:rFonts w:ascii="Arial" w:hAnsi="Arial" w:cs="Arial"/>
          <w:sz w:val="22"/>
          <w:szCs w:val="22"/>
        </w:rPr>
        <w:t xml:space="preserve">Victorian </w:t>
      </w:r>
      <w:r w:rsidR="00BF66B7" w:rsidRPr="001917E6">
        <w:rPr>
          <w:rFonts w:ascii="Arial" w:hAnsi="Arial" w:cs="Arial"/>
          <w:sz w:val="22"/>
          <w:szCs w:val="22"/>
        </w:rPr>
        <w:t>P</w:t>
      </w:r>
      <w:r w:rsidR="00001350" w:rsidRPr="001917E6">
        <w:rPr>
          <w:rFonts w:ascii="Arial" w:hAnsi="Arial" w:cs="Arial"/>
          <w:sz w:val="22"/>
          <w:szCs w:val="22"/>
        </w:rPr>
        <w:t>lanning Provisions</w:t>
      </w:r>
      <w:r w:rsidR="00001350">
        <w:rPr>
          <w:rFonts w:ascii="Arial" w:hAnsi="Arial" w:cs="Arial"/>
          <w:sz w:val="22"/>
          <w:szCs w:val="22"/>
        </w:rPr>
        <w:t xml:space="preserve"> under </w:t>
      </w:r>
      <w:r w:rsidR="001917E6">
        <w:rPr>
          <w:rFonts w:ascii="Arial" w:hAnsi="Arial" w:cs="Arial"/>
          <w:sz w:val="22"/>
          <w:szCs w:val="22"/>
        </w:rPr>
        <w:t xml:space="preserve">Amendment </w:t>
      </w:r>
      <w:r w:rsidR="00001350">
        <w:rPr>
          <w:rFonts w:ascii="Arial" w:hAnsi="Arial" w:cs="Arial"/>
          <w:sz w:val="22"/>
          <w:szCs w:val="22"/>
        </w:rPr>
        <w:t xml:space="preserve">VC103. </w:t>
      </w:r>
      <w:r w:rsidR="00BD4BE4">
        <w:rPr>
          <w:rFonts w:ascii="Arial" w:hAnsi="Arial" w:cs="Arial"/>
          <w:sz w:val="22"/>
          <w:szCs w:val="22"/>
        </w:rPr>
        <w:t>Changes to the zone</w:t>
      </w:r>
      <w:r w:rsidR="001917E6">
        <w:rPr>
          <w:rFonts w:ascii="Arial" w:hAnsi="Arial" w:cs="Arial"/>
          <w:sz w:val="22"/>
          <w:szCs w:val="22"/>
        </w:rPr>
        <w:t>s have impacted on how non-</w:t>
      </w:r>
      <w:r w:rsidR="00BD4BE4">
        <w:rPr>
          <w:rFonts w:ascii="Arial" w:hAnsi="Arial" w:cs="Arial"/>
          <w:sz w:val="22"/>
          <w:szCs w:val="22"/>
        </w:rPr>
        <w:t xml:space="preserve">rural uses are managed under the </w:t>
      </w:r>
      <w:r w:rsidR="00BD4BE4" w:rsidRPr="001917E6">
        <w:rPr>
          <w:rFonts w:ascii="Arial" w:hAnsi="Arial" w:cs="Arial"/>
          <w:sz w:val="22"/>
          <w:szCs w:val="22"/>
        </w:rPr>
        <w:t>Greater Geelong Planning Scheme.</w:t>
      </w:r>
      <w:r w:rsidR="00BD4BE4">
        <w:rPr>
          <w:rFonts w:ascii="Arial" w:hAnsi="Arial" w:cs="Arial"/>
          <w:sz w:val="22"/>
          <w:szCs w:val="22"/>
        </w:rPr>
        <w:t xml:space="preserve"> </w:t>
      </w:r>
      <w:r w:rsidR="007351E8">
        <w:rPr>
          <w:rFonts w:ascii="Arial" w:hAnsi="Arial" w:cs="Arial"/>
          <w:sz w:val="22"/>
          <w:szCs w:val="22"/>
        </w:rPr>
        <w:t xml:space="preserve">A number of land uses that were previously prohibited have been made discretionary. Changes related to some accommodation, retail, </w:t>
      </w:r>
      <w:r w:rsidR="003773F3">
        <w:rPr>
          <w:rFonts w:ascii="Arial" w:hAnsi="Arial" w:cs="Arial"/>
          <w:sz w:val="22"/>
          <w:szCs w:val="22"/>
        </w:rPr>
        <w:t xml:space="preserve">commercial, </w:t>
      </w:r>
      <w:r w:rsidR="007351E8">
        <w:rPr>
          <w:rFonts w:ascii="Arial" w:hAnsi="Arial" w:cs="Arial"/>
          <w:sz w:val="22"/>
          <w:szCs w:val="22"/>
        </w:rPr>
        <w:t xml:space="preserve">industry, schools and community uses. </w:t>
      </w:r>
    </w:p>
    <w:p w:rsidR="00BD4BE4" w:rsidRDefault="00BD4BE4" w:rsidP="001917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351E8">
        <w:rPr>
          <w:rFonts w:ascii="Arial" w:hAnsi="Arial" w:cs="Arial"/>
          <w:sz w:val="22"/>
          <w:szCs w:val="22"/>
        </w:rPr>
        <w:t>amendment is</w:t>
      </w:r>
      <w:r>
        <w:rPr>
          <w:rFonts w:ascii="Arial" w:hAnsi="Arial" w:cs="Arial"/>
          <w:sz w:val="22"/>
          <w:szCs w:val="22"/>
        </w:rPr>
        <w:t xml:space="preserve"> required to ensure that the new zones are interpret</w:t>
      </w:r>
      <w:r w:rsidR="001917E6">
        <w:rPr>
          <w:rFonts w:ascii="Arial" w:hAnsi="Arial" w:cs="Arial"/>
          <w:sz w:val="22"/>
          <w:szCs w:val="22"/>
        </w:rPr>
        <w:t>ed in a manner consistent with C</w:t>
      </w:r>
      <w:r>
        <w:rPr>
          <w:rFonts w:ascii="Arial" w:hAnsi="Arial" w:cs="Arial"/>
          <w:sz w:val="22"/>
          <w:szCs w:val="22"/>
        </w:rPr>
        <w:t>ouncil’s local planning policy</w:t>
      </w:r>
      <w:r w:rsidR="00315994">
        <w:rPr>
          <w:rFonts w:ascii="Arial" w:hAnsi="Arial" w:cs="Arial"/>
          <w:sz w:val="22"/>
          <w:szCs w:val="22"/>
        </w:rPr>
        <w:t xml:space="preserve">, the </w:t>
      </w:r>
      <w:r w:rsidR="00315994" w:rsidRPr="003773F3">
        <w:rPr>
          <w:rFonts w:ascii="Arial" w:hAnsi="Arial" w:cs="Arial"/>
          <w:i/>
          <w:sz w:val="22"/>
          <w:szCs w:val="22"/>
        </w:rPr>
        <w:t>Bellarine Peninsula Localised Planning Statement 2015</w:t>
      </w:r>
      <w:r w:rsidR="003773F3">
        <w:rPr>
          <w:rFonts w:ascii="Arial" w:hAnsi="Arial" w:cs="Arial"/>
          <w:sz w:val="22"/>
          <w:szCs w:val="22"/>
        </w:rPr>
        <w:t xml:space="preserve"> and the a</w:t>
      </w:r>
      <w:r>
        <w:rPr>
          <w:rFonts w:ascii="Arial" w:hAnsi="Arial" w:cs="Arial"/>
          <w:sz w:val="22"/>
          <w:szCs w:val="22"/>
        </w:rPr>
        <w:t xml:space="preserve">dopted </w:t>
      </w:r>
      <w:r w:rsidRPr="003773F3">
        <w:rPr>
          <w:rFonts w:ascii="Arial" w:hAnsi="Arial" w:cs="Arial"/>
          <w:i/>
          <w:sz w:val="22"/>
          <w:szCs w:val="22"/>
        </w:rPr>
        <w:t>Rural Land Use Strategy</w:t>
      </w:r>
      <w:r w:rsidR="00315994" w:rsidRPr="003773F3">
        <w:rPr>
          <w:rFonts w:ascii="Arial" w:hAnsi="Arial" w:cs="Arial"/>
          <w:i/>
          <w:sz w:val="22"/>
          <w:szCs w:val="22"/>
        </w:rPr>
        <w:t xml:space="preserve"> 2007</w:t>
      </w:r>
      <w:r w:rsidR="001917E6">
        <w:rPr>
          <w:rFonts w:ascii="Arial" w:hAnsi="Arial" w:cs="Arial"/>
          <w:sz w:val="22"/>
          <w:szCs w:val="22"/>
        </w:rPr>
        <w:t>.</w:t>
      </w:r>
    </w:p>
    <w:p w:rsidR="00BD4BE4" w:rsidRDefault="00315994" w:rsidP="001917E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3773F3">
        <w:rPr>
          <w:rFonts w:ascii="Arial" w:hAnsi="Arial" w:cs="Arial"/>
          <w:i/>
          <w:sz w:val="22"/>
          <w:szCs w:val="22"/>
        </w:rPr>
        <w:t>R</w:t>
      </w:r>
      <w:r w:rsidR="003773F3" w:rsidRPr="003773F3">
        <w:rPr>
          <w:rFonts w:ascii="Arial" w:hAnsi="Arial" w:cs="Arial"/>
          <w:i/>
          <w:sz w:val="22"/>
          <w:szCs w:val="22"/>
        </w:rPr>
        <w:t xml:space="preserve">ural </w:t>
      </w:r>
      <w:r w:rsidRPr="003773F3">
        <w:rPr>
          <w:rFonts w:ascii="Arial" w:hAnsi="Arial" w:cs="Arial"/>
          <w:i/>
          <w:sz w:val="22"/>
          <w:szCs w:val="22"/>
        </w:rPr>
        <w:t>L</w:t>
      </w:r>
      <w:r w:rsidR="003773F3" w:rsidRPr="003773F3">
        <w:rPr>
          <w:rFonts w:ascii="Arial" w:hAnsi="Arial" w:cs="Arial"/>
          <w:i/>
          <w:sz w:val="22"/>
          <w:szCs w:val="22"/>
        </w:rPr>
        <w:t xml:space="preserve">and </w:t>
      </w:r>
      <w:r w:rsidRPr="003773F3">
        <w:rPr>
          <w:rFonts w:ascii="Arial" w:hAnsi="Arial" w:cs="Arial"/>
          <w:i/>
          <w:sz w:val="22"/>
          <w:szCs w:val="22"/>
        </w:rPr>
        <w:t>U</w:t>
      </w:r>
      <w:r w:rsidR="003773F3" w:rsidRPr="003773F3">
        <w:rPr>
          <w:rFonts w:ascii="Arial" w:hAnsi="Arial" w:cs="Arial"/>
          <w:i/>
          <w:sz w:val="22"/>
          <w:szCs w:val="22"/>
        </w:rPr>
        <w:t>se Strategy</w:t>
      </w:r>
      <w:r>
        <w:rPr>
          <w:rFonts w:ascii="Arial" w:hAnsi="Arial" w:cs="Arial"/>
          <w:sz w:val="22"/>
          <w:szCs w:val="22"/>
        </w:rPr>
        <w:t xml:space="preserve"> recognises the importance of managing development in rural areas to avoid a proliferation of buildings or overdevelopment that could lead to the fragmentation of land and threaten the ability to use it for farming. The </w:t>
      </w:r>
      <w:r w:rsidRPr="003773F3">
        <w:rPr>
          <w:rFonts w:ascii="Arial" w:hAnsi="Arial" w:cs="Arial"/>
          <w:i/>
          <w:sz w:val="22"/>
          <w:szCs w:val="22"/>
        </w:rPr>
        <w:t>B</w:t>
      </w:r>
      <w:r w:rsidR="003773F3" w:rsidRPr="003773F3">
        <w:rPr>
          <w:rFonts w:ascii="Arial" w:hAnsi="Arial" w:cs="Arial"/>
          <w:i/>
          <w:sz w:val="22"/>
          <w:szCs w:val="22"/>
        </w:rPr>
        <w:t>ellarine Peninsula Localised Planning Statement</w:t>
      </w:r>
      <w:r>
        <w:rPr>
          <w:rFonts w:ascii="Arial" w:hAnsi="Arial" w:cs="Arial"/>
          <w:sz w:val="22"/>
          <w:szCs w:val="22"/>
        </w:rPr>
        <w:t xml:space="preserve"> also outlines the pressure for growth and change that is being experienced and sets strategies to ensure the key attributes of the Bellarine Peninsula are preserved.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How does the amendment implement the objectives of planning in Victoria?</w:t>
      </w:r>
    </w:p>
    <w:p w:rsidR="00003C05" w:rsidRPr="008F7D9C" w:rsidRDefault="00003C05" w:rsidP="00003C0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7D9C">
        <w:rPr>
          <w:rFonts w:ascii="Arial" w:hAnsi="Arial" w:cs="Arial"/>
          <w:sz w:val="22"/>
          <w:szCs w:val="22"/>
        </w:rPr>
        <w:t xml:space="preserve">The objectives for planning in Victoria listed under Section 4(1) of the </w:t>
      </w:r>
      <w:r w:rsidRPr="00003C05">
        <w:rPr>
          <w:rFonts w:ascii="Arial" w:hAnsi="Arial" w:cs="Arial"/>
          <w:sz w:val="22"/>
          <w:szCs w:val="22"/>
        </w:rPr>
        <w:t>Planning and Environment Act 1987</w:t>
      </w:r>
      <w:r w:rsidRPr="008F7D9C">
        <w:rPr>
          <w:rFonts w:ascii="Arial" w:hAnsi="Arial" w:cs="Arial"/>
          <w:sz w:val="22"/>
          <w:szCs w:val="22"/>
        </w:rPr>
        <w:t xml:space="preserve"> contains the following:</w:t>
      </w:r>
    </w:p>
    <w:p w:rsidR="00003C05" w:rsidRPr="008F7D9C" w:rsidRDefault="00003C05" w:rsidP="00003C05">
      <w:pPr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60" w:after="60"/>
        <w:ind w:left="426" w:hanging="425"/>
        <w:rPr>
          <w:rFonts w:ascii="Arial" w:hAnsi="Arial" w:cs="Arial"/>
          <w:i/>
          <w:sz w:val="22"/>
          <w:szCs w:val="22"/>
        </w:rPr>
      </w:pPr>
      <w:r w:rsidRPr="008F7D9C">
        <w:rPr>
          <w:rFonts w:ascii="Arial" w:hAnsi="Arial" w:cs="Arial"/>
          <w:i/>
          <w:sz w:val="22"/>
          <w:szCs w:val="22"/>
        </w:rPr>
        <w:t xml:space="preserve">to provide for the fair, orderly, economic and sustainable use, and development of </w:t>
      </w:r>
      <w:r>
        <w:rPr>
          <w:rFonts w:ascii="Arial" w:hAnsi="Arial" w:cs="Arial"/>
          <w:i/>
          <w:sz w:val="22"/>
          <w:szCs w:val="22"/>
        </w:rPr>
        <w:tab/>
      </w:r>
      <w:r w:rsidRPr="008F7D9C">
        <w:rPr>
          <w:rFonts w:ascii="Arial" w:hAnsi="Arial" w:cs="Arial"/>
          <w:i/>
          <w:sz w:val="22"/>
          <w:szCs w:val="22"/>
        </w:rPr>
        <w:t>land;</w:t>
      </w:r>
    </w:p>
    <w:p w:rsidR="00003C05" w:rsidRPr="008F7D9C" w:rsidRDefault="00003C05" w:rsidP="00003C05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60"/>
        <w:ind w:left="426" w:hanging="425"/>
        <w:rPr>
          <w:rFonts w:ascii="Arial" w:hAnsi="Arial" w:cs="Arial"/>
          <w:i/>
          <w:sz w:val="22"/>
          <w:szCs w:val="22"/>
        </w:rPr>
      </w:pPr>
      <w:r w:rsidRPr="008F7D9C">
        <w:rPr>
          <w:rFonts w:ascii="Arial" w:hAnsi="Arial" w:cs="Arial"/>
          <w:i/>
          <w:sz w:val="22"/>
          <w:szCs w:val="22"/>
        </w:rPr>
        <w:t xml:space="preserve">to secure a pleasant, efficient and safe working, living and recreational environment </w:t>
      </w:r>
      <w:r>
        <w:rPr>
          <w:rFonts w:ascii="Arial" w:hAnsi="Arial" w:cs="Arial"/>
          <w:i/>
          <w:sz w:val="22"/>
          <w:szCs w:val="22"/>
        </w:rPr>
        <w:tab/>
      </w:r>
      <w:r w:rsidRPr="008F7D9C">
        <w:rPr>
          <w:rFonts w:ascii="Arial" w:hAnsi="Arial" w:cs="Arial"/>
          <w:i/>
          <w:sz w:val="22"/>
          <w:szCs w:val="22"/>
        </w:rPr>
        <w:t>for all Victorians and visitors to Victoria;</w:t>
      </w:r>
    </w:p>
    <w:p w:rsidR="00003C05" w:rsidRPr="008F7D9C" w:rsidRDefault="00003C05" w:rsidP="00003C05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60"/>
        <w:ind w:left="426" w:hanging="425"/>
        <w:rPr>
          <w:rFonts w:ascii="Arial" w:hAnsi="Arial" w:cs="Arial"/>
          <w:i/>
          <w:sz w:val="22"/>
          <w:szCs w:val="22"/>
        </w:rPr>
      </w:pPr>
      <w:r w:rsidRPr="008F7D9C">
        <w:rPr>
          <w:rFonts w:ascii="Arial" w:hAnsi="Arial" w:cs="Arial"/>
          <w:i/>
          <w:sz w:val="22"/>
          <w:szCs w:val="22"/>
        </w:rPr>
        <w:t xml:space="preserve">to facilitate development in accordance with the objectives set out </w:t>
      </w:r>
      <w:r w:rsidRPr="00F72C7D">
        <w:rPr>
          <w:rFonts w:ascii="Arial" w:hAnsi="Arial" w:cs="Arial"/>
          <w:i/>
          <w:sz w:val="22"/>
          <w:szCs w:val="22"/>
        </w:rPr>
        <w:t>[above].</w:t>
      </w:r>
    </w:p>
    <w:p w:rsidR="00003C05" w:rsidRDefault="00003C05" w:rsidP="00003C0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7D9C">
        <w:rPr>
          <w:rFonts w:ascii="Arial" w:hAnsi="Arial" w:cs="Arial"/>
          <w:sz w:val="22"/>
          <w:szCs w:val="22"/>
        </w:rPr>
        <w:t>It is co</w:t>
      </w:r>
      <w:r>
        <w:rPr>
          <w:rFonts w:ascii="Arial" w:hAnsi="Arial" w:cs="Arial"/>
          <w:sz w:val="22"/>
          <w:szCs w:val="22"/>
        </w:rPr>
        <w:t>nsidered that this amendment balances ongoing agricultural activity in rural zones with supporting appropriate non-rural uses that positively contribute to tourist and employment growth.  The amendment also</w:t>
      </w:r>
      <w:r w:rsidR="00D21C3E">
        <w:rPr>
          <w:rFonts w:ascii="Arial" w:hAnsi="Arial" w:cs="Arial"/>
          <w:sz w:val="22"/>
          <w:szCs w:val="22"/>
        </w:rPr>
        <w:t xml:space="preserve"> seeks to ensure that new </w:t>
      </w:r>
      <w:r>
        <w:rPr>
          <w:rFonts w:ascii="Arial" w:hAnsi="Arial" w:cs="Arial"/>
          <w:sz w:val="22"/>
          <w:szCs w:val="22"/>
        </w:rPr>
        <w:t xml:space="preserve">development </w:t>
      </w:r>
      <w:r w:rsidR="00D21C3E">
        <w:rPr>
          <w:rFonts w:ascii="Arial" w:hAnsi="Arial" w:cs="Arial"/>
          <w:sz w:val="22"/>
          <w:szCs w:val="22"/>
        </w:rPr>
        <w:t xml:space="preserve">in rural areas </w:t>
      </w:r>
      <w:r>
        <w:rPr>
          <w:rFonts w:ascii="Arial" w:hAnsi="Arial" w:cs="Arial"/>
          <w:sz w:val="22"/>
          <w:szCs w:val="22"/>
        </w:rPr>
        <w:t>does not compromise valued landscape character and non-urban breaks between towns.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 xml:space="preserve">How does the amendment address </w:t>
      </w:r>
      <w:r w:rsidR="001D012F">
        <w:rPr>
          <w:rFonts w:ascii="Arial" w:hAnsi="Arial" w:cs="Arial"/>
          <w:b/>
          <w:sz w:val="24"/>
          <w:szCs w:val="24"/>
        </w:rPr>
        <w:t>any</w:t>
      </w:r>
      <w:r w:rsidRPr="009D3179">
        <w:rPr>
          <w:rFonts w:ascii="Arial" w:hAnsi="Arial" w:cs="Arial"/>
          <w:b/>
          <w:sz w:val="24"/>
          <w:szCs w:val="24"/>
        </w:rPr>
        <w:t xml:space="preserve"> environ</w:t>
      </w:r>
      <w:r w:rsidR="001D012F">
        <w:rPr>
          <w:rFonts w:ascii="Arial" w:hAnsi="Arial" w:cs="Arial"/>
          <w:b/>
          <w:sz w:val="24"/>
          <w:szCs w:val="24"/>
        </w:rPr>
        <w:t xml:space="preserve">mental, </w:t>
      </w:r>
      <w:r w:rsidRPr="009D3179">
        <w:rPr>
          <w:rFonts w:ascii="Arial" w:hAnsi="Arial" w:cs="Arial"/>
          <w:b/>
          <w:sz w:val="24"/>
          <w:szCs w:val="24"/>
        </w:rPr>
        <w:t>social and economic effects?</w:t>
      </w:r>
    </w:p>
    <w:p w:rsidR="00717C15" w:rsidRDefault="009D3179" w:rsidP="001917E6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No adverse environmental effects are foreseen as a consequence of this amendment. The </w:t>
      </w:r>
      <w:r w:rsidR="00717C15">
        <w:rPr>
          <w:rFonts w:ascii="Arial" w:hAnsi="Arial" w:cs="Arial"/>
          <w:snapToGrid w:val="0"/>
          <w:sz w:val="22"/>
          <w:szCs w:val="22"/>
          <w:lang w:eastAsia="en-US"/>
        </w:rPr>
        <w:t>amendment retains support for the preservation of the productive capacity of land. It also recognises the need to protect rural landscape character and the diversity of natural, environmental an</w:t>
      </w:r>
      <w:r w:rsidR="00DE1F10">
        <w:rPr>
          <w:rFonts w:ascii="Arial" w:hAnsi="Arial" w:cs="Arial"/>
          <w:snapToGrid w:val="0"/>
          <w:sz w:val="22"/>
          <w:szCs w:val="22"/>
          <w:lang w:eastAsia="en-US"/>
        </w:rPr>
        <w:t xml:space="preserve">d scenic assets of importance. </w:t>
      </w:r>
    </w:p>
    <w:p w:rsidR="00DE1F10" w:rsidRDefault="0093423B" w:rsidP="001917E6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lastRenderedPageBreak/>
        <w:t xml:space="preserve">In terms of social impacts </w:t>
      </w:r>
      <w:r w:rsidR="00DE1F10">
        <w:rPr>
          <w:rFonts w:ascii="Arial" w:hAnsi="Arial" w:cs="Arial"/>
          <w:snapToGrid w:val="0"/>
          <w:sz w:val="22"/>
          <w:szCs w:val="22"/>
          <w:lang w:eastAsia="en-US"/>
        </w:rPr>
        <w:t xml:space="preserve">the amendment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allows farmers to continue to live on and use their land. The amendment also promotes food security and the retention of a local produce market. </w:t>
      </w:r>
      <w:r w:rsidR="00DE1F10">
        <w:rPr>
          <w:rFonts w:ascii="Arial" w:hAnsi="Arial" w:cs="Arial"/>
          <w:snapToGrid w:val="0"/>
          <w:sz w:val="22"/>
          <w:szCs w:val="22"/>
          <w:lang w:eastAsia="en-US"/>
        </w:rPr>
        <w:t xml:space="preserve">Clause 22.64 ensures that </w:t>
      </w:r>
      <w:r w:rsidR="00A97148">
        <w:rPr>
          <w:rFonts w:ascii="Arial" w:hAnsi="Arial" w:cs="Arial"/>
          <w:snapToGrid w:val="0"/>
          <w:sz w:val="22"/>
          <w:szCs w:val="22"/>
          <w:lang w:eastAsia="en-US"/>
        </w:rPr>
        <w:t xml:space="preserve">non agricultural uses that attract significant numbers of visitors, traffic demand and car parking </w:t>
      </w:r>
      <w:r w:rsidR="00DE1F10">
        <w:rPr>
          <w:rFonts w:ascii="Arial" w:hAnsi="Arial" w:cs="Arial"/>
          <w:snapToGrid w:val="0"/>
          <w:sz w:val="22"/>
          <w:szCs w:val="22"/>
          <w:lang w:eastAsia="en-US"/>
        </w:rPr>
        <w:t xml:space="preserve">are provided in urban areas where </w:t>
      </w:r>
      <w:r w:rsidR="00A97148">
        <w:rPr>
          <w:rFonts w:ascii="Arial" w:hAnsi="Arial" w:cs="Arial"/>
          <w:snapToGrid w:val="0"/>
          <w:sz w:val="22"/>
          <w:szCs w:val="22"/>
          <w:lang w:eastAsia="en-US"/>
        </w:rPr>
        <w:t xml:space="preserve">there are appropriate services and transport connectivity. Amended Clause 22.06 seeks to </w:t>
      </w:r>
      <w:r w:rsidR="00D11373">
        <w:rPr>
          <w:rFonts w:ascii="Arial" w:hAnsi="Arial" w:cs="Arial"/>
          <w:snapToGrid w:val="0"/>
          <w:sz w:val="22"/>
          <w:szCs w:val="22"/>
          <w:lang w:eastAsia="en-US"/>
        </w:rPr>
        <w:t xml:space="preserve">ensure camping and caravan parks do not provide for long term housing options that could lead to poor social outcomes and community connectivity. </w:t>
      </w:r>
    </w:p>
    <w:p w:rsidR="00DE1F10" w:rsidRDefault="00485B59" w:rsidP="00957D2E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The amendment acknowledges the important economic contribution </w:t>
      </w:r>
      <w:r w:rsidR="00D41571">
        <w:rPr>
          <w:rFonts w:ascii="Arial" w:hAnsi="Arial" w:cs="Arial"/>
          <w:snapToGrid w:val="0"/>
          <w:sz w:val="22"/>
          <w:szCs w:val="22"/>
          <w:lang w:eastAsia="en-US"/>
        </w:rPr>
        <w:t>of agricultural production to</w:t>
      </w:r>
      <w:r w:rsidR="00957D2E">
        <w:rPr>
          <w:rFonts w:ascii="Arial" w:hAnsi="Arial" w:cs="Arial"/>
          <w:snapToGrid w:val="0"/>
          <w:sz w:val="22"/>
          <w:szCs w:val="22"/>
          <w:lang w:eastAsia="en-US"/>
        </w:rPr>
        <w:t xml:space="preserve"> the City’</w:t>
      </w:r>
      <w:r w:rsidR="00D41571">
        <w:rPr>
          <w:rFonts w:ascii="Arial" w:hAnsi="Arial" w:cs="Arial"/>
          <w:snapToGrid w:val="0"/>
          <w:sz w:val="22"/>
          <w:szCs w:val="22"/>
          <w:lang w:eastAsia="en-US"/>
        </w:rPr>
        <w:t>s rural communities,</w:t>
      </w:r>
      <w:r w:rsidR="00957D2E">
        <w:rPr>
          <w:rFonts w:ascii="Arial" w:hAnsi="Arial" w:cs="Arial"/>
          <w:snapToGrid w:val="0"/>
          <w:sz w:val="22"/>
          <w:szCs w:val="22"/>
          <w:lang w:eastAsia="en-US"/>
        </w:rPr>
        <w:t xml:space="preserve"> while continuing </w:t>
      </w:r>
      <w:r w:rsidR="00DE1F10" w:rsidRPr="00957D2E">
        <w:rPr>
          <w:rFonts w:ascii="Arial" w:hAnsi="Arial" w:cs="Arial"/>
          <w:snapToGrid w:val="0"/>
          <w:sz w:val="22"/>
          <w:szCs w:val="22"/>
          <w:lang w:eastAsia="en-US"/>
        </w:rPr>
        <w:t>to supp</w:t>
      </w:r>
      <w:r w:rsidR="00957D2E" w:rsidRPr="00957D2E">
        <w:rPr>
          <w:rFonts w:ascii="Arial" w:hAnsi="Arial" w:cs="Arial"/>
          <w:snapToGrid w:val="0"/>
          <w:sz w:val="22"/>
          <w:szCs w:val="22"/>
          <w:lang w:eastAsia="en-US"/>
        </w:rPr>
        <w:t>ort and grow the tourism sector. The new policies seek to ensure that</w:t>
      </w:r>
      <w:r w:rsidR="00DE1F10" w:rsidRPr="00957D2E">
        <w:rPr>
          <w:rFonts w:ascii="Arial" w:hAnsi="Arial" w:cs="Arial"/>
          <w:snapToGrid w:val="0"/>
          <w:sz w:val="22"/>
          <w:szCs w:val="22"/>
          <w:lang w:eastAsia="en-US"/>
        </w:rPr>
        <w:t xml:space="preserve"> the impacts </w:t>
      </w:r>
      <w:r w:rsidR="00957D2E" w:rsidRPr="00957D2E">
        <w:rPr>
          <w:rFonts w:ascii="Arial" w:hAnsi="Arial" w:cs="Arial"/>
          <w:snapToGrid w:val="0"/>
          <w:sz w:val="22"/>
          <w:szCs w:val="22"/>
          <w:lang w:eastAsia="en-US"/>
        </w:rPr>
        <w:t xml:space="preserve">of non-farming uses </w:t>
      </w:r>
      <w:r w:rsidR="00DE1F10" w:rsidRPr="00957D2E">
        <w:rPr>
          <w:rFonts w:ascii="Arial" w:hAnsi="Arial" w:cs="Arial"/>
          <w:snapToGrid w:val="0"/>
          <w:sz w:val="22"/>
          <w:szCs w:val="22"/>
          <w:lang w:eastAsia="en-US"/>
        </w:rPr>
        <w:t>are appropriately managed, and that the rural character is maintained in a manner that encourages tourism.</w:t>
      </w:r>
      <w:r w:rsidR="00DE1F10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napToGrid w:val="0"/>
          <w:sz w:val="24"/>
          <w:szCs w:val="24"/>
          <w:lang w:eastAsia="en-US"/>
        </w:rPr>
      </w:pPr>
      <w:r w:rsidRPr="009D3179">
        <w:rPr>
          <w:rFonts w:ascii="Arial" w:hAnsi="Arial" w:cs="Arial"/>
          <w:b/>
          <w:snapToGrid w:val="0"/>
          <w:sz w:val="24"/>
          <w:szCs w:val="24"/>
          <w:lang w:eastAsia="en-US"/>
        </w:rPr>
        <w:t xml:space="preserve">Does the amendment address relevant bushfire risks? </w:t>
      </w:r>
    </w:p>
    <w:p w:rsidR="009D3179" w:rsidRPr="009D3179" w:rsidRDefault="009D3179" w:rsidP="001917E6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There are no relevant bushfire risks as a result of the proposed amendment.</w:t>
      </w:r>
      <w:r w:rsidR="00ED2CDC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ED2CDC" w:rsidRPr="005C0938">
        <w:rPr>
          <w:rFonts w:ascii="Arial" w:hAnsi="Arial" w:cs="Arial"/>
          <w:snapToGrid w:val="0"/>
          <w:sz w:val="22"/>
          <w:szCs w:val="22"/>
          <w:lang w:eastAsia="en-US"/>
        </w:rPr>
        <w:t>Develop</w:t>
      </w:r>
      <w:r w:rsidR="007C2BBA">
        <w:rPr>
          <w:rFonts w:ascii="Arial" w:hAnsi="Arial" w:cs="Arial"/>
          <w:snapToGrid w:val="0"/>
          <w:sz w:val="22"/>
          <w:szCs w:val="22"/>
          <w:lang w:eastAsia="en-US"/>
        </w:rPr>
        <w:t>ment in bushfire prone areas is</w:t>
      </w:r>
      <w:r w:rsidR="00ED2CDC" w:rsidRPr="005C0938">
        <w:rPr>
          <w:rFonts w:ascii="Arial" w:hAnsi="Arial" w:cs="Arial"/>
          <w:snapToGrid w:val="0"/>
          <w:sz w:val="22"/>
          <w:szCs w:val="22"/>
          <w:lang w:eastAsia="en-US"/>
        </w:rPr>
        <w:t xml:space="preserve"> addressed through the Bushfire Management Overlay and permit applications, where relevant.</w:t>
      </w:r>
      <w:r w:rsidR="00ED2CDC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Does the amendment comply with the requirements of any Minister’s Direction applicable to the amendment?</w:t>
      </w:r>
    </w:p>
    <w:p w:rsidR="007C2BBA" w:rsidRDefault="009D3179" w:rsidP="001917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7C2BBA">
        <w:rPr>
          <w:rFonts w:ascii="Arial" w:hAnsi="Arial" w:cs="Arial"/>
          <w:sz w:val="22"/>
          <w:szCs w:val="22"/>
        </w:rPr>
        <w:t xml:space="preserve"> </w:t>
      </w:r>
      <w:r w:rsidR="007C2BBA" w:rsidRPr="0041261A">
        <w:rPr>
          <w:rFonts w:ascii="Arial" w:hAnsi="Arial" w:cs="Arial"/>
          <w:sz w:val="22"/>
          <w:szCs w:val="22"/>
        </w:rPr>
        <w:t>amendment is consistent with the Ministerial Direction on the Form and Content of Planning Schemes under Section 7(5) of the Act</w:t>
      </w:r>
      <w:r w:rsidR="007C2BBA">
        <w:rPr>
          <w:rFonts w:ascii="Arial" w:hAnsi="Arial" w:cs="Arial"/>
          <w:sz w:val="22"/>
          <w:szCs w:val="22"/>
        </w:rPr>
        <w:t xml:space="preserve"> and</w:t>
      </w:r>
      <w:r w:rsidR="007C2BBA" w:rsidRPr="0041261A">
        <w:rPr>
          <w:rFonts w:ascii="Arial" w:hAnsi="Arial" w:cs="Arial"/>
          <w:sz w:val="22"/>
          <w:szCs w:val="22"/>
        </w:rPr>
        <w:t xml:space="preserve"> complies with Ministerial Direction 11 – Strategic Assessment of Amendments. </w:t>
      </w:r>
    </w:p>
    <w:p w:rsidR="00485B59" w:rsidRPr="00485B59" w:rsidRDefault="007C2BBA" w:rsidP="001D012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Ministerial Direction No. 17 requires planning authorities to have regard to the adopted </w:t>
      </w:r>
      <w:r w:rsidRPr="00485B59">
        <w:rPr>
          <w:rFonts w:ascii="Arial" w:hAnsi="Arial" w:cs="Arial"/>
          <w:i/>
          <w:sz w:val="22"/>
          <w:szCs w:val="22"/>
        </w:rPr>
        <w:t>Bellarine Peninsula Localised Planning Statement</w:t>
      </w:r>
      <w:r>
        <w:rPr>
          <w:rFonts w:ascii="Arial" w:hAnsi="Arial" w:cs="Arial"/>
          <w:sz w:val="22"/>
          <w:szCs w:val="22"/>
        </w:rPr>
        <w:t xml:space="preserve"> (Victorian Government 2015) when preparing a planning scheme amendment affecting land on the Bellarine.</w:t>
      </w:r>
      <w:r w:rsidR="00485B59">
        <w:rPr>
          <w:rFonts w:ascii="Arial" w:hAnsi="Arial" w:cs="Arial"/>
          <w:sz w:val="22"/>
          <w:szCs w:val="22"/>
        </w:rPr>
        <w:t xml:space="preserve"> The Bellarine contains land zoned Farming and Rural Conservation, to which this amendment applies. </w:t>
      </w:r>
      <w:r w:rsidRPr="00485B59">
        <w:rPr>
          <w:rFonts w:ascii="Arial" w:hAnsi="Arial" w:cs="Arial"/>
          <w:sz w:val="22"/>
          <w:szCs w:val="22"/>
        </w:rPr>
        <w:t xml:space="preserve">The amendment accords with the Statement by </w:t>
      </w:r>
      <w:r w:rsidR="00485B59" w:rsidRPr="00485B59">
        <w:rPr>
          <w:rFonts w:ascii="Arial" w:hAnsi="Arial" w:cs="Arial"/>
          <w:sz w:val="22"/>
          <w:szCs w:val="22"/>
        </w:rPr>
        <w:t xml:space="preserve">promoting discretionary uses and development that support and are consistent with the areas valued scenic attributes, established agricultural activity and natural tourism advantages.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napToGrid w:val="0"/>
          <w:sz w:val="24"/>
          <w:szCs w:val="24"/>
          <w:lang w:eastAsia="en-US"/>
        </w:rPr>
      </w:pPr>
      <w:r w:rsidRPr="009D3179">
        <w:rPr>
          <w:rFonts w:ascii="Arial" w:hAnsi="Arial" w:cs="Arial"/>
          <w:b/>
          <w:sz w:val="24"/>
          <w:szCs w:val="24"/>
        </w:rPr>
        <w:t>How does the amendment support or implement the State Planning Policy</w:t>
      </w:r>
      <w:r>
        <w:rPr>
          <w:rFonts w:ascii="Arial" w:hAnsi="Arial" w:cs="Arial"/>
          <w:b/>
          <w:sz w:val="24"/>
          <w:szCs w:val="24"/>
        </w:rPr>
        <w:t xml:space="preserve"> Framework and any adopted State policy?</w:t>
      </w:r>
    </w:p>
    <w:p w:rsidR="009D3179" w:rsidRDefault="009D3179" w:rsidP="001917E6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The amendment is consistent with, and gives effect to, the State Planning</w:t>
      </w:r>
      <w:r w:rsidR="00FA3807">
        <w:rPr>
          <w:rFonts w:ascii="Arial" w:hAnsi="Arial" w:cs="Arial"/>
          <w:snapToGrid w:val="0"/>
          <w:sz w:val="22"/>
          <w:szCs w:val="22"/>
          <w:lang w:eastAsia="en-US"/>
        </w:rPr>
        <w:t xml:space="preserve"> P</w:t>
      </w:r>
      <w:r w:rsidR="00691B72">
        <w:rPr>
          <w:rFonts w:ascii="Arial" w:hAnsi="Arial" w:cs="Arial"/>
          <w:snapToGrid w:val="0"/>
          <w:sz w:val="22"/>
          <w:szCs w:val="22"/>
          <w:lang w:eastAsia="en-US"/>
        </w:rPr>
        <w:t xml:space="preserve">olicy Framework (SPPF), including the following clauses: </w:t>
      </w:r>
    </w:p>
    <w:p w:rsidR="00D222C7" w:rsidRDefault="00D222C7" w:rsidP="001917E6">
      <w:pPr>
        <w:numPr>
          <w:ilvl w:val="0"/>
          <w:numId w:val="20"/>
        </w:num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Clause 11</w:t>
      </w:r>
      <w:r w:rsidR="00EE24B3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– </w:t>
      </w:r>
      <w:r w:rsidR="00EE24B3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Settlement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in terms of regional growth for Geelong where it will ens</w:t>
      </w:r>
      <w:r w:rsidR="0068359C">
        <w:rPr>
          <w:rFonts w:ascii="Arial" w:hAnsi="Arial" w:cs="Arial"/>
          <w:snapToGrid w:val="0"/>
          <w:sz w:val="22"/>
          <w:szCs w:val="22"/>
          <w:lang w:eastAsia="en-US"/>
        </w:rPr>
        <w:t>ure rural breaks between towns are maintained, agricultural productivity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 xml:space="preserve"> is protected</w:t>
      </w:r>
      <w:r w:rsidR="0068359C">
        <w:rPr>
          <w:rFonts w:ascii="Arial" w:hAnsi="Arial" w:cs="Arial"/>
          <w:snapToGrid w:val="0"/>
          <w:sz w:val="22"/>
          <w:szCs w:val="22"/>
          <w:lang w:eastAsia="en-US"/>
        </w:rPr>
        <w:t xml:space="preserve">, and 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 xml:space="preserve">it </w:t>
      </w:r>
      <w:r w:rsidR="0068359C">
        <w:rPr>
          <w:rFonts w:ascii="Arial" w:hAnsi="Arial" w:cs="Arial"/>
          <w:snapToGrid w:val="0"/>
          <w:sz w:val="22"/>
          <w:szCs w:val="22"/>
          <w:lang w:eastAsia="en-US"/>
        </w:rPr>
        <w:t>seeks to pr</w:t>
      </w:r>
      <w:r w:rsidR="00691B72">
        <w:rPr>
          <w:rFonts w:ascii="Arial" w:hAnsi="Arial" w:cs="Arial"/>
          <w:snapToGrid w:val="0"/>
          <w:sz w:val="22"/>
          <w:szCs w:val="22"/>
          <w:lang w:eastAsia="en-US"/>
        </w:rPr>
        <w:t>ovide for a diversified economy;</w:t>
      </w:r>
      <w:r w:rsidR="0068359C">
        <w:rPr>
          <w:rFonts w:ascii="Arial" w:hAnsi="Arial" w:cs="Arial"/>
          <w:snapToGrid w:val="0"/>
          <w:sz w:val="22"/>
          <w:szCs w:val="22"/>
          <w:lang w:eastAsia="en-US"/>
        </w:rPr>
        <w:t xml:space="preserve"> including tourism and agricultural </w:t>
      </w:r>
      <w:r w:rsidR="00471C22">
        <w:rPr>
          <w:rFonts w:ascii="Arial" w:hAnsi="Arial" w:cs="Arial"/>
          <w:snapToGrid w:val="0"/>
          <w:sz w:val="22"/>
          <w:szCs w:val="22"/>
          <w:lang w:eastAsia="en-US"/>
        </w:rPr>
        <w:t xml:space="preserve">land resources. 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Specifically,</w:t>
      </w:r>
      <w:r w:rsidR="007D4E26">
        <w:rPr>
          <w:rFonts w:ascii="Arial" w:hAnsi="Arial" w:cs="Arial"/>
          <w:snapToGrid w:val="0"/>
          <w:sz w:val="22"/>
          <w:szCs w:val="22"/>
          <w:lang w:eastAsia="en-US"/>
        </w:rPr>
        <w:t xml:space="preserve"> the amendment is consistent with Clause 11.14 which seeks to protect and enhance the valued attributes of the Bellarine Peninsula under the </w:t>
      </w:r>
      <w:r w:rsidR="007D4E26" w:rsidRPr="007D4E26">
        <w:rPr>
          <w:rFonts w:ascii="Arial" w:hAnsi="Arial" w:cs="Arial"/>
          <w:i/>
          <w:snapToGrid w:val="0"/>
          <w:sz w:val="22"/>
          <w:szCs w:val="22"/>
          <w:lang w:eastAsia="en-US"/>
        </w:rPr>
        <w:t>Bellarine Peninsula Localised Planning Statement</w:t>
      </w:r>
      <w:r w:rsidR="007D4E26">
        <w:rPr>
          <w:rFonts w:ascii="Arial" w:hAnsi="Arial" w:cs="Arial"/>
          <w:snapToGrid w:val="0"/>
          <w:sz w:val="22"/>
          <w:szCs w:val="22"/>
          <w:lang w:eastAsia="en-US"/>
        </w:rPr>
        <w:t xml:space="preserve">. </w:t>
      </w:r>
    </w:p>
    <w:p w:rsidR="00A507EC" w:rsidRDefault="0068359C" w:rsidP="001917E6">
      <w:pPr>
        <w:numPr>
          <w:ilvl w:val="0"/>
          <w:numId w:val="20"/>
        </w:num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Clause 12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 -</w:t>
      </w: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Environment</w:t>
      </w:r>
      <w:r w:rsidR="00EE24B3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 and Landscape Values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 w:rsidR="00EE24B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as it will ensure the protection of </w:t>
      </w:r>
      <w:r w:rsidR="00A507EC">
        <w:rPr>
          <w:rFonts w:ascii="Arial" w:hAnsi="Arial" w:cs="Arial"/>
          <w:snapToGrid w:val="0"/>
          <w:sz w:val="22"/>
          <w:szCs w:val="22"/>
          <w:lang w:eastAsia="en-US"/>
        </w:rPr>
        <w:t xml:space="preserve">coastal areas and coastal biodiversity and ecological areas. The amendment will ensure that tourism developments demonstrate an accommodation need at an appropriate scale and intensity. </w:t>
      </w:r>
      <w:r w:rsidR="003A6624">
        <w:rPr>
          <w:rFonts w:ascii="Arial" w:hAnsi="Arial" w:cs="Arial"/>
          <w:snapToGrid w:val="0"/>
          <w:sz w:val="22"/>
          <w:szCs w:val="22"/>
          <w:lang w:eastAsia="en-US"/>
        </w:rPr>
        <w:t xml:space="preserve">It will also protect landscapes and significant open spaces. </w:t>
      </w:r>
    </w:p>
    <w:p w:rsidR="00B645E6" w:rsidRDefault="00B645E6" w:rsidP="001917E6">
      <w:pPr>
        <w:numPr>
          <w:ilvl w:val="0"/>
          <w:numId w:val="20"/>
        </w:num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Clause 13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- </w:t>
      </w:r>
      <w:r w:rsidR="00EE24B3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Environmental Risks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 w:rsidR="00EE24B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in that it will assist the control on noise effects on sensitive land uses and the protection and improvement of air quality. </w:t>
      </w:r>
    </w:p>
    <w:p w:rsidR="00B645E6" w:rsidRDefault="00B645E6" w:rsidP="001917E6">
      <w:pPr>
        <w:numPr>
          <w:ilvl w:val="0"/>
          <w:numId w:val="20"/>
        </w:num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Clause 14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- </w:t>
      </w:r>
      <w:r w:rsidR="00EE24B3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Natural and Resource Management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 w:rsidR="00EE24B3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>as it will protect productive farmland of local strategic importance and encourages the susta</w:t>
      </w:r>
      <w:r w:rsidR="00EE24B3">
        <w:rPr>
          <w:rFonts w:ascii="Arial" w:hAnsi="Arial" w:cs="Arial"/>
          <w:snapToGrid w:val="0"/>
          <w:sz w:val="22"/>
          <w:szCs w:val="22"/>
          <w:lang w:eastAsia="en-US"/>
        </w:rPr>
        <w:t xml:space="preserve">inable use of agricultural land. </w:t>
      </w:r>
    </w:p>
    <w:p w:rsidR="00EE24B3" w:rsidRDefault="00EE24B3" w:rsidP="001917E6">
      <w:pPr>
        <w:numPr>
          <w:ilvl w:val="0"/>
          <w:numId w:val="20"/>
        </w:num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Clause 17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- </w:t>
      </w: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Economic Development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076D1A">
        <w:rPr>
          <w:rFonts w:ascii="Arial" w:hAnsi="Arial" w:cs="Arial"/>
          <w:snapToGrid w:val="0"/>
          <w:sz w:val="22"/>
          <w:szCs w:val="22"/>
          <w:lang w:eastAsia="en-US"/>
        </w:rPr>
        <w:t>in that it supports tourism development, including a range of well designed and sited tourist facilities that are compatible with and build on the assets and qualities of surrounding rural activities and cu</w:t>
      </w:r>
      <w:r w:rsidR="007B4951">
        <w:rPr>
          <w:rFonts w:ascii="Arial" w:hAnsi="Arial" w:cs="Arial"/>
          <w:snapToGrid w:val="0"/>
          <w:sz w:val="22"/>
          <w:szCs w:val="22"/>
          <w:lang w:eastAsia="en-US"/>
        </w:rPr>
        <w:t xml:space="preserve">ltural and natural attractions. </w:t>
      </w:r>
      <w:r w:rsidR="00C029AE">
        <w:rPr>
          <w:rFonts w:ascii="Arial" w:hAnsi="Arial" w:cs="Arial"/>
          <w:snapToGrid w:val="0"/>
          <w:sz w:val="22"/>
          <w:szCs w:val="22"/>
          <w:lang w:eastAsia="en-US"/>
        </w:rPr>
        <w:t>The amendment also reinforces the need to ensure an a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dequate supply of Industry and c</w:t>
      </w:r>
      <w:r w:rsidR="00C029AE">
        <w:rPr>
          <w:rFonts w:ascii="Arial" w:hAnsi="Arial" w:cs="Arial"/>
          <w:snapToGrid w:val="0"/>
          <w:sz w:val="22"/>
          <w:szCs w:val="22"/>
          <w:lang w:eastAsia="en-US"/>
        </w:rPr>
        <w:t>ommercial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 xml:space="preserve"> land</w:t>
      </w:r>
      <w:r w:rsidR="00C029AE">
        <w:rPr>
          <w:rFonts w:ascii="Arial" w:hAnsi="Arial" w:cs="Arial"/>
          <w:snapToGrid w:val="0"/>
          <w:sz w:val="22"/>
          <w:szCs w:val="22"/>
          <w:lang w:eastAsia="en-US"/>
        </w:rPr>
        <w:t xml:space="preserve"> is provided in appropriate locations in urban areas. </w:t>
      </w:r>
    </w:p>
    <w:p w:rsidR="00EE24B3" w:rsidRDefault="00AC78EF" w:rsidP="00986DA4">
      <w:pPr>
        <w:numPr>
          <w:ilvl w:val="0"/>
          <w:numId w:val="20"/>
        </w:numPr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Clause </w:t>
      </w:r>
      <w:r w:rsidR="007B4951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18 </w:t>
      </w:r>
      <w:r w:rsidR="009E6BC2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 xml:space="preserve">– </w:t>
      </w:r>
      <w:r w:rsidR="007B4951" w:rsidRPr="009E6BC2">
        <w:rPr>
          <w:rFonts w:ascii="Arial" w:hAnsi="Arial" w:cs="Arial"/>
          <w:snapToGrid w:val="0"/>
          <w:sz w:val="22"/>
          <w:szCs w:val="22"/>
          <w:u w:val="single"/>
          <w:lang w:eastAsia="en-US"/>
        </w:rPr>
        <w:t>Transport</w:t>
      </w:r>
      <w:r w:rsidR="009E6BC2">
        <w:rPr>
          <w:rFonts w:ascii="Arial" w:hAnsi="Arial" w:cs="Arial"/>
          <w:snapToGrid w:val="0"/>
          <w:sz w:val="22"/>
          <w:szCs w:val="22"/>
          <w:lang w:eastAsia="en-US"/>
        </w:rPr>
        <w:t>,</w:t>
      </w:r>
      <w:r w:rsidR="007B4951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691B72">
        <w:rPr>
          <w:rFonts w:ascii="Arial" w:hAnsi="Arial" w:cs="Arial"/>
          <w:snapToGrid w:val="0"/>
          <w:sz w:val="22"/>
          <w:szCs w:val="22"/>
          <w:lang w:eastAsia="en-US"/>
        </w:rPr>
        <w:t>whereby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new Clause 22.64 seeks to discourage</w:t>
      </w:r>
      <w:r w:rsidR="002B5AA2">
        <w:rPr>
          <w:rFonts w:ascii="Arial" w:hAnsi="Arial" w:cs="Arial"/>
          <w:snapToGrid w:val="0"/>
          <w:sz w:val="22"/>
          <w:szCs w:val="22"/>
          <w:lang w:eastAsia="en-US"/>
        </w:rPr>
        <w:t xml:space="preserve"> non-rural uses from rural areas that would attract significant numbers of visitors and traffic a car parking demand and are generally incompatible with farming activities and should be directed to urban areas. This includes community infrastructure and education facilities uses that should be located in </w:t>
      </w:r>
      <w:r w:rsidR="00691B72">
        <w:rPr>
          <w:rFonts w:ascii="Arial" w:hAnsi="Arial" w:cs="Arial"/>
          <w:snapToGrid w:val="0"/>
          <w:sz w:val="22"/>
          <w:szCs w:val="22"/>
          <w:lang w:eastAsia="en-US"/>
        </w:rPr>
        <w:t xml:space="preserve">urban </w:t>
      </w:r>
      <w:r w:rsidR="002B5AA2">
        <w:rPr>
          <w:rFonts w:ascii="Arial" w:hAnsi="Arial" w:cs="Arial"/>
          <w:snapToGrid w:val="0"/>
          <w:sz w:val="22"/>
          <w:szCs w:val="22"/>
          <w:lang w:eastAsia="en-US"/>
        </w:rPr>
        <w:t xml:space="preserve">areas that maximise </w:t>
      </w:r>
      <w:r w:rsidR="004A42FA">
        <w:rPr>
          <w:rFonts w:ascii="Arial" w:hAnsi="Arial" w:cs="Arial"/>
          <w:snapToGrid w:val="0"/>
          <w:sz w:val="22"/>
          <w:szCs w:val="22"/>
          <w:lang w:eastAsia="en-US"/>
        </w:rPr>
        <w:t>w</w:t>
      </w:r>
      <w:r w:rsidR="00A515B0">
        <w:rPr>
          <w:rFonts w:ascii="Arial" w:hAnsi="Arial" w:cs="Arial"/>
          <w:snapToGrid w:val="0"/>
          <w:sz w:val="22"/>
          <w:szCs w:val="22"/>
          <w:lang w:eastAsia="en-US"/>
        </w:rPr>
        <w:t>alking and cycling</w:t>
      </w:r>
      <w:r w:rsidR="002B5AA2">
        <w:rPr>
          <w:rFonts w:ascii="Arial" w:hAnsi="Arial" w:cs="Arial"/>
          <w:snapToGrid w:val="0"/>
          <w:sz w:val="22"/>
          <w:szCs w:val="22"/>
          <w:lang w:eastAsia="en-US"/>
        </w:rPr>
        <w:t xml:space="preserve"> consistent with Clause 19 Infrastructure</w:t>
      </w:r>
      <w:r w:rsidR="00A515B0">
        <w:rPr>
          <w:rFonts w:ascii="Arial" w:hAnsi="Arial" w:cs="Arial"/>
          <w:snapToGrid w:val="0"/>
          <w:sz w:val="22"/>
          <w:szCs w:val="22"/>
          <w:lang w:eastAsia="en-US"/>
        </w:rPr>
        <w:t xml:space="preserve">.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napToGrid w:val="0"/>
          <w:sz w:val="24"/>
          <w:szCs w:val="24"/>
          <w:lang w:eastAsia="en-US"/>
        </w:rPr>
      </w:pPr>
      <w:r w:rsidRPr="009D3179">
        <w:rPr>
          <w:rFonts w:ascii="Arial" w:hAnsi="Arial" w:cs="Arial"/>
          <w:b/>
          <w:snapToGrid w:val="0"/>
          <w:sz w:val="24"/>
          <w:szCs w:val="24"/>
          <w:lang w:eastAsia="en-US"/>
        </w:rPr>
        <w:t>How does the amendment support or implement the Local Planning Policy Framework, and specifically the Municipal Strategic Statement?</w:t>
      </w:r>
    </w:p>
    <w:p w:rsidR="009D3179" w:rsidRDefault="00210875" w:rsidP="00986D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makes changes to the Local Planning Policy Framework to ensure the relevant provisions align with amended Clause 22.06 and new Clause 22.64. </w:t>
      </w:r>
      <w:r w:rsidR="009D3179">
        <w:rPr>
          <w:rFonts w:ascii="Arial" w:hAnsi="Arial" w:cs="Arial"/>
          <w:sz w:val="22"/>
          <w:szCs w:val="22"/>
        </w:rPr>
        <w:t xml:space="preserve">The </w:t>
      </w:r>
      <w:r w:rsidR="002A6203">
        <w:rPr>
          <w:rFonts w:ascii="Arial" w:hAnsi="Arial" w:cs="Arial"/>
          <w:sz w:val="22"/>
          <w:szCs w:val="22"/>
        </w:rPr>
        <w:t>amendment is co</w:t>
      </w:r>
      <w:r w:rsidR="00F20410">
        <w:rPr>
          <w:rFonts w:ascii="Arial" w:hAnsi="Arial" w:cs="Arial"/>
          <w:sz w:val="22"/>
          <w:szCs w:val="22"/>
        </w:rPr>
        <w:t>nsistent with</w:t>
      </w:r>
      <w:r w:rsidR="007C2BBA">
        <w:rPr>
          <w:rFonts w:ascii="Arial" w:hAnsi="Arial" w:cs="Arial"/>
          <w:sz w:val="22"/>
          <w:szCs w:val="22"/>
        </w:rPr>
        <w:t xml:space="preserve"> the following </w:t>
      </w:r>
      <w:r w:rsidR="002A6203">
        <w:rPr>
          <w:rFonts w:ascii="Arial" w:hAnsi="Arial" w:cs="Arial"/>
          <w:sz w:val="22"/>
          <w:szCs w:val="22"/>
        </w:rPr>
        <w:t xml:space="preserve">clauses of the </w:t>
      </w:r>
      <w:r w:rsidR="009D317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ocal Planning Policy Framework: </w:t>
      </w:r>
    </w:p>
    <w:p w:rsidR="0061537D" w:rsidRPr="009E6BC2" w:rsidRDefault="0061537D" w:rsidP="0037246C">
      <w:pPr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9E6BC2">
        <w:rPr>
          <w:rFonts w:ascii="Arial" w:hAnsi="Arial" w:cs="Arial"/>
          <w:sz w:val="22"/>
          <w:szCs w:val="22"/>
          <w:u w:val="single"/>
        </w:rPr>
        <w:t xml:space="preserve">Clause 21.07 </w:t>
      </w:r>
      <w:r w:rsidR="009E6BC2" w:rsidRPr="009E6BC2">
        <w:rPr>
          <w:rFonts w:ascii="Arial" w:hAnsi="Arial" w:cs="Arial"/>
          <w:sz w:val="22"/>
          <w:szCs w:val="22"/>
          <w:u w:val="single"/>
        </w:rPr>
        <w:t xml:space="preserve">- </w:t>
      </w:r>
      <w:r w:rsidRPr="009E6BC2">
        <w:rPr>
          <w:rFonts w:ascii="Arial" w:hAnsi="Arial" w:cs="Arial"/>
          <w:sz w:val="22"/>
          <w:szCs w:val="22"/>
          <w:u w:val="single"/>
        </w:rPr>
        <w:t xml:space="preserve">Economic Development and Employment. </w:t>
      </w:r>
    </w:p>
    <w:p w:rsidR="00986DA4" w:rsidRDefault="0064374A" w:rsidP="00986D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25DE4">
        <w:rPr>
          <w:rFonts w:ascii="Arial" w:hAnsi="Arial" w:cs="Arial"/>
          <w:sz w:val="22"/>
          <w:szCs w:val="22"/>
        </w:rPr>
        <w:t xml:space="preserve">oth amended Clause 22.06 and new Clause 22.64 recognise the need to support the use of land for </w:t>
      </w:r>
      <w:r w:rsidR="00790B88">
        <w:rPr>
          <w:rFonts w:ascii="Arial" w:hAnsi="Arial" w:cs="Arial"/>
          <w:sz w:val="22"/>
          <w:szCs w:val="22"/>
        </w:rPr>
        <w:t>productive agriculture, preserve the farmed rural landscape and protect the highly significant lands</w:t>
      </w:r>
      <w:r w:rsidR="00986DA4">
        <w:rPr>
          <w:rFonts w:ascii="Arial" w:hAnsi="Arial" w:cs="Arial"/>
          <w:sz w:val="22"/>
          <w:szCs w:val="22"/>
        </w:rPr>
        <w:t>capes;</w:t>
      </w:r>
      <w:r w:rsidR="00790B88">
        <w:rPr>
          <w:rFonts w:ascii="Arial" w:hAnsi="Arial" w:cs="Arial"/>
          <w:sz w:val="22"/>
          <w:szCs w:val="22"/>
        </w:rPr>
        <w:t xml:space="preserve"> by ensuring non rural uses will not</w:t>
      </w:r>
      <w:r w:rsidR="00AB1ED7">
        <w:rPr>
          <w:rFonts w:ascii="Arial" w:hAnsi="Arial" w:cs="Arial"/>
          <w:sz w:val="22"/>
          <w:szCs w:val="22"/>
        </w:rPr>
        <w:t xml:space="preserve"> compromise farming activity. </w:t>
      </w:r>
    </w:p>
    <w:p w:rsidR="0061537D" w:rsidRDefault="00AB1ED7" w:rsidP="00986D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for the</w:t>
      </w:r>
      <w:r w:rsidR="00790B88">
        <w:rPr>
          <w:rFonts w:ascii="Arial" w:hAnsi="Arial" w:cs="Arial"/>
          <w:sz w:val="22"/>
          <w:szCs w:val="22"/>
        </w:rPr>
        <w:t xml:space="preserve"> economic growth sector potential of the Bellarine for the development of </w:t>
      </w:r>
      <w:r w:rsidR="0061537D">
        <w:rPr>
          <w:rFonts w:ascii="Arial" w:hAnsi="Arial" w:cs="Arial"/>
          <w:sz w:val="22"/>
          <w:szCs w:val="22"/>
        </w:rPr>
        <w:t>food, horticulture and viticultu</w:t>
      </w:r>
      <w:r w:rsidR="00790B88">
        <w:rPr>
          <w:rFonts w:ascii="Arial" w:hAnsi="Arial" w:cs="Arial"/>
          <w:sz w:val="22"/>
          <w:szCs w:val="22"/>
        </w:rPr>
        <w:t>re industries</w:t>
      </w:r>
      <w:r>
        <w:rPr>
          <w:rFonts w:ascii="Arial" w:hAnsi="Arial" w:cs="Arial"/>
          <w:sz w:val="22"/>
          <w:szCs w:val="22"/>
        </w:rPr>
        <w:t xml:space="preserve"> is also recognised, by protecting productive agriculture land while also allowing some tourism uses that complement the agricultural use of the land</w:t>
      </w:r>
      <w:r w:rsidR="00790B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Across the rural area </w:t>
      </w:r>
      <w:r w:rsidR="00790B88">
        <w:rPr>
          <w:rFonts w:ascii="Arial" w:hAnsi="Arial" w:cs="Arial"/>
          <w:sz w:val="22"/>
          <w:szCs w:val="22"/>
        </w:rPr>
        <w:t xml:space="preserve">Clause 22.06 promotes appropriate tourism and function centre development provided that the impacts are carefully managed and </w:t>
      </w:r>
      <w:r>
        <w:rPr>
          <w:rFonts w:ascii="Arial" w:hAnsi="Arial" w:cs="Arial"/>
          <w:sz w:val="22"/>
          <w:szCs w:val="22"/>
        </w:rPr>
        <w:t xml:space="preserve">are designed to </w:t>
      </w:r>
      <w:r w:rsidR="00520066">
        <w:rPr>
          <w:rFonts w:ascii="Arial" w:hAnsi="Arial" w:cs="Arial"/>
          <w:sz w:val="22"/>
          <w:szCs w:val="22"/>
        </w:rPr>
        <w:t xml:space="preserve">an appropriate scale. </w:t>
      </w:r>
      <w:r w:rsidR="00AE462A">
        <w:rPr>
          <w:rFonts w:ascii="Arial" w:hAnsi="Arial" w:cs="Arial"/>
          <w:sz w:val="22"/>
          <w:szCs w:val="22"/>
        </w:rPr>
        <w:t xml:space="preserve">New Clause 22.64 </w:t>
      </w:r>
      <w:r w:rsidR="0023299F">
        <w:rPr>
          <w:rFonts w:ascii="Arial" w:hAnsi="Arial" w:cs="Arial"/>
          <w:sz w:val="22"/>
          <w:szCs w:val="22"/>
        </w:rPr>
        <w:t xml:space="preserve">discourages retail uses from being located in areas outside of the urban area and settlement strategy identified in the retail hierarchy. </w:t>
      </w:r>
    </w:p>
    <w:p w:rsidR="0061537D" w:rsidRPr="009E6BC2" w:rsidRDefault="00225DE4" w:rsidP="0037246C">
      <w:pPr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9E6BC2">
        <w:rPr>
          <w:rFonts w:ascii="Arial" w:hAnsi="Arial" w:cs="Arial"/>
          <w:sz w:val="22"/>
          <w:szCs w:val="22"/>
          <w:u w:val="single"/>
        </w:rPr>
        <w:t xml:space="preserve">Clause 21.14 </w:t>
      </w:r>
      <w:r w:rsidR="009E6BC2" w:rsidRPr="009E6BC2">
        <w:rPr>
          <w:rFonts w:ascii="Arial" w:hAnsi="Arial" w:cs="Arial"/>
          <w:sz w:val="22"/>
          <w:szCs w:val="22"/>
          <w:u w:val="single"/>
        </w:rPr>
        <w:t xml:space="preserve">- </w:t>
      </w:r>
      <w:r w:rsidRPr="009E6BC2">
        <w:rPr>
          <w:rFonts w:ascii="Arial" w:hAnsi="Arial" w:cs="Arial"/>
          <w:sz w:val="22"/>
          <w:szCs w:val="22"/>
          <w:u w:val="single"/>
        </w:rPr>
        <w:t xml:space="preserve">The Bellarine Peninsula. </w:t>
      </w:r>
    </w:p>
    <w:p w:rsidR="0064374A" w:rsidRDefault="0064374A" w:rsidP="00986DA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promotes the protection and enhancement of the rural and coastal environment on the Bellarine Peninsula from </w:t>
      </w:r>
      <w:r w:rsidR="00187DFC">
        <w:rPr>
          <w:rFonts w:ascii="Arial" w:hAnsi="Arial" w:cs="Arial"/>
          <w:sz w:val="22"/>
          <w:szCs w:val="22"/>
        </w:rPr>
        <w:t>inappropriate development and will</w:t>
      </w:r>
      <w:r>
        <w:rPr>
          <w:rFonts w:ascii="Arial" w:hAnsi="Arial" w:cs="Arial"/>
          <w:sz w:val="22"/>
          <w:szCs w:val="22"/>
        </w:rPr>
        <w:t xml:space="preserve"> maintain non-urb</w:t>
      </w:r>
      <w:r w:rsidR="007C2BBA">
        <w:rPr>
          <w:rFonts w:ascii="Arial" w:hAnsi="Arial" w:cs="Arial"/>
          <w:sz w:val="22"/>
          <w:szCs w:val="22"/>
        </w:rPr>
        <w:t>an breaks between settlements. The proposed</w:t>
      </w:r>
      <w:r>
        <w:rPr>
          <w:rFonts w:ascii="Arial" w:hAnsi="Arial" w:cs="Arial"/>
          <w:sz w:val="22"/>
          <w:szCs w:val="22"/>
        </w:rPr>
        <w:t xml:space="preserve"> Clause 22.64 directs</w:t>
      </w:r>
      <w:r w:rsidR="007C2BBA">
        <w:rPr>
          <w:rFonts w:ascii="Arial" w:hAnsi="Arial" w:cs="Arial"/>
          <w:sz w:val="22"/>
          <w:szCs w:val="22"/>
        </w:rPr>
        <w:t xml:space="preserve"> new</w:t>
      </w:r>
      <w:r>
        <w:rPr>
          <w:rFonts w:ascii="Arial" w:hAnsi="Arial" w:cs="Arial"/>
          <w:sz w:val="22"/>
          <w:szCs w:val="22"/>
        </w:rPr>
        <w:t xml:space="preserve"> industrial </w:t>
      </w:r>
      <w:r w:rsidR="007C2BBA">
        <w:rPr>
          <w:rFonts w:ascii="Arial" w:hAnsi="Arial" w:cs="Arial"/>
          <w:sz w:val="22"/>
          <w:szCs w:val="22"/>
        </w:rPr>
        <w:t>and warehouse development to existing commercial and industrial land and areas</w:t>
      </w:r>
      <w:r>
        <w:rPr>
          <w:rFonts w:ascii="Arial" w:hAnsi="Arial" w:cs="Arial"/>
          <w:sz w:val="22"/>
          <w:szCs w:val="22"/>
        </w:rPr>
        <w:t xml:space="preserve"> identified i</w:t>
      </w:r>
      <w:r w:rsidR="007C2BBA">
        <w:rPr>
          <w:rFonts w:ascii="Arial" w:hAnsi="Arial" w:cs="Arial"/>
          <w:sz w:val="22"/>
          <w:szCs w:val="22"/>
        </w:rPr>
        <w:t>n Township structure plans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Does the amendment make proper use of the Victoria Planning Provisions?</w:t>
      </w:r>
    </w:p>
    <w:p w:rsidR="009D3179" w:rsidRDefault="009D3179" w:rsidP="00986DA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amendment makes proper use of the Victoria Planning Provisions by applying controls consistent with the form and content of the VPPs to facilitate appropriate </w:t>
      </w:r>
      <w:r w:rsidR="003773F3">
        <w:rPr>
          <w:rFonts w:ascii="Arial" w:hAnsi="Arial" w:cs="Arial"/>
          <w:sz w:val="22"/>
          <w:szCs w:val="22"/>
        </w:rPr>
        <w:t xml:space="preserve">consideration of land use and development in the Farming and Rural Conservation zones </w:t>
      </w:r>
      <w:r>
        <w:rPr>
          <w:rFonts w:ascii="Arial" w:hAnsi="Arial" w:cs="Arial"/>
          <w:sz w:val="22"/>
          <w:szCs w:val="22"/>
        </w:rPr>
        <w:t xml:space="preserve">in the City of Greater Geelong. 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How does the amendment address the views of any relevant agency?</w:t>
      </w:r>
    </w:p>
    <w:p w:rsidR="009D3179" w:rsidRDefault="009D3179" w:rsidP="00986DA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views of relevant agencies will be sought d</w:t>
      </w:r>
      <w:r w:rsidR="00FA3807">
        <w:rPr>
          <w:rFonts w:ascii="Arial" w:hAnsi="Arial" w:cs="Arial"/>
          <w:sz w:val="22"/>
          <w:szCs w:val="22"/>
        </w:rPr>
        <w:t>ur</w:t>
      </w:r>
      <w:r w:rsidR="003D4FA8">
        <w:rPr>
          <w:rFonts w:ascii="Arial" w:hAnsi="Arial" w:cs="Arial"/>
          <w:sz w:val="22"/>
          <w:szCs w:val="22"/>
        </w:rPr>
        <w:t>ing the formal exhibition of</w:t>
      </w:r>
      <w:r w:rsidR="00FA3807">
        <w:rPr>
          <w:rFonts w:ascii="Arial" w:hAnsi="Arial" w:cs="Arial"/>
          <w:sz w:val="22"/>
          <w:szCs w:val="22"/>
        </w:rPr>
        <w:t xml:space="preserve"> </w:t>
      </w:r>
      <w:r w:rsidR="007C2BBA">
        <w:rPr>
          <w:rFonts w:ascii="Arial" w:hAnsi="Arial" w:cs="Arial"/>
          <w:sz w:val="22"/>
          <w:szCs w:val="22"/>
        </w:rPr>
        <w:t xml:space="preserve">the </w:t>
      </w:r>
      <w:r w:rsidR="00FA3807">
        <w:rPr>
          <w:rFonts w:ascii="Arial" w:hAnsi="Arial" w:cs="Arial"/>
          <w:sz w:val="22"/>
          <w:szCs w:val="22"/>
        </w:rPr>
        <w:t>a</w:t>
      </w:r>
      <w:r w:rsidR="007C2BBA">
        <w:rPr>
          <w:rFonts w:ascii="Arial" w:hAnsi="Arial" w:cs="Arial"/>
          <w:sz w:val="22"/>
          <w:szCs w:val="22"/>
        </w:rPr>
        <w:t>mendment</w:t>
      </w:r>
      <w:r>
        <w:rPr>
          <w:rFonts w:ascii="Arial" w:hAnsi="Arial" w:cs="Arial"/>
          <w:sz w:val="22"/>
          <w:szCs w:val="22"/>
        </w:rPr>
        <w:t xml:space="preserve"> and will be considered accordingly.</w:t>
      </w:r>
    </w:p>
    <w:p w:rsidR="009D3179" w:rsidRP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Does the amendment address relevant requirements of the Transport Integration Act 2010?</w:t>
      </w:r>
    </w:p>
    <w:p w:rsidR="009D3179" w:rsidRDefault="009D3179" w:rsidP="00986DA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3773F3">
        <w:rPr>
          <w:rFonts w:ascii="Arial" w:hAnsi="Arial" w:cs="Arial"/>
          <w:sz w:val="22"/>
          <w:szCs w:val="22"/>
        </w:rPr>
        <w:t xml:space="preserve">re are no significant impacts on the transport system defined by the </w:t>
      </w:r>
      <w:r w:rsidR="003773F3" w:rsidRPr="003773F3">
        <w:rPr>
          <w:rFonts w:ascii="Arial" w:hAnsi="Arial" w:cs="Arial"/>
          <w:i/>
          <w:sz w:val="22"/>
          <w:szCs w:val="22"/>
        </w:rPr>
        <w:t>Transport Integration Act</w:t>
      </w:r>
      <w:r w:rsidR="003773F3">
        <w:rPr>
          <w:rFonts w:ascii="Arial" w:hAnsi="Arial" w:cs="Arial"/>
          <w:sz w:val="22"/>
          <w:szCs w:val="22"/>
        </w:rPr>
        <w:t xml:space="preserve"> as a result of this</w:t>
      </w:r>
      <w:r>
        <w:rPr>
          <w:rFonts w:ascii="Arial" w:hAnsi="Arial" w:cs="Arial"/>
          <w:sz w:val="22"/>
          <w:szCs w:val="22"/>
        </w:rPr>
        <w:t xml:space="preserve"> amendment.</w:t>
      </w:r>
    </w:p>
    <w:p w:rsidR="009D3179" w:rsidRDefault="009D3179" w:rsidP="003724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9D3179">
        <w:rPr>
          <w:rFonts w:ascii="Arial" w:hAnsi="Arial" w:cs="Arial"/>
          <w:b/>
          <w:sz w:val="24"/>
          <w:szCs w:val="24"/>
        </w:rPr>
        <w:t>Resource and administrative costs</w:t>
      </w:r>
    </w:p>
    <w:p w:rsidR="009D3179" w:rsidRPr="009D3179" w:rsidRDefault="009D3179" w:rsidP="001D012F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impact will the new planning provisions have on the resource and administrative costs of the responsible authority?</w:t>
      </w:r>
    </w:p>
    <w:p w:rsidR="0059392F" w:rsidRDefault="009D3179" w:rsidP="001D012F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D012F">
        <w:rPr>
          <w:rFonts w:ascii="Arial" w:hAnsi="Arial" w:cs="Arial"/>
          <w:sz w:val="22"/>
          <w:szCs w:val="22"/>
        </w:rPr>
        <w:t>new local policies will have minimal impact on Council’s resource and administrative costs.</w:t>
      </w:r>
    </w:p>
    <w:p w:rsidR="009D3179" w:rsidRPr="001D012F" w:rsidRDefault="009D3179" w:rsidP="001D012F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</w:rPr>
        <w:t>Where you may inspect this Amendment</w:t>
      </w:r>
    </w:p>
    <w:p w:rsidR="000548C5" w:rsidRDefault="009D3179" w:rsidP="000548C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amendment is available for public inspection, free of charge, during office hours at the following places:</w:t>
      </w:r>
    </w:p>
    <w:p w:rsidR="000548C5" w:rsidRPr="00986DA4" w:rsidRDefault="000548C5" w:rsidP="000548C5">
      <w:pPr>
        <w:tabs>
          <w:tab w:val="left" w:pos="742"/>
        </w:tabs>
        <w:spacing w:after="120"/>
        <w:rPr>
          <w:rFonts w:ascii="Arial" w:hAnsi="Arial" w:cs="Arial"/>
          <w:sz w:val="22"/>
          <w:szCs w:val="22"/>
        </w:rPr>
      </w:pPr>
      <w:r w:rsidRPr="00986DA4">
        <w:rPr>
          <w:rFonts w:ascii="Arial" w:hAnsi="Arial" w:cs="Arial"/>
          <w:sz w:val="22"/>
          <w:szCs w:val="22"/>
        </w:rPr>
        <w:t xml:space="preserve">Greater Geelong City Council, Customer Service Centre, Ground Floor, 100 Brougham Street GEELONG – 8.00am to 5.00pm weekdays </w:t>
      </w:r>
    </w:p>
    <w:p w:rsidR="000548C5" w:rsidRDefault="000548C5" w:rsidP="000548C5">
      <w:pPr>
        <w:tabs>
          <w:tab w:val="left" w:pos="742"/>
        </w:tabs>
        <w:spacing w:after="120"/>
        <w:rPr>
          <w:rFonts w:ascii="Arial" w:hAnsi="Arial" w:cs="Arial"/>
          <w:sz w:val="22"/>
          <w:szCs w:val="22"/>
        </w:rPr>
      </w:pPr>
      <w:r w:rsidRPr="00986DA4">
        <w:rPr>
          <w:rFonts w:ascii="Arial" w:hAnsi="Arial" w:cs="Arial"/>
          <w:sz w:val="22"/>
          <w:szCs w:val="22"/>
        </w:rPr>
        <w:t>Greater Geelong City Council, Customer Service Centre, 18-20 Hancock Street DRYSDALE (inside the library) – 9.00am to 5.00pm weekdays</w:t>
      </w:r>
    </w:p>
    <w:p w:rsidR="00986DA4" w:rsidRPr="00C047D2" w:rsidRDefault="00F66568" w:rsidP="000548C5">
      <w:pPr>
        <w:tabs>
          <w:tab w:val="left" w:pos="742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2A4FD6">
        <w:rPr>
          <w:rFonts w:ascii="Arial" w:hAnsi="Arial" w:cs="Arial"/>
          <w:sz w:val="22"/>
          <w:szCs w:val="22"/>
        </w:rPr>
        <w:t>ra Library, 5 Walkers Road LARA</w:t>
      </w:r>
    </w:p>
    <w:p w:rsidR="000548C5" w:rsidRPr="00C047D2" w:rsidRDefault="000548C5" w:rsidP="000548C5">
      <w:pPr>
        <w:tabs>
          <w:tab w:val="left" w:pos="742"/>
        </w:tabs>
        <w:spacing w:after="120"/>
        <w:rPr>
          <w:rFonts w:ascii="Arial" w:hAnsi="Arial" w:cs="Arial"/>
          <w:sz w:val="22"/>
          <w:szCs w:val="22"/>
        </w:rPr>
      </w:pPr>
      <w:r w:rsidRPr="00C047D2">
        <w:rPr>
          <w:rFonts w:ascii="Arial" w:hAnsi="Arial" w:cs="Arial"/>
          <w:sz w:val="22"/>
          <w:szCs w:val="22"/>
        </w:rPr>
        <w:t xml:space="preserve">‘Have Your Say’ section of the City’s website </w:t>
      </w:r>
      <w:hyperlink r:id="rId8" w:history="1">
        <w:r w:rsidRPr="00C047D2">
          <w:rPr>
            <w:rStyle w:val="Hyperlink"/>
            <w:rFonts w:ascii="Arial" w:hAnsi="Arial" w:cs="Arial"/>
            <w:sz w:val="22"/>
            <w:szCs w:val="22"/>
          </w:rPr>
          <w:t>www.geelongaustralia.com.au/council/yoursay</w:t>
        </w:r>
      </w:hyperlink>
      <w:r w:rsidRPr="00C047D2">
        <w:rPr>
          <w:rFonts w:ascii="Arial" w:hAnsi="Arial" w:cs="Arial"/>
          <w:sz w:val="22"/>
          <w:szCs w:val="22"/>
        </w:rPr>
        <w:t xml:space="preserve">  </w:t>
      </w:r>
    </w:p>
    <w:p w:rsidR="000548C5" w:rsidRDefault="000548C5" w:rsidP="000548C5">
      <w:pPr>
        <w:rPr>
          <w:rFonts w:ascii="Arial" w:hAnsi="Arial" w:cs="Arial"/>
          <w:sz w:val="22"/>
          <w:szCs w:val="22"/>
        </w:rPr>
      </w:pPr>
      <w:r w:rsidRPr="00C047D2">
        <w:rPr>
          <w:rFonts w:ascii="Arial" w:hAnsi="Arial" w:cs="Arial"/>
          <w:sz w:val="22"/>
          <w:szCs w:val="22"/>
        </w:rPr>
        <w:t xml:space="preserve">The amendment can also be inspected free of charge at the Department of Environment, Land, Water and Planning website at </w:t>
      </w:r>
      <w:hyperlink r:id="rId9" w:history="1">
        <w:r w:rsidRPr="00665809">
          <w:rPr>
            <w:rStyle w:val="Hyperlink"/>
            <w:rFonts w:ascii="Arial" w:hAnsi="Arial" w:cs="Arial"/>
            <w:sz w:val="22"/>
            <w:szCs w:val="22"/>
          </w:rPr>
          <w:t>www.delwp.vic.gov.au/publicinspection</w:t>
        </w:r>
      </w:hyperlink>
      <w:r w:rsidRPr="00C047D2">
        <w:rPr>
          <w:rFonts w:ascii="Arial" w:hAnsi="Arial" w:cs="Arial"/>
          <w:sz w:val="22"/>
          <w:szCs w:val="22"/>
        </w:rPr>
        <w:t xml:space="preserve"> </w:t>
      </w:r>
    </w:p>
    <w:p w:rsidR="000548C5" w:rsidRDefault="000548C5" w:rsidP="000548C5">
      <w:pPr>
        <w:rPr>
          <w:rFonts w:ascii="Arial" w:hAnsi="Arial" w:cs="Arial"/>
          <w:sz w:val="22"/>
          <w:szCs w:val="22"/>
        </w:rPr>
      </w:pPr>
    </w:p>
    <w:p w:rsidR="000548C5" w:rsidRPr="002306A5" w:rsidRDefault="000548C5" w:rsidP="000548C5">
      <w:pPr>
        <w:pStyle w:val="Heading2"/>
        <w:rPr>
          <w:i w:val="0"/>
          <w:sz w:val="24"/>
          <w:szCs w:val="24"/>
        </w:rPr>
      </w:pPr>
      <w:r w:rsidRPr="002306A5">
        <w:rPr>
          <w:i w:val="0"/>
          <w:sz w:val="24"/>
          <w:szCs w:val="24"/>
        </w:rPr>
        <w:t xml:space="preserve">Submissions </w:t>
      </w:r>
    </w:p>
    <w:p w:rsidR="000548C5" w:rsidRDefault="000548C5" w:rsidP="000548C5">
      <w:pPr>
        <w:rPr>
          <w:rFonts w:ascii="Arial" w:hAnsi="Arial" w:cs="Arial"/>
          <w:sz w:val="22"/>
          <w:szCs w:val="22"/>
        </w:rPr>
      </w:pPr>
      <w:r w:rsidRPr="000C4CD6">
        <w:rPr>
          <w:rFonts w:ascii="Arial" w:hAnsi="Arial" w:cs="Arial"/>
          <w:sz w:val="22"/>
          <w:szCs w:val="22"/>
        </w:rPr>
        <w:t>Any person who may be affected by the amendment may make a submiss</w:t>
      </w:r>
      <w:r w:rsidR="00986DA4">
        <w:rPr>
          <w:rFonts w:ascii="Arial" w:hAnsi="Arial" w:cs="Arial"/>
          <w:sz w:val="22"/>
          <w:szCs w:val="22"/>
        </w:rPr>
        <w:t xml:space="preserve">ion to the planning authority. </w:t>
      </w:r>
      <w:r w:rsidRPr="000C4CD6">
        <w:rPr>
          <w:rFonts w:ascii="Arial" w:hAnsi="Arial" w:cs="Arial"/>
          <w:sz w:val="22"/>
          <w:szCs w:val="22"/>
        </w:rPr>
        <w:t xml:space="preserve">Submissions about the amendment must be received by </w:t>
      </w:r>
      <w:r w:rsidR="00986DA4">
        <w:rPr>
          <w:rFonts w:ascii="Arial" w:hAnsi="Arial" w:cs="Arial"/>
          <w:b/>
          <w:sz w:val="22"/>
          <w:szCs w:val="22"/>
        </w:rPr>
        <w:t>Tuesday 29 March</w:t>
      </w:r>
      <w:r w:rsidRPr="00F41928">
        <w:rPr>
          <w:rFonts w:ascii="Arial" w:hAnsi="Arial" w:cs="Arial"/>
          <w:b/>
          <w:sz w:val="22"/>
          <w:szCs w:val="22"/>
        </w:rPr>
        <w:t xml:space="preserve"> 2016</w:t>
      </w:r>
      <w:r w:rsidRPr="00F41928">
        <w:rPr>
          <w:rFonts w:ascii="Arial" w:hAnsi="Arial" w:cs="Arial"/>
          <w:sz w:val="22"/>
          <w:szCs w:val="22"/>
        </w:rPr>
        <w:t>.</w:t>
      </w:r>
    </w:p>
    <w:p w:rsidR="000548C5" w:rsidRPr="000C4CD6" w:rsidRDefault="000548C5" w:rsidP="000548C5">
      <w:pPr>
        <w:rPr>
          <w:rFonts w:ascii="Arial" w:hAnsi="Arial" w:cs="Arial"/>
          <w:sz w:val="22"/>
          <w:szCs w:val="22"/>
        </w:rPr>
      </w:pPr>
    </w:p>
    <w:p w:rsidR="000548C5" w:rsidRDefault="000548C5" w:rsidP="000548C5">
      <w:pPr>
        <w:rPr>
          <w:rFonts w:ascii="Arial" w:hAnsi="Arial" w:cs="Arial"/>
          <w:sz w:val="22"/>
          <w:szCs w:val="22"/>
        </w:rPr>
      </w:pPr>
      <w:r w:rsidRPr="000C4CD6">
        <w:rPr>
          <w:rFonts w:ascii="Arial" w:hAnsi="Arial" w:cs="Arial"/>
          <w:sz w:val="22"/>
          <w:szCs w:val="22"/>
        </w:rPr>
        <w:t>A submission must be sent to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</w:p>
    <w:p w:rsidR="000548C5" w:rsidRPr="00C60089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  <w:r w:rsidRPr="00C60089">
        <w:rPr>
          <w:rFonts w:ascii="Arial" w:hAnsi="Arial" w:cs="Arial"/>
          <w:szCs w:val="22"/>
        </w:rPr>
        <w:t>The Coordinator</w:t>
      </w:r>
    </w:p>
    <w:p w:rsidR="000548C5" w:rsidRPr="00C60089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  <w:r w:rsidRPr="00C60089">
        <w:rPr>
          <w:rFonts w:ascii="Arial" w:hAnsi="Arial" w:cs="Arial"/>
          <w:szCs w:val="22"/>
        </w:rPr>
        <w:t>Strategic Implementation</w:t>
      </w:r>
    </w:p>
    <w:p w:rsidR="000548C5" w:rsidRPr="00C60089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  <w:r w:rsidRPr="00C60089">
        <w:rPr>
          <w:rFonts w:ascii="Arial" w:hAnsi="Arial" w:cs="Arial"/>
          <w:szCs w:val="22"/>
        </w:rPr>
        <w:t xml:space="preserve">City of Greater </w:t>
      </w:r>
      <w:smartTag w:uri="urn:schemas-microsoft-com:office:smarttags" w:element="City">
        <w:smartTag w:uri="urn:schemas-microsoft-com:office:smarttags" w:element="place">
          <w:r w:rsidRPr="00C60089">
            <w:rPr>
              <w:rFonts w:ascii="Arial" w:hAnsi="Arial" w:cs="Arial"/>
              <w:szCs w:val="22"/>
            </w:rPr>
            <w:t>Geelong</w:t>
          </w:r>
        </w:smartTag>
      </w:smartTag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</w:p>
    <w:p w:rsidR="000548C5" w:rsidRPr="00C60089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Pr="00C60089">
        <w:rPr>
          <w:rFonts w:ascii="Arial" w:hAnsi="Arial" w:cs="Arial"/>
          <w:szCs w:val="22"/>
        </w:rPr>
        <w:t>ither by mail to:</w:t>
      </w:r>
    </w:p>
    <w:p w:rsidR="000548C5" w:rsidRPr="00C60089" w:rsidRDefault="000548C5" w:rsidP="000548C5">
      <w:pPr>
        <w:pStyle w:val="Bodytext1"/>
        <w:tabs>
          <w:tab w:val="left" w:pos="742"/>
        </w:tabs>
        <w:spacing w:after="0"/>
        <w:ind w:left="0"/>
        <w:textAlignment w:val="baseline"/>
        <w:rPr>
          <w:rFonts w:ascii="Arial" w:hAnsi="Arial" w:cs="Arial"/>
          <w:szCs w:val="22"/>
        </w:rPr>
      </w:pPr>
      <w:r w:rsidRPr="00C60089">
        <w:rPr>
          <w:rFonts w:ascii="Arial" w:hAnsi="Arial" w:cs="Arial"/>
          <w:szCs w:val="22"/>
        </w:rPr>
        <w:t>PO Box 104, GEELONG VIC 3220</w:t>
      </w:r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Pr="00C60089">
        <w:rPr>
          <w:rFonts w:ascii="Arial" w:hAnsi="Arial" w:cs="Arial"/>
          <w:szCs w:val="22"/>
        </w:rPr>
        <w:t>r by email to:</w:t>
      </w:r>
    </w:p>
    <w:p w:rsidR="000548C5" w:rsidRDefault="00CB2734" w:rsidP="000548C5">
      <w:pPr>
        <w:pStyle w:val="Bodytext1"/>
        <w:tabs>
          <w:tab w:val="left" w:pos="742"/>
        </w:tabs>
        <w:spacing w:after="0"/>
        <w:ind w:left="0"/>
      </w:pPr>
      <w:hyperlink r:id="rId10" w:history="1">
        <w:r w:rsidR="000548C5" w:rsidRPr="00285D25">
          <w:rPr>
            <w:rStyle w:val="Hyperlink"/>
            <w:rFonts w:ascii="Arial" w:hAnsi="Arial" w:cs="Arial"/>
            <w:szCs w:val="22"/>
          </w:rPr>
          <w:t>strategicplanning@geelongcity.vic.gov.au</w:t>
        </w:r>
      </w:hyperlink>
    </w:p>
    <w:p w:rsidR="000548C5" w:rsidRPr="00FA38F1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</w:rPr>
      </w:pPr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jc w:val="left"/>
        <w:rPr>
          <w:rFonts w:ascii="Arial" w:hAnsi="Arial" w:cs="Arial"/>
        </w:rPr>
      </w:pPr>
      <w:r w:rsidRPr="00FA38F1">
        <w:rPr>
          <w:rFonts w:ascii="Arial" w:hAnsi="Arial" w:cs="Arial"/>
        </w:rPr>
        <w:t>Alternatively</w:t>
      </w:r>
      <w:r>
        <w:rPr>
          <w:rFonts w:ascii="Arial" w:hAnsi="Arial" w:cs="Arial"/>
        </w:rPr>
        <w:t xml:space="preserve">, a submission may be lodged online at the City’s website: </w:t>
      </w:r>
      <w:hyperlink r:id="rId11" w:history="1">
        <w:r w:rsidRPr="00EB40CB">
          <w:rPr>
            <w:rStyle w:val="Hyperlink"/>
            <w:rFonts w:ascii="Arial" w:hAnsi="Arial" w:cs="Arial"/>
          </w:rPr>
          <w:t>www.geelongaustralia.com.au/amendments</w:t>
        </w:r>
      </w:hyperlink>
    </w:p>
    <w:p w:rsidR="000548C5" w:rsidRDefault="000548C5" w:rsidP="000548C5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Cs w:val="22"/>
        </w:rPr>
      </w:pPr>
    </w:p>
    <w:p w:rsidR="000548C5" w:rsidRPr="002306A5" w:rsidRDefault="000548C5" w:rsidP="000548C5">
      <w:pPr>
        <w:pStyle w:val="Heading2"/>
        <w:rPr>
          <w:i w:val="0"/>
          <w:sz w:val="24"/>
          <w:szCs w:val="24"/>
        </w:rPr>
      </w:pPr>
      <w:r w:rsidRPr="002306A5">
        <w:rPr>
          <w:i w:val="0"/>
          <w:sz w:val="24"/>
          <w:szCs w:val="24"/>
        </w:rPr>
        <w:t xml:space="preserve">Panel hearing dates </w:t>
      </w:r>
    </w:p>
    <w:p w:rsidR="000548C5" w:rsidRPr="00ED3674" w:rsidRDefault="000548C5" w:rsidP="00054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accordance with C</w:t>
      </w:r>
      <w:r w:rsidRPr="00ED3674">
        <w:rPr>
          <w:rFonts w:ascii="Arial" w:hAnsi="Arial" w:cs="Arial"/>
          <w:sz w:val="22"/>
          <w:szCs w:val="22"/>
        </w:rPr>
        <w:t>lause 4(2) of Ministerial</w:t>
      </w:r>
      <w:r>
        <w:rPr>
          <w:rFonts w:ascii="Arial" w:hAnsi="Arial" w:cs="Arial"/>
          <w:sz w:val="22"/>
          <w:szCs w:val="22"/>
        </w:rPr>
        <w:t xml:space="preserve"> Direction No.15 the following Panel H</w:t>
      </w:r>
      <w:r w:rsidRPr="00ED3674">
        <w:rPr>
          <w:rFonts w:ascii="Arial" w:hAnsi="Arial" w:cs="Arial"/>
          <w:sz w:val="22"/>
          <w:szCs w:val="22"/>
        </w:rPr>
        <w:t>earing dates have been set for this amendment:</w:t>
      </w:r>
    </w:p>
    <w:p w:rsidR="000548C5" w:rsidRPr="002E34C6" w:rsidRDefault="000548C5" w:rsidP="000548C5">
      <w:pPr>
        <w:numPr>
          <w:ilvl w:val="0"/>
          <w:numId w:val="5"/>
        </w:numPr>
        <w:spacing w:before="120" w:after="120"/>
        <w:ind w:left="357" w:hanging="357"/>
        <w:rPr>
          <w:rFonts w:ascii="New York" w:hAnsi="New York"/>
          <w:sz w:val="22"/>
          <w:szCs w:val="22"/>
        </w:rPr>
      </w:pPr>
      <w:r w:rsidRPr="002E34C6">
        <w:rPr>
          <w:rFonts w:ascii="Arial" w:hAnsi="Arial" w:cs="Arial"/>
          <w:sz w:val="22"/>
          <w:szCs w:val="22"/>
        </w:rPr>
        <w:t xml:space="preserve">Directions Hearing:  </w:t>
      </w:r>
      <w:r w:rsidRPr="00336B8B">
        <w:rPr>
          <w:rFonts w:ascii="Arial" w:hAnsi="Arial" w:cs="Arial"/>
          <w:sz w:val="22"/>
          <w:szCs w:val="22"/>
        </w:rPr>
        <w:t>Week beginning</w:t>
      </w:r>
      <w:r>
        <w:rPr>
          <w:rFonts w:ascii="Arial" w:hAnsi="Arial" w:cs="Arial"/>
          <w:sz w:val="22"/>
          <w:szCs w:val="22"/>
        </w:rPr>
        <w:t xml:space="preserve"> </w:t>
      </w:r>
      <w:r w:rsidR="00986DA4">
        <w:rPr>
          <w:rFonts w:ascii="Arial" w:hAnsi="Arial" w:cs="Arial"/>
          <w:sz w:val="22"/>
          <w:szCs w:val="22"/>
        </w:rPr>
        <w:t>13 June 2016</w:t>
      </w:r>
    </w:p>
    <w:p w:rsidR="000548C5" w:rsidRPr="003D18E4" w:rsidRDefault="000548C5" w:rsidP="000548C5">
      <w:pPr>
        <w:numPr>
          <w:ilvl w:val="0"/>
          <w:numId w:val="5"/>
        </w:numPr>
        <w:spacing w:before="120" w:after="120"/>
        <w:ind w:left="357" w:hanging="357"/>
        <w:rPr>
          <w:sz w:val="22"/>
          <w:szCs w:val="22"/>
        </w:rPr>
      </w:pPr>
      <w:r w:rsidRPr="002E34C6">
        <w:rPr>
          <w:rFonts w:ascii="Arial" w:hAnsi="Arial" w:cs="Arial"/>
          <w:sz w:val="22"/>
          <w:szCs w:val="22"/>
        </w:rPr>
        <w:t xml:space="preserve">Panel Hearing:  </w:t>
      </w:r>
      <w:r w:rsidRPr="00336B8B">
        <w:rPr>
          <w:rFonts w:ascii="Arial" w:hAnsi="Arial" w:cs="Arial"/>
          <w:sz w:val="22"/>
          <w:szCs w:val="22"/>
        </w:rPr>
        <w:t>Week beginning</w:t>
      </w:r>
      <w:r w:rsidR="00986DA4">
        <w:rPr>
          <w:rFonts w:ascii="Arial" w:hAnsi="Arial" w:cs="Arial"/>
          <w:sz w:val="22"/>
          <w:szCs w:val="22"/>
        </w:rPr>
        <w:t xml:space="preserve"> 11 July</w:t>
      </w:r>
      <w:r>
        <w:rPr>
          <w:rFonts w:ascii="Arial" w:hAnsi="Arial" w:cs="Arial"/>
          <w:sz w:val="22"/>
          <w:szCs w:val="22"/>
        </w:rPr>
        <w:t xml:space="preserve"> 2016</w:t>
      </w:r>
    </w:p>
    <w:p w:rsidR="000548C5" w:rsidRDefault="000548C5" w:rsidP="00986DA4">
      <w:pPr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Further information</w:t>
      </w:r>
    </w:p>
    <w:p w:rsidR="000548C5" w:rsidRDefault="000548C5" w:rsidP="00CC0695">
      <w:pPr>
        <w:pStyle w:val="Bodytext1"/>
        <w:tabs>
          <w:tab w:val="left" w:pos="742"/>
        </w:tabs>
        <w:spacing w:after="120"/>
        <w:ind w:left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For further </w:t>
      </w:r>
      <w:r w:rsidR="00986DA4">
        <w:rPr>
          <w:rFonts w:ascii="Arial" w:hAnsi="Arial" w:cs="Arial"/>
          <w:szCs w:val="22"/>
        </w:rPr>
        <w:t>information about Amendment C347</w:t>
      </w:r>
      <w:r>
        <w:rPr>
          <w:rFonts w:ascii="Arial" w:hAnsi="Arial" w:cs="Arial"/>
          <w:szCs w:val="22"/>
        </w:rPr>
        <w:t xml:space="preserve"> please contact the Strategic Implementation Unit at the City of Greater Geelong on (03) 5272 4820 or via email </w:t>
      </w:r>
      <w:hyperlink r:id="rId12" w:history="1">
        <w:r>
          <w:rPr>
            <w:rStyle w:val="Hyperlink"/>
            <w:rFonts w:ascii="Arial" w:hAnsi="Arial" w:cs="Arial"/>
            <w:szCs w:val="22"/>
          </w:rPr>
          <w:t>strategicplanning@geelongcity.vic.gov.au</w:t>
        </w:r>
      </w:hyperlink>
    </w:p>
    <w:sectPr w:rsidR="000548C5" w:rsidSect="00CC0695">
      <w:footerReference w:type="default" r:id="rId13"/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59" w:rsidRDefault="00485B59" w:rsidP="007D29B4">
      <w:r>
        <w:separator/>
      </w:r>
    </w:p>
  </w:endnote>
  <w:endnote w:type="continuationSeparator" w:id="0">
    <w:p w:rsidR="00485B59" w:rsidRDefault="00485B59" w:rsidP="007D2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59" w:rsidRPr="00DD1CB8" w:rsidRDefault="00485B59" w:rsidP="00341652">
    <w:pPr>
      <w:pStyle w:val="Footer"/>
      <w:tabs>
        <w:tab w:val="clear" w:pos="8306"/>
        <w:tab w:val="right" w:pos="8789"/>
      </w:tabs>
      <w:rPr>
        <w:sz w:val="16"/>
        <w:szCs w:val="16"/>
      </w:rPr>
    </w:pPr>
    <w:r>
      <w:rPr>
        <w:sz w:val="16"/>
        <w:szCs w:val="16"/>
      </w:rPr>
      <w:t>C03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1C5ED4">
      <w:rPr>
        <w:snapToGrid w:val="0"/>
        <w:sz w:val="16"/>
        <w:szCs w:val="16"/>
      </w:rPr>
      <w:t xml:space="preserve">Page </w:t>
    </w:r>
    <w:r w:rsidR="00CB2734" w:rsidRPr="001C5ED4">
      <w:rPr>
        <w:snapToGrid w:val="0"/>
        <w:sz w:val="16"/>
        <w:szCs w:val="16"/>
      </w:rPr>
      <w:fldChar w:fldCharType="begin"/>
    </w:r>
    <w:r w:rsidRPr="001C5ED4">
      <w:rPr>
        <w:snapToGrid w:val="0"/>
        <w:sz w:val="16"/>
        <w:szCs w:val="16"/>
      </w:rPr>
      <w:instrText xml:space="preserve"> PAGE </w:instrText>
    </w:r>
    <w:r w:rsidR="00CB2734" w:rsidRPr="001C5ED4">
      <w:rPr>
        <w:snapToGrid w:val="0"/>
        <w:sz w:val="16"/>
        <w:szCs w:val="16"/>
      </w:rPr>
      <w:fldChar w:fldCharType="separate"/>
    </w:r>
    <w:r w:rsidR="002A4FD6">
      <w:rPr>
        <w:noProof/>
        <w:snapToGrid w:val="0"/>
        <w:sz w:val="16"/>
        <w:szCs w:val="16"/>
      </w:rPr>
      <w:t>5</w:t>
    </w:r>
    <w:r w:rsidR="00CB2734" w:rsidRPr="001C5ED4">
      <w:rPr>
        <w:snapToGrid w:val="0"/>
        <w:sz w:val="16"/>
        <w:szCs w:val="16"/>
      </w:rPr>
      <w:fldChar w:fldCharType="end"/>
    </w:r>
    <w:r w:rsidRPr="001C5ED4">
      <w:rPr>
        <w:snapToGrid w:val="0"/>
        <w:sz w:val="16"/>
        <w:szCs w:val="16"/>
      </w:rPr>
      <w:t xml:space="preserve"> of </w:t>
    </w:r>
    <w:r w:rsidR="00CB2734" w:rsidRPr="001C5ED4">
      <w:rPr>
        <w:snapToGrid w:val="0"/>
        <w:sz w:val="16"/>
        <w:szCs w:val="16"/>
      </w:rPr>
      <w:fldChar w:fldCharType="begin"/>
    </w:r>
    <w:r w:rsidRPr="001C5ED4">
      <w:rPr>
        <w:snapToGrid w:val="0"/>
        <w:sz w:val="16"/>
        <w:szCs w:val="16"/>
      </w:rPr>
      <w:instrText xml:space="preserve"> NUMPAGES </w:instrText>
    </w:r>
    <w:r w:rsidR="00CB2734" w:rsidRPr="001C5ED4">
      <w:rPr>
        <w:snapToGrid w:val="0"/>
        <w:sz w:val="16"/>
        <w:szCs w:val="16"/>
      </w:rPr>
      <w:fldChar w:fldCharType="separate"/>
    </w:r>
    <w:r w:rsidR="002A4FD6">
      <w:rPr>
        <w:noProof/>
        <w:snapToGrid w:val="0"/>
        <w:sz w:val="16"/>
        <w:szCs w:val="16"/>
      </w:rPr>
      <w:t>5</w:t>
    </w:r>
    <w:r w:rsidR="00CB2734" w:rsidRPr="001C5ED4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59" w:rsidRDefault="00485B59" w:rsidP="007D29B4">
      <w:r>
        <w:separator/>
      </w:r>
    </w:p>
  </w:footnote>
  <w:footnote w:type="continuationSeparator" w:id="0">
    <w:p w:rsidR="00485B59" w:rsidRDefault="00485B59" w:rsidP="007D2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09EC"/>
    <w:multiLevelType w:val="hybridMultilevel"/>
    <w:tmpl w:val="BDE4476A"/>
    <w:lvl w:ilvl="0" w:tplc="4684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30EF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6848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B85A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6A74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4CE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682B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20B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7CA2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3269238A"/>
    <w:multiLevelType w:val="hybridMultilevel"/>
    <w:tmpl w:val="B958DF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D1F4C"/>
    <w:multiLevelType w:val="hybridMultilevel"/>
    <w:tmpl w:val="DE02AC36"/>
    <w:lvl w:ilvl="0" w:tplc="FFFFFFFF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A5421"/>
    <w:multiLevelType w:val="hybridMultilevel"/>
    <w:tmpl w:val="77F0C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415CE"/>
    <w:multiLevelType w:val="hybridMultilevel"/>
    <w:tmpl w:val="6310EF9E"/>
    <w:lvl w:ilvl="0" w:tplc="233E8E5A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88C0BC14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F4DAECD8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B022814E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EF88EE0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D14E26E8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DBD61B38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7A6C1C9E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226CE65E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>
    <w:nsid w:val="58D94B62"/>
    <w:multiLevelType w:val="hybridMultilevel"/>
    <w:tmpl w:val="56B0F68A"/>
    <w:lvl w:ilvl="0" w:tplc="0C090005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  <w:effect w:val="none"/>
      </w:rPr>
    </w:lvl>
    <w:lvl w:ilvl="1" w:tplc="0C09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7">
    <w:nsid w:val="60A14C00"/>
    <w:multiLevelType w:val="hybridMultilevel"/>
    <w:tmpl w:val="1C069290"/>
    <w:lvl w:ilvl="0" w:tplc="F80ECC2A">
      <w:start w:val="1"/>
      <w:numFmt w:val="bullet"/>
      <w:pStyle w:val="Heading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9652EA">
      <w:start w:val="1"/>
      <w:numFmt w:val="bullet"/>
      <w:pStyle w:val="List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A321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8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66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E8D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80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E3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440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32BC2"/>
    <w:multiLevelType w:val="hybridMultilevel"/>
    <w:tmpl w:val="BF7458B8"/>
    <w:lvl w:ilvl="0" w:tplc="FAA8C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plc="0C0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C0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C0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C0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C0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C0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C0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9">
    <w:nsid w:val="74483B2F"/>
    <w:multiLevelType w:val="hybridMultilevel"/>
    <w:tmpl w:val="EAF66BF2"/>
    <w:lvl w:ilvl="0" w:tplc="4AE8F3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D0B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44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47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0F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ED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0E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AE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CCD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00085"/>
    <w:multiLevelType w:val="singleLevel"/>
    <w:tmpl w:val="789C8126"/>
    <w:lvl w:ilvl="0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DD072CD"/>
    <w:multiLevelType w:val="hybridMultilevel"/>
    <w:tmpl w:val="FFF60DC8"/>
    <w:lvl w:ilvl="0" w:tplc="FBEC4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17FC94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308A2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F840D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E80DF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468D4E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E6BB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62B4A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64CDF0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</w:num>
  <w:num w:numId="20">
    <w:abstractNumId w:val="4"/>
  </w:num>
  <w:num w:numId="21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11852"/>
  </w:docVars>
  <w:rsids>
    <w:rsidRoot w:val="007D29B4"/>
    <w:rsid w:val="00000CE3"/>
    <w:rsid w:val="00001350"/>
    <w:rsid w:val="00003C05"/>
    <w:rsid w:val="00006377"/>
    <w:rsid w:val="00006D42"/>
    <w:rsid w:val="0001159A"/>
    <w:rsid w:val="000548C5"/>
    <w:rsid w:val="00072187"/>
    <w:rsid w:val="000739A7"/>
    <w:rsid w:val="00075D76"/>
    <w:rsid w:val="00076D1A"/>
    <w:rsid w:val="00096F22"/>
    <w:rsid w:val="000A67E7"/>
    <w:rsid w:val="000B2159"/>
    <w:rsid w:val="000B7168"/>
    <w:rsid w:val="000F07B7"/>
    <w:rsid w:val="001046C1"/>
    <w:rsid w:val="00105491"/>
    <w:rsid w:val="00157E14"/>
    <w:rsid w:val="001721F8"/>
    <w:rsid w:val="00187DFC"/>
    <w:rsid w:val="001917E6"/>
    <w:rsid w:val="00197389"/>
    <w:rsid w:val="001C7067"/>
    <w:rsid w:val="001D012F"/>
    <w:rsid w:val="001F7DBE"/>
    <w:rsid w:val="00210875"/>
    <w:rsid w:val="00225DE4"/>
    <w:rsid w:val="00231642"/>
    <w:rsid w:val="0023299F"/>
    <w:rsid w:val="00233DCE"/>
    <w:rsid w:val="0024258E"/>
    <w:rsid w:val="0025068B"/>
    <w:rsid w:val="00265C56"/>
    <w:rsid w:val="002701B7"/>
    <w:rsid w:val="00281B48"/>
    <w:rsid w:val="00286B0E"/>
    <w:rsid w:val="00296062"/>
    <w:rsid w:val="002A3E82"/>
    <w:rsid w:val="002A4FD6"/>
    <w:rsid w:val="002A6203"/>
    <w:rsid w:val="002A73D2"/>
    <w:rsid w:val="002B19E8"/>
    <w:rsid w:val="002B3181"/>
    <w:rsid w:val="002B5AA2"/>
    <w:rsid w:val="002E0655"/>
    <w:rsid w:val="00302278"/>
    <w:rsid w:val="00305A04"/>
    <w:rsid w:val="00315994"/>
    <w:rsid w:val="003168A7"/>
    <w:rsid w:val="00341652"/>
    <w:rsid w:val="00363E52"/>
    <w:rsid w:val="0037246C"/>
    <w:rsid w:val="003773F3"/>
    <w:rsid w:val="003949D2"/>
    <w:rsid w:val="003A14AA"/>
    <w:rsid w:val="003A6624"/>
    <w:rsid w:val="003B7AC0"/>
    <w:rsid w:val="003D2C61"/>
    <w:rsid w:val="003D4FA8"/>
    <w:rsid w:val="003E1D37"/>
    <w:rsid w:val="003F4B75"/>
    <w:rsid w:val="00401606"/>
    <w:rsid w:val="00407AF7"/>
    <w:rsid w:val="0041685D"/>
    <w:rsid w:val="00456B36"/>
    <w:rsid w:val="00471C22"/>
    <w:rsid w:val="00485B59"/>
    <w:rsid w:val="004A42FA"/>
    <w:rsid w:val="004A5DDB"/>
    <w:rsid w:val="004F3B5D"/>
    <w:rsid w:val="00510B62"/>
    <w:rsid w:val="00514BB3"/>
    <w:rsid w:val="00520066"/>
    <w:rsid w:val="00531528"/>
    <w:rsid w:val="00584EA1"/>
    <w:rsid w:val="0059392F"/>
    <w:rsid w:val="005A314B"/>
    <w:rsid w:val="005C0938"/>
    <w:rsid w:val="005D03CB"/>
    <w:rsid w:val="005E06BC"/>
    <w:rsid w:val="005E66EF"/>
    <w:rsid w:val="0061537D"/>
    <w:rsid w:val="006156C0"/>
    <w:rsid w:val="0064374A"/>
    <w:rsid w:val="00661B29"/>
    <w:rsid w:val="00665952"/>
    <w:rsid w:val="00676FA4"/>
    <w:rsid w:val="00682720"/>
    <w:rsid w:val="0068359C"/>
    <w:rsid w:val="00691B72"/>
    <w:rsid w:val="006A4343"/>
    <w:rsid w:val="006D1E15"/>
    <w:rsid w:val="0070215F"/>
    <w:rsid w:val="00712575"/>
    <w:rsid w:val="00717C15"/>
    <w:rsid w:val="00727C42"/>
    <w:rsid w:val="007351E8"/>
    <w:rsid w:val="0074372B"/>
    <w:rsid w:val="00757AC9"/>
    <w:rsid w:val="00790B88"/>
    <w:rsid w:val="007A0389"/>
    <w:rsid w:val="007A0F74"/>
    <w:rsid w:val="007B4951"/>
    <w:rsid w:val="007C2BBA"/>
    <w:rsid w:val="007D29B4"/>
    <w:rsid w:val="007D4E26"/>
    <w:rsid w:val="008222A7"/>
    <w:rsid w:val="008261D6"/>
    <w:rsid w:val="00830B5F"/>
    <w:rsid w:val="00833365"/>
    <w:rsid w:val="00852FEA"/>
    <w:rsid w:val="0086587E"/>
    <w:rsid w:val="00870C14"/>
    <w:rsid w:val="00887479"/>
    <w:rsid w:val="008B7B2D"/>
    <w:rsid w:val="008D2898"/>
    <w:rsid w:val="00912FE1"/>
    <w:rsid w:val="0093423B"/>
    <w:rsid w:val="009362E6"/>
    <w:rsid w:val="00943084"/>
    <w:rsid w:val="00947E3C"/>
    <w:rsid w:val="00957D2E"/>
    <w:rsid w:val="00960D93"/>
    <w:rsid w:val="00964DAF"/>
    <w:rsid w:val="00986DA4"/>
    <w:rsid w:val="00987962"/>
    <w:rsid w:val="00996C25"/>
    <w:rsid w:val="009A2CB6"/>
    <w:rsid w:val="009D3179"/>
    <w:rsid w:val="009E5CE8"/>
    <w:rsid w:val="009E6BC2"/>
    <w:rsid w:val="009F5AF7"/>
    <w:rsid w:val="00A4008E"/>
    <w:rsid w:val="00A507EC"/>
    <w:rsid w:val="00A515B0"/>
    <w:rsid w:val="00A522C0"/>
    <w:rsid w:val="00A53C67"/>
    <w:rsid w:val="00A817F9"/>
    <w:rsid w:val="00A8350D"/>
    <w:rsid w:val="00A97148"/>
    <w:rsid w:val="00AB1ED7"/>
    <w:rsid w:val="00AC402C"/>
    <w:rsid w:val="00AC78EF"/>
    <w:rsid w:val="00AD1F49"/>
    <w:rsid w:val="00AE3998"/>
    <w:rsid w:val="00AE462A"/>
    <w:rsid w:val="00B149B1"/>
    <w:rsid w:val="00B432CC"/>
    <w:rsid w:val="00B47700"/>
    <w:rsid w:val="00B645E6"/>
    <w:rsid w:val="00B863BE"/>
    <w:rsid w:val="00BA17D3"/>
    <w:rsid w:val="00BA1E8C"/>
    <w:rsid w:val="00BD1473"/>
    <w:rsid w:val="00BD4BE4"/>
    <w:rsid w:val="00BF66B7"/>
    <w:rsid w:val="00C00980"/>
    <w:rsid w:val="00C029AE"/>
    <w:rsid w:val="00C04F67"/>
    <w:rsid w:val="00C141BE"/>
    <w:rsid w:val="00C17365"/>
    <w:rsid w:val="00C21E59"/>
    <w:rsid w:val="00C2261C"/>
    <w:rsid w:val="00C45281"/>
    <w:rsid w:val="00C82716"/>
    <w:rsid w:val="00CA478E"/>
    <w:rsid w:val="00CB2734"/>
    <w:rsid w:val="00CB586A"/>
    <w:rsid w:val="00CC0695"/>
    <w:rsid w:val="00CC1E2F"/>
    <w:rsid w:val="00CF1978"/>
    <w:rsid w:val="00D029F9"/>
    <w:rsid w:val="00D11373"/>
    <w:rsid w:val="00D1251B"/>
    <w:rsid w:val="00D21C3E"/>
    <w:rsid w:val="00D222C7"/>
    <w:rsid w:val="00D2286F"/>
    <w:rsid w:val="00D264C1"/>
    <w:rsid w:val="00D41571"/>
    <w:rsid w:val="00D439C0"/>
    <w:rsid w:val="00D55666"/>
    <w:rsid w:val="00D561C7"/>
    <w:rsid w:val="00D85C97"/>
    <w:rsid w:val="00D916E5"/>
    <w:rsid w:val="00D97715"/>
    <w:rsid w:val="00DA08D9"/>
    <w:rsid w:val="00DD3F4F"/>
    <w:rsid w:val="00DE1F10"/>
    <w:rsid w:val="00DF457B"/>
    <w:rsid w:val="00E029F0"/>
    <w:rsid w:val="00E47202"/>
    <w:rsid w:val="00E91BE3"/>
    <w:rsid w:val="00EB7D03"/>
    <w:rsid w:val="00ED2CDC"/>
    <w:rsid w:val="00ED7F8B"/>
    <w:rsid w:val="00EE2075"/>
    <w:rsid w:val="00EE24B3"/>
    <w:rsid w:val="00EE4881"/>
    <w:rsid w:val="00EF0B34"/>
    <w:rsid w:val="00EF1CD5"/>
    <w:rsid w:val="00F10835"/>
    <w:rsid w:val="00F20410"/>
    <w:rsid w:val="00F22E3E"/>
    <w:rsid w:val="00F25C7C"/>
    <w:rsid w:val="00F43970"/>
    <w:rsid w:val="00F50AC2"/>
    <w:rsid w:val="00F53587"/>
    <w:rsid w:val="00F65DF4"/>
    <w:rsid w:val="00F66568"/>
    <w:rsid w:val="00F814D7"/>
    <w:rsid w:val="00F87BD5"/>
    <w:rsid w:val="00F9595A"/>
    <w:rsid w:val="00FA1600"/>
    <w:rsid w:val="00FA3807"/>
    <w:rsid w:val="00FA627E"/>
    <w:rsid w:val="00FB68A3"/>
    <w:rsid w:val="00FC2072"/>
    <w:rsid w:val="00FC2C9E"/>
    <w:rsid w:val="00FE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69"/>
    <w:rPr>
      <w:rFonts w:ascii="Times" w:hAnsi="Times"/>
    </w:rPr>
  </w:style>
  <w:style w:type="paragraph" w:styleId="Heading1">
    <w:name w:val="heading 1"/>
    <w:basedOn w:val="Normal"/>
    <w:link w:val="Heading1Char"/>
    <w:qFormat/>
    <w:rsid w:val="00AD20BF"/>
    <w:pPr>
      <w:keepNext/>
      <w:keepLines/>
      <w:spacing w:before="240"/>
      <w:jc w:val="center"/>
      <w:outlineLvl w:val="0"/>
    </w:pPr>
    <w:rPr>
      <w:rFonts w:ascii="Arial" w:hAnsi="Arial"/>
      <w:b/>
      <w:bCs/>
      <w:caps/>
      <w:sz w:val="24"/>
    </w:rPr>
  </w:style>
  <w:style w:type="paragraph" w:styleId="Heading2">
    <w:name w:val="heading 2"/>
    <w:basedOn w:val="Normal"/>
    <w:next w:val="Normal"/>
    <w:qFormat/>
    <w:rsid w:val="005259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ST"/>
    <w:link w:val="Heading3Char"/>
    <w:qFormat/>
    <w:rsid w:val="00525977"/>
    <w:pPr>
      <w:keepLines/>
      <w:numPr>
        <w:numId w:val="6"/>
      </w:numPr>
      <w:spacing w:after="0" w:line="240" w:lineRule="atLeast"/>
      <w:outlineLvl w:val="2"/>
    </w:pPr>
    <w:rPr>
      <w:rFonts w:ascii="Times" w:hAnsi="Times" w:cs="Times New Roman"/>
      <w:b w:val="0"/>
      <w:bCs w:val="0"/>
      <w:i w:val="0"/>
      <w:iCs w:val="0"/>
      <w:small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5977"/>
    <w:rPr>
      <w:color w:val="0000FF"/>
      <w:u w:val="single"/>
    </w:rPr>
  </w:style>
  <w:style w:type="paragraph" w:customStyle="1" w:styleId="ST">
    <w:name w:val="ST"/>
    <w:basedOn w:val="Normal"/>
    <w:rsid w:val="00525977"/>
    <w:pPr>
      <w:spacing w:before="240" w:line="240" w:lineRule="atLeast"/>
    </w:pPr>
    <w:rPr>
      <w:sz w:val="24"/>
    </w:rPr>
  </w:style>
  <w:style w:type="paragraph" w:styleId="BodyText0">
    <w:name w:val="Body Text"/>
    <w:basedOn w:val="Normal"/>
    <w:rsid w:val="00525977"/>
    <w:rPr>
      <w:i/>
      <w:sz w:val="24"/>
    </w:rPr>
  </w:style>
  <w:style w:type="paragraph" w:styleId="BodyText2">
    <w:name w:val="Body Text 2"/>
    <w:basedOn w:val="Normal"/>
    <w:rsid w:val="00525977"/>
    <w:rPr>
      <w:rFonts w:ascii="Times New Roman" w:hAnsi="Times New Roman"/>
      <w:color w:val="0000FF"/>
      <w:sz w:val="24"/>
    </w:rPr>
  </w:style>
  <w:style w:type="paragraph" w:customStyle="1" w:styleId="Bodytext1">
    <w:name w:val="Body text"/>
    <w:basedOn w:val="Normal"/>
    <w:rsid w:val="00525977"/>
    <w:pPr>
      <w:overflowPunct w:val="0"/>
      <w:autoSpaceDE w:val="0"/>
      <w:autoSpaceDN w:val="0"/>
      <w:adjustRightInd w:val="0"/>
      <w:spacing w:after="119"/>
      <w:ind w:left="1134"/>
      <w:jc w:val="both"/>
    </w:pPr>
    <w:rPr>
      <w:sz w:val="22"/>
    </w:rPr>
  </w:style>
  <w:style w:type="paragraph" w:styleId="Header">
    <w:name w:val="header"/>
    <w:basedOn w:val="Normal"/>
    <w:rsid w:val="00DD1C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1CB8"/>
    <w:pPr>
      <w:tabs>
        <w:tab w:val="center" w:pos="4153"/>
        <w:tab w:val="right" w:pos="8306"/>
      </w:tabs>
    </w:pPr>
  </w:style>
  <w:style w:type="paragraph" w:customStyle="1" w:styleId="Body">
    <w:name w:val="Body"/>
    <w:aliases w:val="b"/>
    <w:rsid w:val="00754DC4"/>
    <w:pPr>
      <w:spacing w:before="60" w:after="120" w:line="280" w:lineRule="atLeast"/>
    </w:pPr>
    <w:rPr>
      <w:rFonts w:ascii="Arial" w:hAnsi="Arial"/>
      <w:sz w:val="19"/>
      <w:lang w:eastAsia="en-US"/>
    </w:rPr>
  </w:style>
  <w:style w:type="paragraph" w:customStyle="1" w:styleId="Bullet">
    <w:name w:val="Bullet"/>
    <w:aliases w:val="b1"/>
    <w:basedOn w:val="Body"/>
    <w:rsid w:val="00754DC4"/>
    <w:pPr>
      <w:tabs>
        <w:tab w:val="left" w:pos="284"/>
      </w:tabs>
      <w:spacing w:before="0" w:after="100"/>
    </w:pPr>
  </w:style>
  <w:style w:type="paragraph" w:styleId="Title">
    <w:name w:val="Title"/>
    <w:basedOn w:val="Normal"/>
    <w:qFormat/>
    <w:rsid w:val="00754DC4"/>
    <w:pPr>
      <w:jc w:val="center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375651"/>
    <w:rPr>
      <w:rFonts w:ascii="Tahoma" w:hAnsi="Tahoma" w:cs="Tahoma"/>
      <w:sz w:val="16"/>
      <w:szCs w:val="16"/>
    </w:rPr>
  </w:style>
  <w:style w:type="paragraph" w:customStyle="1" w:styleId="ScheduleTitle">
    <w:name w:val="Schedule Title"/>
    <w:basedOn w:val="Normal"/>
    <w:next w:val="Normal"/>
    <w:rsid w:val="00C317CE"/>
    <w:pPr>
      <w:spacing w:before="240" w:after="120"/>
      <w:jc w:val="center"/>
    </w:pPr>
    <w:rPr>
      <w:b/>
      <w:sz w:val="22"/>
    </w:rPr>
  </w:style>
  <w:style w:type="paragraph" w:styleId="Subtitle">
    <w:name w:val="Subtitle"/>
    <w:basedOn w:val="Normal"/>
    <w:qFormat/>
    <w:rsid w:val="00B27E26"/>
    <w:pPr>
      <w:jc w:val="center"/>
    </w:pPr>
    <w:rPr>
      <w:rFonts w:ascii="Times New Roman" w:hAnsi="Times New Roman"/>
      <w:b/>
      <w:sz w:val="28"/>
    </w:rPr>
  </w:style>
  <w:style w:type="paragraph" w:styleId="ListNumber">
    <w:name w:val="List Number"/>
    <w:basedOn w:val="BodyText0"/>
    <w:rsid w:val="00B27E26"/>
    <w:pPr>
      <w:spacing w:after="120"/>
      <w:ind w:left="737" w:hanging="737"/>
    </w:pPr>
    <w:rPr>
      <w:rFonts w:ascii="Times New Roman" w:hAnsi="Times New Roman"/>
      <w:i w:val="0"/>
    </w:rPr>
  </w:style>
  <w:style w:type="table" w:styleId="TableGrid">
    <w:name w:val="Table Grid"/>
    <w:basedOn w:val="TableNormal"/>
    <w:rsid w:val="00B27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B27E26"/>
    <w:pPr>
      <w:numPr>
        <w:numId w:val="3"/>
      </w:numPr>
    </w:pPr>
    <w:rPr>
      <w:rFonts w:ascii="Times New Roman" w:hAnsi="Times New Roman"/>
      <w:sz w:val="24"/>
    </w:rPr>
  </w:style>
  <w:style w:type="paragraph" w:customStyle="1" w:styleId="NumberedText">
    <w:name w:val="Numbered Text"/>
    <w:basedOn w:val="Normal"/>
    <w:rsid w:val="0003761B"/>
    <w:pPr>
      <w:numPr>
        <w:numId w:val="4"/>
      </w:numPr>
      <w:spacing w:after="120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AD20BF"/>
    <w:rPr>
      <w:rFonts w:ascii="Arial" w:hAnsi="Arial"/>
      <w:b/>
      <w:bCs/>
      <w:caps/>
      <w:sz w:val="24"/>
    </w:rPr>
  </w:style>
  <w:style w:type="paragraph" w:customStyle="1" w:styleId="ActTitle">
    <w:name w:val="Act Title"/>
    <w:basedOn w:val="Normal"/>
    <w:rsid w:val="00AD20BF"/>
    <w:pPr>
      <w:spacing w:before="120"/>
      <w:jc w:val="center"/>
    </w:pPr>
    <w:rPr>
      <w:rFonts w:ascii="Arial" w:hAnsi="Arial"/>
      <w:i/>
      <w:iCs/>
      <w:sz w:val="24"/>
    </w:rPr>
  </w:style>
  <w:style w:type="paragraph" w:customStyle="1" w:styleId="Instructions">
    <w:name w:val="Instructions"/>
    <w:basedOn w:val="Normal"/>
    <w:link w:val="InstructionsChar"/>
    <w:rsid w:val="00AD20BF"/>
    <w:pPr>
      <w:spacing w:before="120"/>
      <w:jc w:val="both"/>
    </w:pPr>
    <w:rPr>
      <w:rFonts w:ascii="Arial" w:hAnsi="Arial" w:cs="Arial"/>
      <w:i/>
      <w:color w:val="0000FF"/>
    </w:rPr>
  </w:style>
  <w:style w:type="character" w:customStyle="1" w:styleId="InstructionsChar">
    <w:name w:val="Instructions Char"/>
    <w:basedOn w:val="DefaultParagraphFont"/>
    <w:link w:val="Instructions"/>
    <w:rsid w:val="00AD20BF"/>
    <w:rPr>
      <w:rFonts w:ascii="Arial" w:hAnsi="Arial" w:cs="Arial"/>
      <w:i/>
      <w:color w:val="0000FF"/>
    </w:rPr>
  </w:style>
  <w:style w:type="paragraph" w:customStyle="1" w:styleId="StrategicAssessmentText">
    <w:name w:val="Strategic Assessment Text"/>
    <w:basedOn w:val="Normal"/>
    <w:rsid w:val="00AD20BF"/>
    <w:pPr>
      <w:spacing w:before="120"/>
      <w:ind w:left="284"/>
      <w:jc w:val="both"/>
    </w:pPr>
    <w:rPr>
      <w:sz w:val="24"/>
    </w:rPr>
  </w:style>
  <w:style w:type="paragraph" w:styleId="List2">
    <w:name w:val="List 2"/>
    <w:basedOn w:val="Normal"/>
    <w:rsid w:val="00AD20BF"/>
    <w:pPr>
      <w:numPr>
        <w:ilvl w:val="1"/>
        <w:numId w:val="6"/>
      </w:numPr>
      <w:spacing w:before="120"/>
      <w:jc w:val="both"/>
    </w:pPr>
    <w:rPr>
      <w:sz w:val="24"/>
    </w:rPr>
  </w:style>
  <w:style w:type="character" w:customStyle="1" w:styleId="Heading3Char">
    <w:name w:val="Heading 3 Char"/>
    <w:basedOn w:val="DefaultParagraphFont"/>
    <w:link w:val="Heading3"/>
    <w:rsid w:val="009D3179"/>
    <w:rPr>
      <w:rFonts w:ascii="Times" w:hAnsi="Times"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elongaustralia.com.au/council/yoursa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rategicplanning@geelongcity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elongaustralia.com.au/amendm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rategicplanning@geelongcity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lwp.vic.gov.au/publicinspe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5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Greater Geelong City Council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James Hamilton</dc:creator>
  <cp:lastModifiedBy>ps04759</cp:lastModifiedBy>
  <cp:revision>48</cp:revision>
  <cp:lastPrinted>2016-01-22T05:30:00Z</cp:lastPrinted>
  <dcterms:created xsi:type="dcterms:W3CDTF">2015-11-03T22:36:00Z</dcterms:created>
  <dcterms:modified xsi:type="dcterms:W3CDTF">2016-02-01T01:16:00Z</dcterms:modified>
</cp:coreProperties>
</file>