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17E3B" w:rsidRDefault="00412AEA" w:rsidP="00117E3B">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204" w:lineRule="auto"/>
        <w:jc w:val="right"/>
      </w:pPr>
      <w:r>
        <w:rPr>
          <w:noProof/>
          <w:lang w:val="en-US" w:eastAsia="en-US"/>
        </w:rPr>
        <w:pict>
          <v:shapetype id="_x0000_t202" coordsize="21600,21600" o:spt="202" path="m,l,21600r21600,l21600,xe">
            <v:stroke joinstyle="miter"/>
            <v:path gradientshapeok="t" o:connecttype="rect"/>
          </v:shapetype>
          <v:shape id="Text Box 2" o:spid="_x0000_s1026" type="#_x0000_t202" style="position:absolute;left:0;text-align:left;margin-left:-10.45pt;margin-top:5pt;width:223.3pt;height:156.9pt;z-index:251656704;visibility:visible;mso-wrap-style:square;mso-width-percent:0;mso-wrap-distance-left:9.05pt;mso-wrap-distance-top:0;mso-wrap-distance-right:9.05pt;mso-wrap-distance-bottom:0;mso-position-horizontal:absolute;mso-position-horizontal-relative:text;mso-position-vertical:absolute;mso-position-vertical-relative:text;mso-width-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" strokecolor="white" strokeweight=".5pt">
            <v:textbox inset="7.45pt,3.85pt,7.45pt,3.85pt">
              <w:txbxContent>
                <w:p w:rsidR="00BF1EB4" w:rsidRDefault="00BF1EB4" w:rsidP="0007234A">
                  <w:pPr>
                    <w:suppressAutoHyphens w:val="0"/>
                    <w:spacing w:line="360" w:lineRule="auto"/>
                    <w:rPr>
                      <w:rFonts w:ascii="Arial" w:hAnsi="Arial" w:cs="Arial"/>
                      <w:bCs/>
                    </w:rPr>
                  </w:pPr>
                </w:p>
                <w:p w:rsidR="00BF1EB4" w:rsidRDefault="00BF1EB4" w:rsidP="006D0F97">
                  <w:pPr>
                    <w:spacing w:after="120" w:line="276" w:lineRule="auto"/>
                    <w:jc w:val="both"/>
                    <w:rPr>
                      <w:rFonts w:ascii="Arial" w:hAnsi="Arial" w:cs="Arial"/>
                      <w:lang w:val="en-AU"/>
                    </w:rPr>
                  </w:pPr>
                  <w:r w:rsidRPr="006D0F97">
                    <w:rPr>
                      <w:rFonts w:ascii="Arial" w:hAnsi="Arial" w:cs="Arial"/>
                      <w:lang w:val="en-AU"/>
                    </w:rPr>
                    <w:t xml:space="preserve">Tony Belcher </w:t>
                  </w:r>
                </w:p>
                <w:p w:rsidR="00BF1EB4" w:rsidRPr="006D0F97" w:rsidRDefault="00BF1EB4" w:rsidP="006D0F97">
                  <w:pPr>
                    <w:spacing w:after="120" w:line="276" w:lineRule="auto"/>
                    <w:jc w:val="both"/>
                    <w:rPr>
                      <w:rFonts w:ascii="Arial" w:hAnsi="Arial" w:cs="Arial"/>
                      <w:lang w:val="en-AU"/>
                    </w:rPr>
                  </w:pPr>
                  <w:r w:rsidRPr="006D0F97">
                    <w:rPr>
                      <w:rFonts w:ascii="Arial" w:hAnsi="Arial" w:cs="Arial"/>
                      <w:lang w:val="en-AU"/>
                    </w:rPr>
                    <w:t xml:space="preserve">Strategic Projects Coordinator </w:t>
                  </w:r>
                </w:p>
                <w:p w:rsidR="00BF1EB4" w:rsidRPr="006D0F97" w:rsidRDefault="00BF1EB4" w:rsidP="006D0F97">
                  <w:pPr>
                    <w:spacing w:after="120" w:line="276" w:lineRule="auto"/>
                    <w:jc w:val="both"/>
                    <w:rPr>
                      <w:rFonts w:ascii="Arial" w:hAnsi="Arial" w:cs="Arial"/>
                      <w:lang w:val="en-AU"/>
                    </w:rPr>
                  </w:pPr>
                  <w:r w:rsidRPr="006D0F97">
                    <w:rPr>
                      <w:rFonts w:ascii="Arial" w:hAnsi="Arial" w:cs="Arial"/>
                      <w:lang w:val="en-AU"/>
                    </w:rPr>
                    <w:t>Barwon Water</w:t>
                  </w:r>
                </w:p>
                <w:p w:rsidR="00BF1EB4" w:rsidRDefault="00BF1EB4" w:rsidP="006D0F97">
                  <w:pPr>
                    <w:spacing w:after="120" w:line="276" w:lineRule="auto"/>
                    <w:jc w:val="both"/>
                    <w:rPr>
                      <w:rFonts w:ascii="Arial" w:hAnsi="Arial" w:cs="Arial"/>
                      <w:lang w:val="en-AU"/>
                    </w:rPr>
                  </w:pPr>
                  <w:r w:rsidRPr="006D0F97">
                    <w:rPr>
                      <w:rFonts w:ascii="Arial" w:hAnsi="Arial" w:cs="Arial"/>
                      <w:lang w:val="en-AU"/>
                    </w:rPr>
                    <w:t xml:space="preserve">61-67 Ryrie Street (PO Box 659) </w:t>
                  </w:r>
                </w:p>
                <w:p w:rsidR="00BF1EB4" w:rsidRPr="006D0F97" w:rsidRDefault="00BF1EB4" w:rsidP="006D0F97">
                  <w:pPr>
                    <w:spacing w:after="120" w:line="276" w:lineRule="auto"/>
                    <w:jc w:val="both"/>
                    <w:rPr>
                      <w:rFonts w:ascii="Arial" w:hAnsi="Arial" w:cs="Arial"/>
                      <w:lang w:val="en-AU"/>
                    </w:rPr>
                  </w:pPr>
                  <w:r w:rsidRPr="006D0F97">
                    <w:rPr>
                      <w:rFonts w:ascii="Arial" w:hAnsi="Arial" w:cs="Arial"/>
                      <w:lang w:val="en-AU"/>
                    </w:rPr>
                    <w:t>Geelong VIC 3220</w:t>
                  </w:r>
                </w:p>
                <w:p w:rsidR="00BF1EB4" w:rsidRDefault="00BF1EB4" w:rsidP="00D4440F">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rPr>
                  </w:pPr>
                </w:p>
                <w:p w:rsidR="00BF1EB4" w:rsidRDefault="00BF1EB4" w:rsidP="00D4440F">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rPr>
                  </w:pPr>
                  <w:r>
                    <w:rPr>
                      <w:rFonts w:ascii="Arial" w:hAnsi="Arial" w:cs="Arial"/>
                    </w:rPr>
                    <w:t>Cc. Chris Mason, St Quentin</w:t>
                  </w:r>
                </w:p>
                <w:p w:rsidR="00BF1EB4" w:rsidRDefault="00BF1EB4" w:rsidP="00D4440F">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lang w:val="en-AU"/>
                    </w:rPr>
                  </w:pPr>
                </w:p>
                <w:p w:rsidR="00BF1EB4" w:rsidRPr="00854EEF" w:rsidRDefault="00BF1EB4" w:rsidP="00117E3B">
                  <w:pPr>
                    <w:suppressAutoHyphens w:val="0"/>
                    <w:spacing w:line="360" w:lineRule="auto"/>
                    <w:rPr>
                      <w:rFonts w:ascii="Arial" w:hAnsi="Arial" w:cs="Arial"/>
                    </w:rPr>
                  </w:pPr>
                </w:p>
              </w:txbxContent>
            </v:textbox>
          </v:shape>
        </w:pict>
      </w:r>
      <w:r w:rsidR="00933122">
        <w:rPr>
          <w:rFonts w:ascii="Arial" w:hAnsi="Arial"/>
          <w:b/>
          <w:noProof/>
          <w:color w:val="800000"/>
          <w:lang w:val="en-AU" w:eastAsia="en-AU"/>
        </w:rPr>
        <w:drawing>
          <wp:inline distT="0" distB="0" distL="0" distR="0">
            <wp:extent cx="1320800" cy="2235200"/>
            <wp:effectExtent l="0" t="0" r="0" b="0"/>
            <wp:docPr id="6" name="Picture 1" descr="ne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0800" cy="2235200"/>
                    </a:xfrm>
                    <a:prstGeom prst="rect">
                      <a:avLst/>
                    </a:prstGeom>
                    <a:noFill/>
                    <a:ln>
                      <a:noFill/>
                    </a:ln>
                  </pic:spPr>
                </pic:pic>
              </a:graphicData>
            </a:graphic>
          </wp:inline>
        </w:drawing>
      </w:r>
    </w:p>
    <w:p w:rsidR="005D0695" w:rsidRDefault="006D0F97" w:rsidP="00117E3B">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after="120" w:line="360" w:lineRule="auto"/>
        <w:jc w:val="both"/>
        <w:rPr>
          <w:rFonts w:ascii="Arial" w:hAnsi="Arial" w:cs="Arial"/>
        </w:rPr>
      </w:pPr>
      <w:r w:rsidRPr="005576EE">
        <w:rPr>
          <w:rFonts w:ascii="Arial" w:hAnsi="Arial" w:cs="Arial"/>
        </w:rPr>
        <w:t>2</w:t>
      </w:r>
      <w:r w:rsidR="005576EE" w:rsidRPr="005576EE">
        <w:rPr>
          <w:rFonts w:ascii="Arial" w:hAnsi="Arial" w:cs="Arial"/>
        </w:rPr>
        <w:t>4</w:t>
      </w:r>
      <w:r w:rsidR="005D6ED1" w:rsidRPr="005576EE">
        <w:rPr>
          <w:rFonts w:ascii="Arial" w:hAnsi="Arial" w:cs="Arial"/>
        </w:rPr>
        <w:t xml:space="preserve"> </w:t>
      </w:r>
      <w:r w:rsidR="00CE3BC1" w:rsidRPr="005576EE">
        <w:rPr>
          <w:rFonts w:ascii="Arial" w:hAnsi="Arial" w:cs="Arial"/>
        </w:rPr>
        <w:t>March</w:t>
      </w:r>
      <w:r w:rsidR="005D6ED1" w:rsidRPr="005576EE">
        <w:rPr>
          <w:rFonts w:ascii="Arial" w:hAnsi="Arial" w:cs="Arial"/>
        </w:rPr>
        <w:t xml:space="preserve"> 2015</w:t>
      </w:r>
    </w:p>
    <w:p w:rsidR="005D0695" w:rsidRDefault="005D0695" w:rsidP="00117E3B">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after="120" w:line="360" w:lineRule="auto"/>
        <w:jc w:val="both"/>
        <w:rPr>
          <w:rFonts w:ascii="Arial" w:hAnsi="Arial" w:cs="Arial"/>
        </w:rPr>
      </w:pPr>
    </w:p>
    <w:p w:rsidR="003E5D9F" w:rsidRDefault="00117E3B" w:rsidP="00117E3B">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20" w:after="120" w:line="360" w:lineRule="auto"/>
        <w:jc w:val="both"/>
        <w:rPr>
          <w:rFonts w:ascii="Arial" w:hAnsi="Arial" w:cs="Arial"/>
        </w:rPr>
      </w:pPr>
      <w:r w:rsidRPr="008C0849">
        <w:rPr>
          <w:rFonts w:ascii="Arial" w:hAnsi="Arial" w:cs="Arial"/>
        </w:rPr>
        <w:t xml:space="preserve">Dear </w:t>
      </w:r>
      <w:r w:rsidR="006D0F97">
        <w:rPr>
          <w:rFonts w:ascii="Arial" w:hAnsi="Arial" w:cs="Arial"/>
        </w:rPr>
        <w:t>Tony</w:t>
      </w:r>
      <w:r>
        <w:rPr>
          <w:rFonts w:ascii="Arial" w:hAnsi="Arial" w:cs="Arial"/>
        </w:rPr>
        <w:t>,</w:t>
      </w:r>
    </w:p>
    <w:p w:rsidR="0007234A" w:rsidRPr="0007234A" w:rsidRDefault="00117E3B" w:rsidP="0007234A">
      <w:pPr>
        <w:spacing w:line="360" w:lineRule="auto"/>
        <w:jc w:val="both"/>
        <w:rPr>
          <w:rFonts w:ascii="Arial" w:hAnsi="Arial" w:cs="Arial"/>
          <w:b/>
        </w:rPr>
      </w:pPr>
      <w:r>
        <w:rPr>
          <w:rFonts w:ascii="Arial" w:hAnsi="Arial" w:cs="Arial"/>
          <w:b/>
        </w:rPr>
        <w:t>RE:</w:t>
      </w:r>
      <w:r>
        <w:rPr>
          <w:rFonts w:ascii="Arial" w:hAnsi="Arial" w:cs="Arial"/>
          <w:b/>
        </w:rPr>
        <w:tab/>
      </w:r>
      <w:r w:rsidR="00AC5C38">
        <w:rPr>
          <w:rFonts w:ascii="Arial" w:hAnsi="Arial" w:cs="Arial"/>
          <w:b/>
        </w:rPr>
        <w:t xml:space="preserve">ABORIGINAL </w:t>
      </w:r>
      <w:r w:rsidR="0007234A" w:rsidRPr="0007234A">
        <w:rPr>
          <w:rFonts w:ascii="Arial" w:hAnsi="Arial" w:cs="Arial"/>
          <w:b/>
        </w:rPr>
        <w:t xml:space="preserve">CULTURAL HERITAGE </w:t>
      </w:r>
      <w:r w:rsidR="00CE3BC1">
        <w:rPr>
          <w:rFonts w:ascii="Arial" w:hAnsi="Arial" w:cs="Arial"/>
          <w:b/>
        </w:rPr>
        <w:t>DUE DILIGENCE</w:t>
      </w:r>
    </w:p>
    <w:p w:rsidR="00E2747E" w:rsidRPr="0007234A" w:rsidRDefault="00922A2F" w:rsidP="003E5D9F">
      <w:pPr>
        <w:spacing w:line="360" w:lineRule="auto"/>
        <w:jc w:val="both"/>
        <w:outlineLvl w:val="0"/>
        <w:rPr>
          <w:rFonts w:ascii="Arial" w:hAnsi="Arial" w:cs="Arial"/>
          <w:b/>
        </w:rPr>
      </w:pPr>
      <w:r>
        <w:rPr>
          <w:rFonts w:ascii="Arial" w:hAnsi="Arial" w:cs="Arial"/>
          <w:b/>
        </w:rPr>
        <w:tab/>
      </w:r>
      <w:r w:rsidR="006D0F97">
        <w:rPr>
          <w:rFonts w:ascii="Arial" w:hAnsi="Arial" w:cs="Arial"/>
          <w:b/>
        </w:rPr>
        <w:t>38-42 MAINSAIL DRIVE, ST LEONARDS</w:t>
      </w:r>
      <w:r w:rsidR="00726DAF">
        <w:rPr>
          <w:rFonts w:ascii="Arial" w:hAnsi="Arial" w:cs="Arial"/>
          <w:b/>
        </w:rPr>
        <w:t xml:space="preserve"> – Lot RES2 PS526864 (c.0.28HA)</w:t>
      </w:r>
    </w:p>
    <w:p w:rsidR="00CE3BC1" w:rsidRPr="006442CA" w:rsidRDefault="00CE3BC1" w:rsidP="00CE3BC1">
      <w:pPr>
        <w:spacing w:after="120" w:line="360" w:lineRule="auto"/>
        <w:jc w:val="both"/>
        <w:rPr>
          <w:rFonts w:ascii="Arial" w:hAnsi="Arial" w:cs="Arial"/>
          <w:lang w:val="en-AU"/>
        </w:rPr>
      </w:pPr>
      <w:r w:rsidRPr="006442CA">
        <w:rPr>
          <w:rFonts w:ascii="Arial" w:hAnsi="Arial" w:cs="Arial"/>
          <w:lang w:val="en-AU"/>
        </w:rPr>
        <w:t xml:space="preserve">I respond to your enquiry regarding the proposed </w:t>
      </w:r>
      <w:r w:rsidR="006D0F97">
        <w:rPr>
          <w:rFonts w:ascii="Arial" w:hAnsi="Arial" w:cs="Arial"/>
          <w:lang w:val="en-AU"/>
        </w:rPr>
        <w:t>rezoning and subdivision of the property at 38-42 Mainsail Drive, St Leonards</w:t>
      </w:r>
      <w:r w:rsidRPr="006442CA">
        <w:rPr>
          <w:rFonts w:ascii="Arial" w:hAnsi="Arial" w:cs="Arial"/>
          <w:lang w:val="en-AU"/>
        </w:rPr>
        <w:t xml:space="preserve">. This brief letter/report outlines the requirements of the </w:t>
      </w:r>
      <w:r w:rsidRPr="006442CA">
        <w:rPr>
          <w:rFonts w:ascii="Arial" w:hAnsi="Arial" w:cs="Arial"/>
          <w:i/>
          <w:lang w:val="en-AU"/>
        </w:rPr>
        <w:t>Aboriginal Heritage Act</w:t>
      </w:r>
      <w:r w:rsidRPr="006442CA">
        <w:rPr>
          <w:rFonts w:ascii="Arial" w:hAnsi="Arial" w:cs="Arial"/>
          <w:lang w:val="en-AU"/>
        </w:rPr>
        <w:t xml:space="preserve"> 2006 during the planning process and assesses the risk that the proposed works pose to Aboriginal cultural heritage values.</w:t>
      </w:r>
      <w:r w:rsidRPr="006442CA">
        <w:rPr>
          <w:rStyle w:val="FootnoteReference"/>
          <w:rFonts w:ascii="Arial" w:hAnsi="Arial" w:cs="Arial"/>
          <w:lang w:val="en-AU"/>
        </w:rPr>
        <w:footnoteReference w:id="1"/>
      </w:r>
      <w:r w:rsidRPr="006442CA">
        <w:rPr>
          <w:rFonts w:ascii="Arial" w:hAnsi="Arial" w:cs="Arial"/>
          <w:lang w:val="en-AU"/>
        </w:rPr>
        <w:t xml:space="preserve"> </w:t>
      </w:r>
      <w:r>
        <w:rPr>
          <w:rFonts w:ascii="Arial" w:hAnsi="Arial" w:cs="Arial"/>
          <w:lang w:val="en-AU"/>
        </w:rPr>
        <w:t xml:space="preserve">In particular, this advice </w:t>
      </w:r>
      <w:r w:rsidRPr="006442CA">
        <w:rPr>
          <w:rFonts w:ascii="Arial" w:hAnsi="Arial" w:cs="Arial"/>
          <w:lang w:val="en-AU"/>
        </w:rPr>
        <w:t xml:space="preserve">assesses </w:t>
      </w:r>
      <w:r>
        <w:rPr>
          <w:rFonts w:ascii="Arial" w:hAnsi="Arial" w:cs="Arial"/>
          <w:lang w:val="en-AU"/>
        </w:rPr>
        <w:t>whether a Cultural Heritage Management Plan (CHMP) is triggered by the proposed activity under the Regulations of the Act.</w:t>
      </w:r>
    </w:p>
    <w:p w:rsidR="00CE3BC1" w:rsidRPr="006442CA" w:rsidRDefault="00CE3BC1" w:rsidP="00CE3BC1">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sidRPr="006442CA">
        <w:rPr>
          <w:rFonts w:ascii="Arial" w:hAnsi="Arial" w:cs="Arial"/>
          <w:lang w:val="en-AU"/>
        </w:rPr>
        <w:t xml:space="preserve">In order to determine </w:t>
      </w:r>
      <w:r w:rsidR="00F73944">
        <w:rPr>
          <w:rFonts w:ascii="Arial" w:hAnsi="Arial" w:cs="Arial"/>
          <w:lang w:val="en-AU"/>
        </w:rPr>
        <w:t>APA's</w:t>
      </w:r>
      <w:r w:rsidRPr="006442CA">
        <w:rPr>
          <w:rFonts w:ascii="Arial" w:hAnsi="Arial" w:cs="Arial"/>
          <w:lang w:val="en-AU"/>
        </w:rPr>
        <w:t xml:space="preserve"> obligations the following steps have been undertaken: </w:t>
      </w:r>
    </w:p>
    <w:p w:rsidR="00CE3BC1" w:rsidRPr="006442CA" w:rsidRDefault="00CE3BC1" w:rsidP="00EF1661">
      <w:pPr>
        <w:numPr>
          <w:ilvl w:val="0"/>
          <w:numId w:val="6"/>
        </w:num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sidRPr="006442CA">
        <w:rPr>
          <w:rFonts w:ascii="Arial" w:hAnsi="Arial" w:cs="Arial"/>
          <w:lang w:val="en-AU"/>
        </w:rPr>
        <w:t xml:space="preserve">a review of the </w:t>
      </w:r>
      <w:r w:rsidRPr="006442CA">
        <w:rPr>
          <w:rFonts w:ascii="Arial" w:hAnsi="Arial" w:cs="Arial"/>
          <w:i/>
          <w:lang w:val="en-AU"/>
        </w:rPr>
        <w:t xml:space="preserve">Aboriginal Heritage Act </w:t>
      </w:r>
      <w:r w:rsidRPr="006442CA">
        <w:rPr>
          <w:rFonts w:ascii="Arial" w:hAnsi="Arial" w:cs="Arial"/>
          <w:lang w:val="en-AU"/>
        </w:rPr>
        <w:t xml:space="preserve">2006, including the Aboriginal Heritage Regulations 2007; </w:t>
      </w:r>
    </w:p>
    <w:p w:rsidR="00CE3BC1" w:rsidRPr="006442CA" w:rsidRDefault="00CE3BC1" w:rsidP="00EF1661">
      <w:pPr>
        <w:numPr>
          <w:ilvl w:val="0"/>
          <w:numId w:val="6"/>
        </w:num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sidRPr="006442CA">
        <w:rPr>
          <w:rFonts w:ascii="Arial" w:hAnsi="Arial" w:cs="Arial"/>
          <w:lang w:val="en-AU"/>
        </w:rPr>
        <w:t xml:space="preserve">a check of the Office of Aboriginal Affairs Victoria (OAAV) Victorian Aboriginal Heritage Register (VAHR) for place records; </w:t>
      </w:r>
    </w:p>
    <w:p w:rsidR="00CE3BC1" w:rsidRPr="006442CA" w:rsidRDefault="00CE3BC1" w:rsidP="00EF1661">
      <w:pPr>
        <w:numPr>
          <w:ilvl w:val="0"/>
          <w:numId w:val="6"/>
        </w:num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sidRPr="006442CA">
        <w:rPr>
          <w:rFonts w:ascii="Arial" w:hAnsi="Arial" w:cs="Arial"/>
          <w:lang w:val="en-AU"/>
        </w:rPr>
        <w:t>a review of previous Aboriginal archaeological assessments, where relevant;</w:t>
      </w:r>
    </w:p>
    <w:p w:rsidR="00CE3BC1" w:rsidRDefault="00CE3BC1" w:rsidP="00EF1661">
      <w:pPr>
        <w:numPr>
          <w:ilvl w:val="0"/>
          <w:numId w:val="6"/>
        </w:num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sidRPr="006442CA">
        <w:rPr>
          <w:rFonts w:ascii="Arial" w:hAnsi="Arial" w:cs="Arial"/>
          <w:lang w:val="en-AU"/>
        </w:rPr>
        <w:t>a check of the ‘Areas of Cultural Heritage Sensitivity’ as defined by the Aboriginal Heritage Regulations 2007</w:t>
      </w:r>
      <w:r w:rsidR="00F73944">
        <w:rPr>
          <w:rFonts w:ascii="Arial" w:hAnsi="Arial" w:cs="Arial"/>
          <w:lang w:val="en-AU"/>
        </w:rPr>
        <w:t>; and,</w:t>
      </w:r>
    </w:p>
    <w:p w:rsidR="00F73944" w:rsidRDefault="00F73944" w:rsidP="00EF1661">
      <w:pPr>
        <w:numPr>
          <w:ilvl w:val="0"/>
          <w:numId w:val="6"/>
        </w:num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proofErr w:type="gramStart"/>
      <w:r>
        <w:rPr>
          <w:rFonts w:ascii="Arial" w:hAnsi="Arial" w:cs="Arial"/>
          <w:lang w:val="en-AU"/>
        </w:rPr>
        <w:t>a</w:t>
      </w:r>
      <w:proofErr w:type="gramEnd"/>
      <w:r>
        <w:rPr>
          <w:rFonts w:ascii="Arial" w:hAnsi="Arial" w:cs="Arial"/>
          <w:lang w:val="en-AU"/>
        </w:rPr>
        <w:t xml:space="preserve"> brief site inspection.</w:t>
      </w:r>
      <w:r w:rsidR="00084984">
        <w:rPr>
          <w:rStyle w:val="FootnoteReference"/>
          <w:rFonts w:ascii="Arial" w:hAnsi="Arial" w:cs="Arial"/>
          <w:lang w:val="en-AU"/>
        </w:rPr>
        <w:footnoteReference w:id="2"/>
      </w:r>
    </w:p>
    <w:p w:rsidR="00084984" w:rsidRDefault="00084984" w:rsidP="00CE3BC1">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b/>
          <w:lang w:val="en-AU"/>
        </w:rPr>
      </w:pPr>
    </w:p>
    <w:p w:rsidR="00084984" w:rsidRDefault="00084984" w:rsidP="00CE3BC1">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b/>
          <w:lang w:val="en-AU"/>
        </w:rPr>
      </w:pPr>
    </w:p>
    <w:p w:rsidR="00CE3BC1" w:rsidRPr="006442CA" w:rsidRDefault="00CE3BC1" w:rsidP="00CE3BC1">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b/>
          <w:lang w:val="en-AU"/>
        </w:rPr>
      </w:pPr>
      <w:r w:rsidRPr="006442CA">
        <w:rPr>
          <w:rFonts w:ascii="Arial" w:hAnsi="Arial" w:cs="Arial"/>
          <w:b/>
          <w:lang w:val="en-AU"/>
        </w:rPr>
        <w:lastRenderedPageBreak/>
        <w:t>Aboriginal Cultural Heritage Legislation</w:t>
      </w:r>
    </w:p>
    <w:p w:rsidR="00CE3BC1" w:rsidRPr="006442CA" w:rsidRDefault="00CE3BC1" w:rsidP="00CE3BC1">
      <w:pPr>
        <w:spacing w:after="120" w:line="360" w:lineRule="auto"/>
        <w:jc w:val="both"/>
        <w:rPr>
          <w:rFonts w:ascii="Arial" w:hAnsi="Arial" w:cs="Arial"/>
        </w:rPr>
      </w:pPr>
      <w:r w:rsidRPr="006442CA">
        <w:rPr>
          <w:rFonts w:ascii="Arial" w:hAnsi="Arial" w:cs="Arial"/>
        </w:rPr>
        <w:t xml:space="preserve">The </w:t>
      </w:r>
      <w:r w:rsidRPr="006442CA">
        <w:rPr>
          <w:rFonts w:ascii="Arial" w:hAnsi="Arial" w:cs="Arial"/>
          <w:i/>
        </w:rPr>
        <w:t>Aboriginal Heritage Act</w:t>
      </w:r>
      <w:r w:rsidRPr="006442CA">
        <w:rPr>
          <w:rFonts w:ascii="Arial" w:hAnsi="Arial" w:cs="Arial"/>
        </w:rPr>
        <w:t xml:space="preserve"> 2006 (referred to as 'the Act' hereafter) provides blanket protection for Aboriginal cultural heritage. This means that all Aboriginal cultural heritage (recorded and as yet unrecorded) is protected from harm and it is illegal to carry out an activity that can disturb Aboriginal places without the appropriate authorities under the Act (and its associated Aboriginal Heritage Regulations 2007). There are two principal mechanisms under the Act that remove the risk of illegal harm to Aboriginal cultural heritage, namely:</w:t>
      </w:r>
    </w:p>
    <w:p w:rsidR="00CE3BC1" w:rsidRPr="006442CA" w:rsidRDefault="00CE3BC1" w:rsidP="00CE3BC1">
      <w:pPr>
        <w:numPr>
          <w:ilvl w:val="0"/>
          <w:numId w:val="3"/>
        </w:numPr>
        <w:suppressAutoHyphens w:val="0"/>
        <w:spacing w:after="120" w:line="360" w:lineRule="auto"/>
        <w:jc w:val="both"/>
        <w:rPr>
          <w:rFonts w:ascii="Arial" w:hAnsi="Arial" w:cs="Arial"/>
        </w:rPr>
      </w:pPr>
      <w:r w:rsidRPr="006442CA">
        <w:rPr>
          <w:rFonts w:ascii="Arial" w:hAnsi="Arial" w:cs="Arial"/>
        </w:rPr>
        <w:t>Cultural Heritage Management Plan (CHMP)</w:t>
      </w:r>
    </w:p>
    <w:p w:rsidR="00CE3BC1" w:rsidRPr="006442CA" w:rsidRDefault="00CE3BC1" w:rsidP="00CE3BC1">
      <w:pPr>
        <w:numPr>
          <w:ilvl w:val="0"/>
          <w:numId w:val="3"/>
        </w:numPr>
        <w:suppressAutoHyphens w:val="0"/>
        <w:spacing w:after="120" w:line="360" w:lineRule="auto"/>
        <w:jc w:val="both"/>
        <w:rPr>
          <w:rFonts w:ascii="Arial" w:hAnsi="Arial" w:cs="Arial"/>
        </w:rPr>
      </w:pPr>
      <w:r w:rsidRPr="006442CA">
        <w:rPr>
          <w:rFonts w:ascii="Arial" w:hAnsi="Arial" w:cs="Arial"/>
        </w:rPr>
        <w:t>Cultural Heritage Permit (CHP)</w:t>
      </w:r>
    </w:p>
    <w:p w:rsidR="00CE3BC1" w:rsidRPr="006442CA" w:rsidRDefault="00CE3BC1" w:rsidP="00CE3BC1">
      <w:pPr>
        <w:spacing w:after="120" w:line="360" w:lineRule="auto"/>
        <w:jc w:val="both"/>
        <w:rPr>
          <w:rFonts w:ascii="Arial" w:hAnsi="Arial" w:cs="Arial"/>
        </w:rPr>
      </w:pPr>
      <w:r w:rsidRPr="006442CA">
        <w:rPr>
          <w:rFonts w:ascii="Arial" w:hAnsi="Arial" w:cs="Arial"/>
        </w:rPr>
        <w:t>A CHP is relevant only where an Aboriginal place/s is registered in the works area and a CHMP is not a mandatory requirement. As this is not the case for the study area, only CHMP processes are discussed below.</w:t>
      </w:r>
    </w:p>
    <w:p w:rsidR="00CE3BC1" w:rsidRPr="006442CA" w:rsidRDefault="00CE3BC1" w:rsidP="00CE3BC1">
      <w:pPr>
        <w:spacing w:after="120" w:line="360" w:lineRule="auto"/>
        <w:jc w:val="both"/>
        <w:outlineLvl w:val="0"/>
        <w:rPr>
          <w:rFonts w:ascii="Arial" w:hAnsi="Arial" w:cs="Arial"/>
          <w:u w:val="single"/>
        </w:rPr>
      </w:pPr>
      <w:bookmarkStart w:id="0" w:name="_Toc268671997"/>
      <w:bookmarkStart w:id="1" w:name="_Toc268781207"/>
      <w:r w:rsidRPr="006442CA">
        <w:rPr>
          <w:rFonts w:ascii="Arial" w:hAnsi="Arial" w:cs="Arial"/>
          <w:u w:val="single"/>
        </w:rPr>
        <w:t>Cultural Heritage Management Plan</w:t>
      </w:r>
      <w:bookmarkEnd w:id="0"/>
      <w:bookmarkEnd w:id="1"/>
    </w:p>
    <w:p w:rsidR="00CE3BC1" w:rsidRPr="006442CA" w:rsidRDefault="00CE3BC1" w:rsidP="00CE3BC1">
      <w:pPr>
        <w:spacing w:after="120" w:line="360" w:lineRule="auto"/>
        <w:jc w:val="both"/>
        <w:rPr>
          <w:rFonts w:ascii="Arial" w:hAnsi="Arial" w:cs="Arial"/>
        </w:rPr>
      </w:pPr>
      <w:r w:rsidRPr="006442CA">
        <w:rPr>
          <w:rFonts w:ascii="Arial" w:hAnsi="Arial" w:cs="Arial"/>
        </w:rPr>
        <w:t>A CHMP is a report recommending measures to be taken to protect Aboriginal cultural heritage affected by a development or use of land. It must include recommendations for measures to be taken before, during and after a relevant activity. The underlying philosophy of the CHMP is to minimise harm to Aboriginal places, however it is the document through which provisions can be made to legally harm Aboriginal places. A CHMP must be approved by a Registered Aboriginal Party or where no party exists for the area, the Secretary of the Department of Planning and Community Development, before the activity may commence.</w:t>
      </w:r>
      <w:r w:rsidRPr="006442CA">
        <w:rPr>
          <w:rStyle w:val="FootnoteReference"/>
          <w:rFonts w:ascii="Arial" w:hAnsi="Arial" w:cs="Arial"/>
        </w:rPr>
        <w:footnoteReference w:id="3"/>
      </w:r>
      <w:r w:rsidRPr="006442CA">
        <w:rPr>
          <w:rFonts w:ascii="Arial" w:hAnsi="Arial" w:cs="Arial"/>
        </w:rPr>
        <w:t xml:space="preserve"> </w:t>
      </w:r>
    </w:p>
    <w:p w:rsidR="00CE3BC1" w:rsidRPr="006442CA" w:rsidRDefault="00CE3BC1" w:rsidP="00CE3BC1">
      <w:pPr>
        <w:spacing w:after="120" w:line="360" w:lineRule="auto"/>
        <w:jc w:val="both"/>
        <w:rPr>
          <w:rFonts w:ascii="Arial" w:hAnsi="Arial" w:cs="Arial"/>
        </w:rPr>
      </w:pPr>
      <w:r w:rsidRPr="006442CA">
        <w:rPr>
          <w:rFonts w:ascii="Arial" w:hAnsi="Arial" w:cs="Arial"/>
        </w:rPr>
        <w:t>A CHMP usually involves a staged investigation of the risk posed by a proposed activity to Aboriginal cultural heritage. The Act and associated Regulations set out the requirements for different levels of investigation:</w:t>
      </w:r>
    </w:p>
    <w:p w:rsidR="00CE3BC1" w:rsidRPr="006442CA" w:rsidRDefault="00CE3BC1" w:rsidP="00CE3BC1">
      <w:pPr>
        <w:numPr>
          <w:ilvl w:val="0"/>
          <w:numId w:val="3"/>
        </w:numPr>
        <w:suppressAutoHyphens w:val="0"/>
        <w:spacing w:after="120" w:line="360" w:lineRule="auto"/>
        <w:jc w:val="both"/>
        <w:rPr>
          <w:rFonts w:ascii="Arial" w:hAnsi="Arial" w:cs="Arial"/>
        </w:rPr>
      </w:pPr>
      <w:r w:rsidRPr="006442CA">
        <w:rPr>
          <w:rFonts w:ascii="Arial" w:hAnsi="Arial" w:cs="Arial"/>
        </w:rPr>
        <w:t>Desktop Assessment.</w:t>
      </w:r>
    </w:p>
    <w:p w:rsidR="00CE3BC1" w:rsidRPr="006442CA" w:rsidRDefault="00CE3BC1" w:rsidP="00CE3BC1">
      <w:pPr>
        <w:numPr>
          <w:ilvl w:val="0"/>
          <w:numId w:val="3"/>
        </w:numPr>
        <w:suppressAutoHyphens w:val="0"/>
        <w:spacing w:after="120" w:line="360" w:lineRule="auto"/>
        <w:jc w:val="both"/>
        <w:rPr>
          <w:rFonts w:ascii="Arial" w:hAnsi="Arial" w:cs="Arial"/>
        </w:rPr>
      </w:pPr>
      <w:r w:rsidRPr="006442CA">
        <w:rPr>
          <w:rFonts w:ascii="Arial" w:hAnsi="Arial" w:cs="Arial"/>
        </w:rPr>
        <w:t>Standard Assessment (Field Survey).</w:t>
      </w:r>
    </w:p>
    <w:p w:rsidR="00CE3BC1" w:rsidRPr="006442CA" w:rsidRDefault="00CE3BC1" w:rsidP="00CE3BC1">
      <w:pPr>
        <w:numPr>
          <w:ilvl w:val="0"/>
          <w:numId w:val="3"/>
        </w:numPr>
        <w:suppressAutoHyphens w:val="0"/>
        <w:spacing w:after="120" w:line="360" w:lineRule="auto"/>
        <w:jc w:val="both"/>
        <w:rPr>
          <w:rFonts w:ascii="Arial" w:hAnsi="Arial" w:cs="Arial"/>
        </w:rPr>
      </w:pPr>
      <w:r w:rsidRPr="006442CA">
        <w:rPr>
          <w:rFonts w:ascii="Arial" w:hAnsi="Arial" w:cs="Arial"/>
        </w:rPr>
        <w:t>Complex Assessment (Subsurface Testing; Controlled Excavation).</w:t>
      </w:r>
    </w:p>
    <w:p w:rsidR="00CE3BC1" w:rsidRPr="006442CA" w:rsidRDefault="00CE3BC1" w:rsidP="00CE3BC1">
      <w:pPr>
        <w:spacing w:after="120" w:line="360" w:lineRule="auto"/>
        <w:jc w:val="both"/>
        <w:rPr>
          <w:rFonts w:ascii="Arial" w:hAnsi="Arial" w:cs="Arial"/>
        </w:rPr>
      </w:pPr>
      <w:r w:rsidRPr="006442CA">
        <w:rPr>
          <w:rFonts w:ascii="Arial" w:hAnsi="Arial" w:cs="Arial"/>
        </w:rPr>
        <w:t>The Sponsor (usually the proponent) of a CHMP must ensure that the plan is prepared in accordance with prescribed standards which are outlined in the Act, associated Regulations, and Approved Forms. The CHMP must consider the following matters:</w:t>
      </w:r>
    </w:p>
    <w:p w:rsidR="00CE3BC1" w:rsidRPr="006442CA" w:rsidRDefault="00CE3BC1" w:rsidP="00EF1661">
      <w:pPr>
        <w:numPr>
          <w:ilvl w:val="1"/>
          <w:numId w:val="7"/>
        </w:numPr>
        <w:suppressAutoHyphens w:val="0"/>
        <w:spacing w:after="120" w:line="360" w:lineRule="auto"/>
        <w:jc w:val="both"/>
        <w:rPr>
          <w:rFonts w:ascii="Arial" w:hAnsi="Arial" w:cs="Arial"/>
        </w:rPr>
      </w:pPr>
      <w:r w:rsidRPr="006442CA">
        <w:rPr>
          <w:rFonts w:ascii="Arial" w:hAnsi="Arial" w:cs="Arial"/>
        </w:rPr>
        <w:t>Whether the activity will be conducted in a way that avoids harm to Aboriginal cultural heritage.</w:t>
      </w:r>
    </w:p>
    <w:p w:rsidR="00CE3BC1" w:rsidRPr="006442CA" w:rsidRDefault="00CE3BC1" w:rsidP="00EF1661">
      <w:pPr>
        <w:numPr>
          <w:ilvl w:val="1"/>
          <w:numId w:val="7"/>
        </w:numPr>
        <w:suppressAutoHyphens w:val="0"/>
        <w:spacing w:after="120" w:line="360" w:lineRule="auto"/>
        <w:jc w:val="both"/>
        <w:rPr>
          <w:rFonts w:ascii="Arial" w:hAnsi="Arial" w:cs="Arial"/>
        </w:rPr>
      </w:pPr>
      <w:r w:rsidRPr="006442CA">
        <w:rPr>
          <w:rFonts w:ascii="Arial" w:hAnsi="Arial" w:cs="Arial"/>
        </w:rPr>
        <w:lastRenderedPageBreak/>
        <w:t>If it does not appear to be possible to conduct the activity in a way that avoids harm to Aboriginal cultural heritage, whether the activity will be conducted in a way that minimises harm to Aboriginal cultural heritage.</w:t>
      </w:r>
    </w:p>
    <w:p w:rsidR="00CE3BC1" w:rsidRPr="006442CA" w:rsidRDefault="00CE3BC1" w:rsidP="00EF1661">
      <w:pPr>
        <w:numPr>
          <w:ilvl w:val="1"/>
          <w:numId w:val="7"/>
        </w:numPr>
        <w:suppressAutoHyphens w:val="0"/>
        <w:spacing w:after="120" w:line="360" w:lineRule="auto"/>
        <w:jc w:val="both"/>
        <w:rPr>
          <w:rFonts w:ascii="Arial" w:hAnsi="Arial" w:cs="Arial"/>
        </w:rPr>
      </w:pPr>
      <w:r w:rsidRPr="006442CA">
        <w:rPr>
          <w:rFonts w:ascii="Arial" w:hAnsi="Arial" w:cs="Arial"/>
        </w:rPr>
        <w:t>Any specific measures required for the management of Aboriginal cultural heritage likely to be affected by the activity, both during and after the activity.</w:t>
      </w:r>
    </w:p>
    <w:p w:rsidR="00CE3BC1" w:rsidRPr="006442CA" w:rsidRDefault="00CE3BC1" w:rsidP="00EF1661">
      <w:pPr>
        <w:numPr>
          <w:ilvl w:val="1"/>
          <w:numId w:val="7"/>
        </w:numPr>
        <w:suppressAutoHyphens w:val="0"/>
        <w:spacing w:after="120" w:line="360" w:lineRule="auto"/>
        <w:jc w:val="both"/>
        <w:rPr>
          <w:rFonts w:ascii="Arial" w:hAnsi="Arial" w:cs="Arial"/>
        </w:rPr>
      </w:pPr>
      <w:r w:rsidRPr="006442CA">
        <w:rPr>
          <w:rFonts w:ascii="Arial" w:hAnsi="Arial" w:cs="Arial"/>
        </w:rPr>
        <w:t>Any contingency plans required in relation to disputes, delays and other obstacles that may affect the conduct of the activity.</w:t>
      </w:r>
    </w:p>
    <w:p w:rsidR="00CE3BC1" w:rsidRPr="006442CA" w:rsidRDefault="00CE3BC1" w:rsidP="00EF1661">
      <w:pPr>
        <w:numPr>
          <w:ilvl w:val="1"/>
          <w:numId w:val="7"/>
        </w:numPr>
        <w:suppressAutoHyphens w:val="0"/>
        <w:spacing w:after="120" w:line="360" w:lineRule="auto"/>
        <w:jc w:val="both"/>
        <w:rPr>
          <w:rFonts w:ascii="Arial" w:hAnsi="Arial" w:cs="Arial"/>
        </w:rPr>
      </w:pPr>
      <w:r w:rsidRPr="006442CA">
        <w:rPr>
          <w:rFonts w:ascii="Arial" w:hAnsi="Arial" w:cs="Arial"/>
        </w:rPr>
        <w:t>Requirements relating to the custody and management of Aboriginal cultural heritage during the course of the activity.</w:t>
      </w:r>
    </w:p>
    <w:p w:rsidR="00CE3BC1" w:rsidRPr="006442CA" w:rsidRDefault="00CE3BC1" w:rsidP="00CE3BC1">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40" w:line="360" w:lineRule="auto"/>
        <w:jc w:val="both"/>
        <w:rPr>
          <w:rFonts w:ascii="Arial" w:hAnsi="Arial" w:cs="Arial"/>
          <w:lang w:val="en-AU"/>
        </w:rPr>
      </w:pPr>
      <w:r w:rsidRPr="006442CA">
        <w:rPr>
          <w:rFonts w:ascii="Arial" w:hAnsi="Arial" w:cs="Arial"/>
        </w:rPr>
        <w:t xml:space="preserve">Provisions relating to enforcement of the Act include: cultural heritage audits, protection </w:t>
      </w:r>
      <w:proofErr w:type="gramStart"/>
      <w:r w:rsidRPr="006442CA">
        <w:rPr>
          <w:rFonts w:ascii="Arial" w:hAnsi="Arial" w:cs="Arial"/>
        </w:rPr>
        <w:t>declarations</w:t>
      </w:r>
      <w:proofErr w:type="gramEnd"/>
      <w:r w:rsidRPr="006442CA">
        <w:rPr>
          <w:rFonts w:ascii="Arial" w:hAnsi="Arial" w:cs="Arial"/>
        </w:rPr>
        <w:t xml:space="preserve"> and stop orders, inspection arrangements and penalties. Maximum penalties are likely to be more tha</w:t>
      </w:r>
      <w:r w:rsidR="009C1878">
        <w:rPr>
          <w:rFonts w:ascii="Arial" w:hAnsi="Arial" w:cs="Arial"/>
        </w:rPr>
        <w:t>n</w:t>
      </w:r>
      <w:r w:rsidRPr="006442CA">
        <w:rPr>
          <w:rFonts w:ascii="Arial" w:hAnsi="Arial" w:cs="Arial"/>
        </w:rPr>
        <w:t xml:space="preserve"> $180,000 for an individual or more than $1 million for a company.</w:t>
      </w:r>
    </w:p>
    <w:p w:rsidR="00CE3BC1" w:rsidRPr="006442CA" w:rsidRDefault="00CE3BC1" w:rsidP="00CE3BC1">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b/>
          <w:lang w:val="en-AU"/>
        </w:rPr>
      </w:pPr>
      <w:r w:rsidRPr="006442CA">
        <w:rPr>
          <w:rFonts w:ascii="Arial" w:hAnsi="Arial" w:cs="Arial"/>
          <w:b/>
          <w:lang w:val="en-AU"/>
        </w:rPr>
        <w:t>What Are The Triggers For A CHMP?</w:t>
      </w:r>
    </w:p>
    <w:p w:rsidR="00CE3BC1" w:rsidRPr="006442CA" w:rsidRDefault="00CE3BC1" w:rsidP="00CE3BC1">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sidRPr="006442CA">
        <w:rPr>
          <w:rFonts w:ascii="Arial" w:hAnsi="Arial" w:cs="Arial"/>
          <w:lang w:val="en-AU"/>
        </w:rPr>
        <w:t>Section 46 of the Act specifies the circumstances in which preparation of a CHMP is mandatory:</w:t>
      </w:r>
    </w:p>
    <w:p w:rsidR="00CE3BC1" w:rsidRPr="006442CA" w:rsidRDefault="00CE3BC1" w:rsidP="00CE3BC1">
      <w:pPr>
        <w:numPr>
          <w:ilvl w:val="0"/>
          <w:numId w:val="4"/>
        </w:num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sidRPr="006442CA">
        <w:rPr>
          <w:rFonts w:ascii="Arial" w:hAnsi="Arial" w:cs="Arial"/>
          <w:lang w:val="en-AU"/>
        </w:rPr>
        <w:t>When required by the Regulations;</w:t>
      </w:r>
    </w:p>
    <w:p w:rsidR="00CE3BC1" w:rsidRPr="006442CA" w:rsidRDefault="00CE3BC1" w:rsidP="00CE3BC1">
      <w:pPr>
        <w:numPr>
          <w:ilvl w:val="0"/>
          <w:numId w:val="4"/>
        </w:num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sidRPr="006442CA">
        <w:rPr>
          <w:rFonts w:ascii="Arial" w:hAnsi="Arial" w:cs="Arial"/>
          <w:lang w:val="en-AU"/>
        </w:rPr>
        <w:t>When the Minister directs a CHMP to be prepared for an activity; or</w:t>
      </w:r>
    </w:p>
    <w:p w:rsidR="00CE3BC1" w:rsidRPr="006442CA" w:rsidRDefault="00CE3BC1" w:rsidP="00CE3BC1">
      <w:pPr>
        <w:numPr>
          <w:ilvl w:val="0"/>
          <w:numId w:val="4"/>
        </w:num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sidRPr="006442CA">
        <w:rPr>
          <w:rFonts w:ascii="Arial" w:hAnsi="Arial" w:cs="Arial"/>
          <w:lang w:val="en-AU"/>
        </w:rPr>
        <w:t>When an EES is required for an activity.</w:t>
      </w:r>
    </w:p>
    <w:p w:rsidR="00CE3BC1" w:rsidRPr="006442CA" w:rsidRDefault="00CE3BC1" w:rsidP="00CE3BC1">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sidRPr="006442CA">
        <w:rPr>
          <w:rFonts w:ascii="Arial" w:hAnsi="Arial" w:cs="Arial"/>
          <w:lang w:val="en-AU"/>
        </w:rPr>
        <w:t>Clause 6 of the Regulations states that a CHMP is required when:</w:t>
      </w:r>
    </w:p>
    <w:p w:rsidR="00CE3BC1" w:rsidRPr="006442CA" w:rsidRDefault="00CE3BC1" w:rsidP="00CE3BC1">
      <w:pPr>
        <w:numPr>
          <w:ilvl w:val="0"/>
          <w:numId w:val="5"/>
        </w:num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sidRPr="006442CA">
        <w:rPr>
          <w:rFonts w:ascii="Arial" w:hAnsi="Arial" w:cs="Arial"/>
          <w:lang w:val="en-AU"/>
        </w:rPr>
        <w:t>All or part of the activity is a high impact activity.</w:t>
      </w:r>
    </w:p>
    <w:p w:rsidR="00CE3BC1" w:rsidRPr="006442CA" w:rsidRDefault="00CE3BC1" w:rsidP="00CE3BC1">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proofErr w:type="gramStart"/>
      <w:r w:rsidRPr="006442CA">
        <w:rPr>
          <w:rFonts w:ascii="Arial" w:hAnsi="Arial" w:cs="Arial"/>
          <w:u w:val="single"/>
          <w:lang w:val="en-AU"/>
        </w:rPr>
        <w:t>and</w:t>
      </w:r>
      <w:proofErr w:type="gramEnd"/>
    </w:p>
    <w:p w:rsidR="00CE3BC1" w:rsidRPr="006442CA" w:rsidRDefault="00CE3BC1" w:rsidP="00CE3BC1">
      <w:pPr>
        <w:numPr>
          <w:ilvl w:val="0"/>
          <w:numId w:val="5"/>
        </w:num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sidRPr="006442CA">
        <w:rPr>
          <w:rFonts w:ascii="Arial" w:hAnsi="Arial" w:cs="Arial"/>
          <w:lang w:val="en-AU"/>
        </w:rPr>
        <w:t>All or part of the activity area is in an area of cultural heritage sensitivity - which has not been subject to prior significant ground disturbance.</w:t>
      </w:r>
    </w:p>
    <w:p w:rsidR="00CE3BC1" w:rsidRPr="006442CA" w:rsidRDefault="00CE3BC1" w:rsidP="00CE3BC1">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sidRPr="006442CA">
        <w:rPr>
          <w:rFonts w:ascii="Arial" w:hAnsi="Arial" w:cs="Arial"/>
          <w:lang w:val="en-AU"/>
        </w:rPr>
        <w:t>‘High impact activities’ and ‘areas of cultural heritage sensitivity’ are defined in the Regulations. For activities which trigger a CHMP, a statutory authorisation cannot be granted for the activity without an approved CHMP.</w:t>
      </w:r>
    </w:p>
    <w:p w:rsidR="00CE3BC1" w:rsidRPr="006442CA" w:rsidRDefault="00CE3BC1" w:rsidP="00CE3BC1">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b/>
          <w:lang w:val="en-AU"/>
        </w:rPr>
      </w:pPr>
      <w:r w:rsidRPr="006442CA">
        <w:rPr>
          <w:rFonts w:ascii="Arial" w:hAnsi="Arial" w:cs="Arial"/>
          <w:b/>
          <w:lang w:val="en-AU"/>
        </w:rPr>
        <w:t xml:space="preserve">Is The Proposed Activity A High Impact Activity? </w:t>
      </w:r>
    </w:p>
    <w:p w:rsidR="00F73944" w:rsidRPr="006D0F97" w:rsidRDefault="006D0F97" w:rsidP="00CE3BC1">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b/>
          <w:u w:val="single"/>
          <w:lang w:val="en-AU"/>
        </w:rPr>
      </w:pPr>
      <w:r w:rsidRPr="006D0F97">
        <w:rPr>
          <w:rFonts w:ascii="Arial" w:hAnsi="Arial" w:cs="Arial"/>
          <w:b/>
          <w:u w:val="single"/>
          <w:lang w:val="en-AU"/>
        </w:rPr>
        <w:t>Rezoning and Su</w:t>
      </w:r>
      <w:r>
        <w:rPr>
          <w:rFonts w:ascii="Arial" w:hAnsi="Arial" w:cs="Arial"/>
          <w:b/>
          <w:u w:val="single"/>
          <w:lang w:val="en-AU"/>
        </w:rPr>
        <w:t>b</w:t>
      </w:r>
      <w:r w:rsidRPr="006D0F97">
        <w:rPr>
          <w:rFonts w:ascii="Arial" w:hAnsi="Arial" w:cs="Arial"/>
          <w:b/>
          <w:u w:val="single"/>
          <w:lang w:val="en-AU"/>
        </w:rPr>
        <w:t>division</w:t>
      </w:r>
    </w:p>
    <w:p w:rsidR="005576EE" w:rsidRDefault="002D6AEC" w:rsidP="00CE3BC1">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sidRPr="002D592A">
        <w:rPr>
          <w:rFonts w:ascii="Arial" w:hAnsi="Arial" w:cs="Arial"/>
          <w:lang w:val="en-AU"/>
        </w:rPr>
        <w:t>The majority of the property is currently zoned as PZZ1 – Public Use – Service &amp; Utility</w:t>
      </w:r>
      <w:r w:rsidR="00726DAF" w:rsidRPr="002D592A">
        <w:rPr>
          <w:rFonts w:ascii="Arial" w:hAnsi="Arial" w:cs="Arial"/>
          <w:lang w:val="en-AU"/>
        </w:rPr>
        <w:t xml:space="preserve"> (Figure 1).</w:t>
      </w:r>
      <w:r w:rsidRPr="002D592A">
        <w:rPr>
          <w:rFonts w:ascii="Arial" w:hAnsi="Arial" w:cs="Arial"/>
          <w:lang w:val="en-AU"/>
        </w:rPr>
        <w:t xml:space="preserve"> A small section o</w:t>
      </w:r>
      <w:r w:rsidR="00F765FD" w:rsidRPr="002D592A">
        <w:rPr>
          <w:rFonts w:ascii="Arial" w:hAnsi="Arial" w:cs="Arial"/>
          <w:lang w:val="en-AU"/>
        </w:rPr>
        <w:t>f</w:t>
      </w:r>
      <w:r w:rsidRPr="002D592A">
        <w:rPr>
          <w:rFonts w:ascii="Arial" w:hAnsi="Arial" w:cs="Arial"/>
          <w:lang w:val="en-AU"/>
        </w:rPr>
        <w:t xml:space="preserve"> the property to the </w:t>
      </w:r>
      <w:proofErr w:type="gramStart"/>
      <w:r w:rsidRPr="002D592A">
        <w:rPr>
          <w:rFonts w:ascii="Arial" w:hAnsi="Arial" w:cs="Arial"/>
          <w:lang w:val="en-AU"/>
        </w:rPr>
        <w:t>north west</w:t>
      </w:r>
      <w:proofErr w:type="gramEnd"/>
      <w:r w:rsidRPr="002D592A">
        <w:rPr>
          <w:rFonts w:ascii="Arial" w:hAnsi="Arial" w:cs="Arial"/>
          <w:lang w:val="en-AU"/>
        </w:rPr>
        <w:t xml:space="preserve"> is zoned GRZ2 – General Residential</w:t>
      </w:r>
      <w:r w:rsidR="00726DAF" w:rsidRPr="002D592A">
        <w:rPr>
          <w:rFonts w:ascii="Arial" w:hAnsi="Arial" w:cs="Arial"/>
          <w:lang w:val="en-AU"/>
        </w:rPr>
        <w:t xml:space="preserve"> Schedule 2</w:t>
      </w:r>
      <w:r w:rsidRPr="002D592A">
        <w:rPr>
          <w:rFonts w:ascii="Arial" w:hAnsi="Arial" w:cs="Arial"/>
          <w:lang w:val="en-AU"/>
        </w:rPr>
        <w:t xml:space="preserve">. </w:t>
      </w:r>
      <w:r w:rsidR="006D0F97" w:rsidRPr="002D592A">
        <w:rPr>
          <w:rFonts w:ascii="Arial" w:hAnsi="Arial" w:cs="Arial"/>
          <w:lang w:val="en-AU"/>
        </w:rPr>
        <w:t xml:space="preserve">It is intended that the </w:t>
      </w:r>
      <w:r w:rsidR="00726DAF" w:rsidRPr="002D592A">
        <w:rPr>
          <w:rFonts w:ascii="Arial" w:hAnsi="Arial" w:cs="Arial"/>
          <w:lang w:val="en-AU"/>
        </w:rPr>
        <w:t>balance of the</w:t>
      </w:r>
      <w:r w:rsidRPr="002D592A">
        <w:rPr>
          <w:rFonts w:ascii="Arial" w:hAnsi="Arial" w:cs="Arial"/>
          <w:lang w:val="en-AU"/>
        </w:rPr>
        <w:t xml:space="preserve"> </w:t>
      </w:r>
      <w:r w:rsidR="006D0F97" w:rsidRPr="002D592A">
        <w:rPr>
          <w:rFonts w:ascii="Arial" w:hAnsi="Arial" w:cs="Arial"/>
          <w:lang w:val="en-AU"/>
        </w:rPr>
        <w:t xml:space="preserve">property </w:t>
      </w:r>
      <w:r w:rsidR="00726DAF" w:rsidRPr="002D592A">
        <w:rPr>
          <w:rFonts w:ascii="Arial" w:hAnsi="Arial" w:cs="Arial"/>
          <w:lang w:val="en-AU"/>
        </w:rPr>
        <w:t xml:space="preserve">will </w:t>
      </w:r>
      <w:r w:rsidR="006D0F97" w:rsidRPr="002D592A">
        <w:rPr>
          <w:rFonts w:ascii="Arial" w:hAnsi="Arial" w:cs="Arial"/>
          <w:lang w:val="en-AU"/>
        </w:rPr>
        <w:t xml:space="preserve">be rezoned </w:t>
      </w:r>
      <w:r w:rsidR="00726DAF" w:rsidRPr="002D592A">
        <w:rPr>
          <w:rFonts w:ascii="Arial" w:hAnsi="Arial" w:cs="Arial"/>
          <w:lang w:val="en-AU"/>
        </w:rPr>
        <w:t>General</w:t>
      </w:r>
      <w:r w:rsidR="00726DAF">
        <w:rPr>
          <w:rFonts w:ascii="Arial" w:hAnsi="Arial" w:cs="Arial"/>
          <w:lang w:val="en-AU"/>
        </w:rPr>
        <w:t xml:space="preserve"> Residential in preparation for</w:t>
      </w:r>
      <w:r w:rsidR="006D0F97">
        <w:rPr>
          <w:rFonts w:ascii="Arial" w:hAnsi="Arial" w:cs="Arial"/>
          <w:lang w:val="en-AU"/>
        </w:rPr>
        <w:t xml:space="preserve"> subdivi</w:t>
      </w:r>
      <w:r w:rsidR="00726DAF">
        <w:rPr>
          <w:rFonts w:ascii="Arial" w:hAnsi="Arial" w:cs="Arial"/>
          <w:lang w:val="en-AU"/>
        </w:rPr>
        <w:t>sion.</w:t>
      </w:r>
      <w:r w:rsidR="00F73944">
        <w:rPr>
          <w:rFonts w:ascii="Arial" w:hAnsi="Arial" w:cs="Arial"/>
          <w:lang w:val="en-AU"/>
        </w:rPr>
        <w:t xml:space="preserve"> </w:t>
      </w:r>
      <w:r>
        <w:rPr>
          <w:rFonts w:ascii="Arial" w:hAnsi="Arial" w:cs="Arial"/>
          <w:lang w:val="en-AU"/>
        </w:rPr>
        <w:t>The property will be subdivided into</w:t>
      </w:r>
      <w:r w:rsidR="005576EE">
        <w:rPr>
          <w:rFonts w:ascii="Arial" w:hAnsi="Arial" w:cs="Arial"/>
          <w:lang w:val="en-AU"/>
        </w:rPr>
        <w:t xml:space="preserve"> two lots or </w:t>
      </w:r>
      <w:r>
        <w:rPr>
          <w:rFonts w:ascii="Arial" w:hAnsi="Arial" w:cs="Arial"/>
          <w:lang w:val="en-AU"/>
        </w:rPr>
        <w:t xml:space="preserve">more. </w:t>
      </w:r>
    </w:p>
    <w:p w:rsidR="004F5948" w:rsidRDefault="004F5948" w:rsidP="00CE3BC1">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p>
    <w:p w:rsidR="004F5948" w:rsidRDefault="00084984" w:rsidP="00084984">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ind w:left="1134"/>
        <w:rPr>
          <w:rFonts w:ascii="Arial" w:hAnsi="Arial" w:cs="Arial"/>
          <w:lang w:val="en-AU"/>
        </w:rPr>
      </w:pPr>
      <w:r>
        <w:rPr>
          <w:noProof/>
          <w:lang w:val="en-AU" w:eastAsia="en-AU"/>
        </w:rPr>
        <w:lastRenderedPageBreak/>
        <w:drawing>
          <wp:anchor distT="0" distB="0" distL="114300" distR="114300" simplePos="0" relativeHeight="251662848" behindDoc="0" locked="0" layoutInCell="1" allowOverlap="1">
            <wp:simplePos x="0" y="0"/>
            <wp:positionH relativeFrom="column">
              <wp:posOffset>-55245</wp:posOffset>
            </wp:positionH>
            <wp:positionV relativeFrom="page">
              <wp:posOffset>923925</wp:posOffset>
            </wp:positionV>
            <wp:extent cx="5277485" cy="6328410"/>
            <wp:effectExtent l="0" t="0" r="0" b="0"/>
            <wp:wrapTopAndBottom/>
            <wp:docPr id="1" name="Picture 12" descr="planning 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ning map.jpg"/>
                    <pic:cNvPicPr/>
                  </pic:nvPicPr>
                  <pic:blipFill>
                    <a:blip r:embed="rId9">
                      <a:extLst>
                        <a:ext uri="{28A0092B-C50C-407E-A947-70E740481C1C}">
                          <a14:useLocalDpi xmlns:a14="http://schemas.microsoft.com/office/drawing/2010/main" val="0"/>
                        </a:ext>
                      </a:extLst>
                    </a:blip>
                    <a:stretch>
                      <a:fillRect/>
                    </a:stretch>
                  </pic:blipFill>
                  <pic:spPr>
                    <a:xfrm>
                      <a:off x="0" y="0"/>
                      <a:ext cx="5277485" cy="6328410"/>
                    </a:xfrm>
                    <a:prstGeom prst="rect">
                      <a:avLst/>
                    </a:prstGeom>
                  </pic:spPr>
                </pic:pic>
              </a:graphicData>
            </a:graphic>
          </wp:anchor>
        </w:drawing>
      </w:r>
    </w:p>
    <w:p w:rsidR="004F5948" w:rsidRPr="005C3C93" w:rsidRDefault="004F5948" w:rsidP="004F5948">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Narrow" w:hAnsi="Arial Narrow" w:cs="Arial"/>
          <w:lang w:val="en-AU"/>
        </w:rPr>
      </w:pPr>
      <w:r w:rsidRPr="00084984">
        <w:rPr>
          <w:rFonts w:ascii="Arial Narrow" w:hAnsi="Arial Narrow" w:cs="Arial"/>
          <w:b/>
          <w:lang w:val="en-AU"/>
        </w:rPr>
        <w:t>Figure 1:</w:t>
      </w:r>
      <w:r w:rsidRPr="005C3C93">
        <w:rPr>
          <w:rFonts w:ascii="Arial Narrow" w:hAnsi="Arial Narrow" w:cs="Arial"/>
          <w:lang w:val="en-AU"/>
        </w:rPr>
        <w:t xml:space="preserve"> Planning map showing the study area.</w:t>
      </w:r>
    </w:p>
    <w:p w:rsidR="004F5948" w:rsidRDefault="004F5948" w:rsidP="004F5948">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ind w:left="1134"/>
        <w:jc w:val="both"/>
        <w:rPr>
          <w:rFonts w:ascii="Arial" w:hAnsi="Arial" w:cs="Arial"/>
          <w:lang w:val="en-AU"/>
        </w:rPr>
      </w:pPr>
    </w:p>
    <w:p w:rsidR="00084984" w:rsidRDefault="00084984" w:rsidP="00084984">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Pr>
          <w:rFonts w:ascii="Arial" w:hAnsi="Arial" w:cs="Arial"/>
          <w:lang w:val="en-AU"/>
        </w:rPr>
        <w:t xml:space="preserve">Where the subdivision is for is for two lots or less, the Regulations imply that it is an exempt activity; Regulation 46 – Subdivision of land, states that a subdivision of land into three or more lots is a high impact activity, </w:t>
      </w:r>
      <w:proofErr w:type="spellStart"/>
      <w:r>
        <w:rPr>
          <w:rFonts w:ascii="Arial" w:hAnsi="Arial" w:cs="Arial"/>
          <w:lang w:val="en-AU"/>
        </w:rPr>
        <w:t>viz</w:t>
      </w:r>
      <w:proofErr w:type="spellEnd"/>
      <w:r>
        <w:rPr>
          <w:rFonts w:ascii="Arial" w:hAnsi="Arial" w:cs="Arial"/>
          <w:lang w:val="en-AU"/>
        </w:rPr>
        <w:t>:</w:t>
      </w:r>
    </w:p>
    <w:p w:rsidR="002D6AEC" w:rsidRPr="002D6AEC" w:rsidRDefault="002D6AEC" w:rsidP="002D6AEC">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ind w:left="720"/>
        <w:jc w:val="both"/>
        <w:rPr>
          <w:rFonts w:ascii="Arial" w:hAnsi="Arial" w:cs="Arial"/>
          <w:b/>
          <w:lang w:val="en-AU"/>
        </w:rPr>
      </w:pPr>
      <w:r w:rsidRPr="002D6AEC">
        <w:rPr>
          <w:rFonts w:ascii="Arial" w:hAnsi="Arial" w:cs="Arial"/>
          <w:b/>
          <w:lang w:val="en-AU"/>
        </w:rPr>
        <w:t>46 Subdivision of land</w:t>
      </w:r>
    </w:p>
    <w:p w:rsidR="002D6AEC" w:rsidRPr="002D6AEC" w:rsidRDefault="002D6AEC" w:rsidP="002D6AEC">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ind w:left="720"/>
        <w:jc w:val="both"/>
        <w:rPr>
          <w:rFonts w:ascii="Arial" w:hAnsi="Arial" w:cs="Arial"/>
          <w:lang w:val="en-AU"/>
        </w:rPr>
      </w:pPr>
      <w:r w:rsidRPr="002D6AEC">
        <w:rPr>
          <w:rFonts w:ascii="Arial" w:hAnsi="Arial" w:cs="Arial"/>
          <w:lang w:val="en-AU"/>
        </w:rPr>
        <w:t>(1) The subdivision of land into three or more lots is a</w:t>
      </w:r>
      <w:r>
        <w:rPr>
          <w:rFonts w:ascii="Arial" w:hAnsi="Arial" w:cs="Arial"/>
          <w:lang w:val="en-AU"/>
        </w:rPr>
        <w:t xml:space="preserve"> </w:t>
      </w:r>
      <w:r w:rsidRPr="002D6AEC">
        <w:rPr>
          <w:rFonts w:ascii="Arial" w:hAnsi="Arial" w:cs="Arial"/>
          <w:lang w:val="en-AU"/>
        </w:rPr>
        <w:t>high impact activity if—</w:t>
      </w:r>
    </w:p>
    <w:p w:rsidR="002D6AEC" w:rsidRPr="002D6AEC" w:rsidRDefault="002D6AEC" w:rsidP="002D6AEC">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ind w:left="1134"/>
        <w:jc w:val="both"/>
        <w:rPr>
          <w:rFonts w:ascii="Arial" w:hAnsi="Arial" w:cs="Arial"/>
          <w:lang w:val="en-AU"/>
        </w:rPr>
      </w:pPr>
      <w:r w:rsidRPr="002D6AEC">
        <w:rPr>
          <w:rFonts w:ascii="Arial" w:hAnsi="Arial" w:cs="Arial"/>
          <w:lang w:val="en-AU"/>
        </w:rPr>
        <w:t xml:space="preserve">(a) </w:t>
      </w:r>
      <w:proofErr w:type="gramStart"/>
      <w:r w:rsidRPr="002D6AEC">
        <w:rPr>
          <w:rFonts w:ascii="Arial" w:hAnsi="Arial" w:cs="Arial"/>
          <w:lang w:val="en-AU"/>
        </w:rPr>
        <w:t>the</w:t>
      </w:r>
      <w:proofErr w:type="gramEnd"/>
      <w:r w:rsidRPr="002D6AEC">
        <w:rPr>
          <w:rFonts w:ascii="Arial" w:hAnsi="Arial" w:cs="Arial"/>
          <w:lang w:val="en-AU"/>
        </w:rPr>
        <w:t xml:space="preserve"> planning scheme that applies to the activity area in which the land to be</w:t>
      </w:r>
    </w:p>
    <w:p w:rsidR="002D6AEC" w:rsidRPr="002D6AEC" w:rsidRDefault="002D6AEC" w:rsidP="002D6AEC">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ind w:left="1134"/>
        <w:jc w:val="both"/>
        <w:rPr>
          <w:rFonts w:ascii="Arial" w:hAnsi="Arial" w:cs="Arial"/>
          <w:lang w:val="en-AU"/>
        </w:rPr>
      </w:pPr>
      <w:proofErr w:type="gramStart"/>
      <w:r w:rsidRPr="002D6AEC">
        <w:rPr>
          <w:rFonts w:ascii="Arial" w:hAnsi="Arial" w:cs="Arial"/>
          <w:lang w:val="en-AU"/>
        </w:rPr>
        <w:t>subdivided</w:t>
      </w:r>
      <w:proofErr w:type="gramEnd"/>
      <w:r w:rsidRPr="002D6AEC">
        <w:rPr>
          <w:rFonts w:ascii="Arial" w:hAnsi="Arial" w:cs="Arial"/>
          <w:lang w:val="en-AU"/>
        </w:rPr>
        <w:t xml:space="preserve"> is located provides that at least three of the lots may be used for a dwelling or may be used for a dwelling subject to the grant of a permit; and</w:t>
      </w:r>
    </w:p>
    <w:p w:rsidR="002D6AEC" w:rsidRDefault="002D6AEC" w:rsidP="002D6AEC">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ind w:left="1134"/>
        <w:jc w:val="both"/>
        <w:rPr>
          <w:rFonts w:ascii="Arial" w:hAnsi="Arial" w:cs="Arial"/>
          <w:lang w:val="en-AU"/>
        </w:rPr>
      </w:pPr>
      <w:r w:rsidRPr="002D6AEC">
        <w:rPr>
          <w:rFonts w:ascii="Arial" w:hAnsi="Arial" w:cs="Arial"/>
          <w:lang w:val="en-AU"/>
        </w:rPr>
        <w:t xml:space="preserve">(b) </w:t>
      </w:r>
      <w:proofErr w:type="gramStart"/>
      <w:r w:rsidRPr="002D6AEC">
        <w:rPr>
          <w:rFonts w:ascii="Arial" w:hAnsi="Arial" w:cs="Arial"/>
          <w:lang w:val="en-AU"/>
        </w:rPr>
        <w:t>the</w:t>
      </w:r>
      <w:proofErr w:type="gramEnd"/>
      <w:r w:rsidRPr="002D6AEC">
        <w:rPr>
          <w:rFonts w:ascii="Arial" w:hAnsi="Arial" w:cs="Arial"/>
          <w:lang w:val="en-AU"/>
        </w:rPr>
        <w:t xml:space="preserve"> area of each of at least three of the lots is less than eight hectares. </w:t>
      </w:r>
    </w:p>
    <w:p w:rsidR="004A380C" w:rsidRDefault="004A380C" w:rsidP="004A380C">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Pr>
          <w:rFonts w:ascii="Arial" w:hAnsi="Arial" w:cs="Arial"/>
          <w:lang w:val="en-AU"/>
        </w:rPr>
        <w:t xml:space="preserve">By implication, subdivision of land into one or two lots is not a high impact activity. </w:t>
      </w:r>
      <w:r w:rsidR="004F5948">
        <w:rPr>
          <w:rFonts w:ascii="Arial" w:hAnsi="Arial" w:cs="Arial"/>
          <w:lang w:val="en-AU"/>
        </w:rPr>
        <w:t>Regulation 46 makes it clear that subdivision of three or more lots is a high impact activity.</w:t>
      </w:r>
    </w:p>
    <w:p w:rsidR="004F5948" w:rsidRPr="006442CA" w:rsidRDefault="004F5948" w:rsidP="004F5948">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b/>
          <w:lang w:val="en-AU"/>
        </w:rPr>
      </w:pPr>
      <w:r w:rsidRPr="006442CA">
        <w:rPr>
          <w:rFonts w:ascii="Arial" w:hAnsi="Arial" w:cs="Arial"/>
          <w:b/>
          <w:lang w:val="en-AU"/>
        </w:rPr>
        <w:t>Is The Activity In An Area of Cultural Heritage Sensitivity?</w:t>
      </w:r>
    </w:p>
    <w:p w:rsidR="004F5948" w:rsidRPr="006442CA" w:rsidRDefault="004F5948" w:rsidP="004F5948">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sidRPr="006442CA">
        <w:rPr>
          <w:rFonts w:ascii="Arial" w:hAnsi="Arial" w:cs="Arial"/>
          <w:lang w:val="en-AU"/>
        </w:rPr>
        <w:t>In order to determine whether the stu</w:t>
      </w:r>
      <w:r>
        <w:rPr>
          <w:rFonts w:ascii="Arial" w:hAnsi="Arial" w:cs="Arial"/>
          <w:lang w:val="en-AU"/>
        </w:rPr>
        <w:t>dy area is situated an area of Cultural Heritage S</w:t>
      </w:r>
      <w:r w:rsidRPr="006442CA">
        <w:rPr>
          <w:rFonts w:ascii="Arial" w:hAnsi="Arial" w:cs="Arial"/>
          <w:lang w:val="en-AU"/>
        </w:rPr>
        <w:t xml:space="preserve">ensitivity </w:t>
      </w:r>
      <w:r>
        <w:rPr>
          <w:rFonts w:ascii="Arial" w:hAnsi="Arial" w:cs="Arial"/>
          <w:lang w:val="en-AU"/>
        </w:rPr>
        <w:t xml:space="preserve">(CHS) </w:t>
      </w:r>
      <w:r w:rsidRPr="006442CA">
        <w:rPr>
          <w:rFonts w:ascii="Arial" w:hAnsi="Arial" w:cs="Arial"/>
          <w:lang w:val="en-AU"/>
        </w:rPr>
        <w:t>it is necessary to establish:</w:t>
      </w:r>
    </w:p>
    <w:p w:rsidR="004F5948" w:rsidRPr="006442CA" w:rsidRDefault="004F5948" w:rsidP="004F5948">
      <w:pPr>
        <w:numPr>
          <w:ilvl w:val="0"/>
          <w:numId w:val="5"/>
        </w:num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sidRPr="006442CA">
        <w:rPr>
          <w:rFonts w:ascii="Arial" w:hAnsi="Arial" w:cs="Arial"/>
          <w:lang w:val="en-AU"/>
        </w:rPr>
        <w:t xml:space="preserve">whether the study area is in an area of </w:t>
      </w:r>
      <w:r>
        <w:rPr>
          <w:rFonts w:ascii="Arial" w:hAnsi="Arial" w:cs="Arial"/>
          <w:lang w:val="en-AU"/>
        </w:rPr>
        <w:t>CHS</w:t>
      </w:r>
      <w:r w:rsidRPr="006442CA">
        <w:rPr>
          <w:rFonts w:ascii="Arial" w:hAnsi="Arial" w:cs="Arial"/>
          <w:lang w:val="en-AU"/>
        </w:rPr>
        <w:t xml:space="preserve"> as defined by r.41(2) Aboriginal Heritage Regulations 2007; and if so,</w:t>
      </w:r>
    </w:p>
    <w:p w:rsidR="004F5948" w:rsidRPr="006442CA" w:rsidRDefault="004F5948" w:rsidP="004F5948">
      <w:pPr>
        <w:numPr>
          <w:ilvl w:val="0"/>
          <w:numId w:val="5"/>
        </w:num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proofErr w:type="gramStart"/>
      <w:r w:rsidRPr="006442CA">
        <w:rPr>
          <w:rFonts w:ascii="Arial" w:hAnsi="Arial" w:cs="Arial"/>
          <w:lang w:val="en-AU"/>
        </w:rPr>
        <w:t>whether</w:t>
      </w:r>
      <w:proofErr w:type="gramEnd"/>
      <w:r w:rsidRPr="006442CA">
        <w:rPr>
          <w:rFonts w:ascii="Arial" w:hAnsi="Arial" w:cs="Arial"/>
          <w:lang w:val="en-AU"/>
        </w:rPr>
        <w:t xml:space="preserve"> that area has been subject to prior significant ground disturbance which would mean that the area is not an area of cultural heritage sensitivity under r.41(3) of the Aboriginal Heritage Regulations 2007.</w:t>
      </w:r>
    </w:p>
    <w:p w:rsidR="004F5948" w:rsidRDefault="004F5948" w:rsidP="004F5948">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sidRPr="005C3C93">
        <w:rPr>
          <w:rFonts w:ascii="Arial" w:hAnsi="Arial" w:cs="Arial"/>
          <w:lang w:val="en-AU"/>
        </w:rPr>
        <w:t>Figure 2 shows the location of the study area in relation to the mapped areas of Aboriginal</w:t>
      </w:r>
      <w:r>
        <w:rPr>
          <w:rFonts w:ascii="Arial" w:hAnsi="Arial" w:cs="Arial"/>
          <w:lang w:val="en-AU"/>
        </w:rPr>
        <w:t xml:space="preserve"> CHS as defined by the Aboriginal Heritage Regulations 2007</w:t>
      </w:r>
      <w:r w:rsidRPr="006442CA">
        <w:rPr>
          <w:rFonts w:ascii="Arial" w:hAnsi="Arial" w:cs="Arial"/>
          <w:lang w:val="en-AU"/>
        </w:rPr>
        <w:t xml:space="preserve">. </w:t>
      </w:r>
      <w:r>
        <w:rPr>
          <w:rFonts w:ascii="Arial" w:hAnsi="Arial" w:cs="Arial"/>
          <w:lang w:val="en-AU"/>
        </w:rPr>
        <w:t>The figure shows</w:t>
      </w:r>
      <w:r w:rsidRPr="006442CA">
        <w:rPr>
          <w:rFonts w:ascii="Arial" w:hAnsi="Arial" w:cs="Arial"/>
          <w:lang w:val="en-AU"/>
        </w:rPr>
        <w:t xml:space="preserve"> that</w:t>
      </w:r>
      <w:r>
        <w:rPr>
          <w:rFonts w:ascii="Arial" w:hAnsi="Arial" w:cs="Arial"/>
          <w:lang w:val="en-AU"/>
        </w:rPr>
        <w:t xml:space="preserve"> no areas of CHS</w:t>
      </w:r>
      <w:r w:rsidRPr="006442CA">
        <w:rPr>
          <w:rFonts w:ascii="Arial" w:hAnsi="Arial" w:cs="Arial"/>
          <w:lang w:val="en-AU"/>
        </w:rPr>
        <w:t xml:space="preserve"> </w:t>
      </w:r>
      <w:r>
        <w:rPr>
          <w:rFonts w:ascii="Arial" w:hAnsi="Arial" w:cs="Arial"/>
          <w:lang w:val="en-AU"/>
        </w:rPr>
        <w:t>occur in the study area. As no areas of CHS occur in the study area, it is not necessary to consider whether significant ground disturbance has taken place in any part of the activity area.</w:t>
      </w:r>
    </w:p>
    <w:p w:rsidR="00512E03" w:rsidRPr="00512E03" w:rsidRDefault="00512E03" w:rsidP="00512E03">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sidRPr="00512E03">
        <w:rPr>
          <w:rFonts w:ascii="Arial" w:hAnsi="Arial" w:cs="Arial"/>
          <w:b/>
          <w:lang w:val="en-AU"/>
        </w:rPr>
        <w:t>Registered Aboriginal Part</w:t>
      </w:r>
      <w:r w:rsidRPr="00512E03">
        <w:rPr>
          <w:rFonts w:ascii="Arial" w:hAnsi="Arial" w:cs="Arial"/>
          <w:b/>
          <w:lang w:val="en-AU"/>
        </w:rPr>
        <w:t>y (RAP)</w:t>
      </w:r>
    </w:p>
    <w:p w:rsidR="00512E03" w:rsidRPr="00512E03" w:rsidRDefault="00512E03" w:rsidP="00512E03">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proofErr w:type="spellStart"/>
      <w:r w:rsidRPr="00512E03">
        <w:rPr>
          <w:rFonts w:ascii="Arial" w:hAnsi="Arial" w:cs="Arial"/>
          <w:lang w:val="en-AU"/>
        </w:rPr>
        <w:t>Wathaurung</w:t>
      </w:r>
      <w:proofErr w:type="spellEnd"/>
      <w:r w:rsidRPr="00512E03">
        <w:rPr>
          <w:rFonts w:ascii="Arial" w:hAnsi="Arial" w:cs="Arial"/>
          <w:lang w:val="en-AU"/>
        </w:rPr>
        <w:t xml:space="preserve"> Aboriginal Corporation (WAC) is the appointed Registered Aboriginal Party (RAP) for the study area. </w:t>
      </w:r>
      <w:r w:rsidRPr="00512E03">
        <w:rPr>
          <w:rFonts w:ascii="Arial" w:hAnsi="Arial" w:cs="Arial"/>
          <w:lang w:val="en-AU"/>
        </w:rPr>
        <w:t xml:space="preserve">RAPs have important responsibilities under the </w:t>
      </w:r>
      <w:r w:rsidRPr="00512E03">
        <w:rPr>
          <w:rFonts w:ascii="Arial" w:hAnsi="Arial" w:cs="Arial"/>
          <w:i/>
          <w:lang w:val="en-AU"/>
        </w:rPr>
        <w:t>Aboriginal Heritage Act</w:t>
      </w:r>
      <w:r w:rsidRPr="00512E03">
        <w:rPr>
          <w:rFonts w:ascii="Arial" w:hAnsi="Arial" w:cs="Arial"/>
          <w:lang w:val="en-AU"/>
        </w:rPr>
        <w:t xml:space="preserve"> 2006 in relation to management and protection of Aboriginal cultural heritage within their RAP area. </w:t>
      </w:r>
      <w:r w:rsidRPr="00512E03">
        <w:rPr>
          <w:rFonts w:ascii="Arial" w:hAnsi="Arial" w:cs="Arial"/>
          <w:lang w:val="en-AU"/>
        </w:rPr>
        <w:t>RAPs can chose to evaluate CHMPs</w:t>
      </w:r>
      <w:r w:rsidRPr="00512E03">
        <w:rPr>
          <w:rFonts w:ascii="Arial" w:hAnsi="Arial" w:cs="Arial"/>
          <w:lang w:val="en-AU"/>
        </w:rPr>
        <w:t xml:space="preserve"> and participate in </w:t>
      </w:r>
      <w:r w:rsidRPr="00512E03">
        <w:rPr>
          <w:rFonts w:ascii="Arial" w:hAnsi="Arial" w:cs="Arial"/>
          <w:lang w:val="en-AU"/>
        </w:rPr>
        <w:t>Aboriginal cultural heritage assessment processes</w:t>
      </w:r>
      <w:r w:rsidRPr="00512E03">
        <w:rPr>
          <w:rFonts w:ascii="Arial" w:hAnsi="Arial" w:cs="Arial"/>
          <w:lang w:val="en-AU"/>
        </w:rPr>
        <w:t>.</w:t>
      </w:r>
    </w:p>
    <w:p w:rsidR="0059762E" w:rsidRPr="006442CA" w:rsidRDefault="0059762E" w:rsidP="0059762E">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b/>
          <w:lang w:val="en-AU"/>
        </w:rPr>
      </w:pPr>
      <w:r w:rsidRPr="006442CA">
        <w:rPr>
          <w:rFonts w:ascii="Arial" w:hAnsi="Arial" w:cs="Arial"/>
          <w:b/>
          <w:lang w:val="en-AU"/>
        </w:rPr>
        <w:t>Registered Aboriginal Places</w:t>
      </w:r>
    </w:p>
    <w:p w:rsidR="0059762E" w:rsidRDefault="0059762E" w:rsidP="0059762E">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sidRPr="00282DCB">
        <w:rPr>
          <w:rFonts w:ascii="Arial" w:hAnsi="Arial" w:cs="Arial"/>
          <w:lang w:val="en-AU"/>
        </w:rPr>
        <w:t xml:space="preserve">No registered Aboriginal places occur in the study area. </w:t>
      </w:r>
      <w:r w:rsidR="00F765FD">
        <w:rPr>
          <w:rFonts w:ascii="Arial" w:hAnsi="Arial" w:cs="Arial"/>
          <w:lang w:val="en-AU"/>
        </w:rPr>
        <w:t>The closest</w:t>
      </w:r>
      <w:r w:rsidRPr="00282DCB">
        <w:rPr>
          <w:rFonts w:ascii="Arial" w:hAnsi="Arial" w:cs="Arial"/>
          <w:lang w:val="en-AU"/>
        </w:rPr>
        <w:t xml:space="preserve"> registered Aboriginal places</w:t>
      </w:r>
      <w:r w:rsidR="00997978">
        <w:rPr>
          <w:rFonts w:ascii="Arial" w:hAnsi="Arial" w:cs="Arial"/>
          <w:lang w:val="en-AU"/>
        </w:rPr>
        <w:t xml:space="preserve"> (VAHR 7821-0797</w:t>
      </w:r>
      <w:r w:rsidR="009C1878">
        <w:rPr>
          <w:rFonts w:ascii="Arial" w:hAnsi="Arial" w:cs="Arial"/>
          <w:lang w:val="en-AU"/>
        </w:rPr>
        <w:t>, 7821-0603</w:t>
      </w:r>
      <w:r>
        <w:rPr>
          <w:rFonts w:ascii="Arial" w:hAnsi="Arial" w:cs="Arial"/>
          <w:lang w:val="en-AU"/>
        </w:rPr>
        <w:t xml:space="preserve"> and 7821-0529) </w:t>
      </w:r>
      <w:r w:rsidRPr="00282DCB">
        <w:rPr>
          <w:rFonts w:ascii="Arial" w:hAnsi="Arial" w:cs="Arial"/>
          <w:lang w:val="en-AU"/>
        </w:rPr>
        <w:t xml:space="preserve">occur </w:t>
      </w:r>
      <w:r w:rsidR="009C1878">
        <w:rPr>
          <w:rFonts w:ascii="Arial" w:hAnsi="Arial" w:cs="Arial"/>
          <w:lang w:val="en-AU"/>
        </w:rPr>
        <w:t xml:space="preserve">just </w:t>
      </w:r>
      <w:r w:rsidR="00F765FD">
        <w:rPr>
          <w:rFonts w:ascii="Arial" w:hAnsi="Arial" w:cs="Arial"/>
          <w:lang w:val="en-AU"/>
        </w:rPr>
        <w:t>over 5</w:t>
      </w:r>
      <w:r w:rsidRPr="00282DCB">
        <w:rPr>
          <w:rFonts w:ascii="Arial" w:hAnsi="Arial" w:cs="Arial"/>
          <w:lang w:val="en-AU"/>
        </w:rPr>
        <w:t>00</w:t>
      </w:r>
      <w:r>
        <w:rPr>
          <w:rFonts w:ascii="Arial" w:hAnsi="Arial" w:cs="Arial"/>
          <w:lang w:val="en-AU"/>
        </w:rPr>
        <w:t xml:space="preserve"> </w:t>
      </w:r>
      <w:r w:rsidRPr="00282DCB">
        <w:rPr>
          <w:rFonts w:ascii="Arial" w:hAnsi="Arial" w:cs="Arial"/>
          <w:lang w:val="en-AU"/>
        </w:rPr>
        <w:t xml:space="preserve">m </w:t>
      </w:r>
      <w:r w:rsidR="00F765FD">
        <w:rPr>
          <w:rFonts w:ascii="Arial" w:hAnsi="Arial" w:cs="Arial"/>
          <w:lang w:val="en-AU"/>
        </w:rPr>
        <w:t>from</w:t>
      </w:r>
      <w:r w:rsidRPr="00282DCB">
        <w:rPr>
          <w:rFonts w:ascii="Arial" w:hAnsi="Arial" w:cs="Arial"/>
          <w:lang w:val="en-AU"/>
        </w:rPr>
        <w:t xml:space="preserve"> the study area and comprise </w:t>
      </w:r>
      <w:r w:rsidRPr="009576EC">
        <w:rPr>
          <w:rFonts w:ascii="Arial" w:hAnsi="Arial" w:cs="Arial"/>
          <w:lang w:val="en-AU"/>
        </w:rPr>
        <w:t>stone artefact scatters</w:t>
      </w:r>
      <w:r w:rsidR="009C1878">
        <w:rPr>
          <w:rFonts w:ascii="Arial" w:hAnsi="Arial" w:cs="Arial"/>
          <w:lang w:val="en-AU"/>
        </w:rPr>
        <w:t xml:space="preserve"> and a shell midden (in addition to stone artefact </w:t>
      </w:r>
      <w:r w:rsidR="009C1878">
        <w:rPr>
          <w:rFonts w:ascii="Arial" w:hAnsi="Arial" w:cs="Arial"/>
          <w:lang w:val="en-AU"/>
        </w:rPr>
        <w:lastRenderedPageBreak/>
        <w:t>scatter at 7821-0603)</w:t>
      </w:r>
      <w:r w:rsidRPr="005C3C93">
        <w:rPr>
          <w:rFonts w:ascii="Arial" w:hAnsi="Arial" w:cs="Arial"/>
          <w:lang w:val="en-AU"/>
        </w:rPr>
        <w:t>. Figure</w:t>
      </w:r>
      <w:r w:rsidR="00F765FD" w:rsidRPr="005C3C93">
        <w:rPr>
          <w:rFonts w:ascii="Arial" w:hAnsi="Arial" w:cs="Arial"/>
          <w:lang w:val="en-AU"/>
        </w:rPr>
        <w:t xml:space="preserve"> </w:t>
      </w:r>
      <w:r w:rsidR="009C1878" w:rsidRPr="005C3C93">
        <w:rPr>
          <w:rFonts w:ascii="Arial" w:hAnsi="Arial" w:cs="Arial"/>
          <w:lang w:val="en-AU"/>
        </w:rPr>
        <w:t>3</w:t>
      </w:r>
      <w:r w:rsidRPr="005C3C93">
        <w:rPr>
          <w:rFonts w:ascii="Arial" w:hAnsi="Arial" w:cs="Arial"/>
          <w:lang w:val="en-AU"/>
        </w:rPr>
        <w:t xml:space="preserve"> show</w:t>
      </w:r>
      <w:r w:rsidR="00F765FD">
        <w:rPr>
          <w:rFonts w:ascii="Arial" w:hAnsi="Arial" w:cs="Arial"/>
          <w:lang w:val="en-AU"/>
        </w:rPr>
        <w:t>s</w:t>
      </w:r>
      <w:r w:rsidRPr="00282DCB">
        <w:rPr>
          <w:rFonts w:ascii="Arial" w:hAnsi="Arial" w:cs="Arial"/>
          <w:lang w:val="en-AU"/>
        </w:rPr>
        <w:t xml:space="preserve"> the </w:t>
      </w:r>
      <w:r w:rsidR="009C1878">
        <w:rPr>
          <w:rFonts w:ascii="Arial" w:hAnsi="Arial" w:cs="Arial"/>
          <w:lang w:val="en-AU"/>
        </w:rPr>
        <w:t xml:space="preserve">wider </w:t>
      </w:r>
      <w:r w:rsidRPr="00282DCB">
        <w:rPr>
          <w:rFonts w:ascii="Arial" w:hAnsi="Arial" w:cs="Arial"/>
          <w:lang w:val="en-AU"/>
        </w:rPr>
        <w:t>distribution of registered Aboriginal places in relation to the study area.</w:t>
      </w:r>
    </w:p>
    <w:p w:rsidR="0059762E" w:rsidRDefault="0059762E" w:rsidP="00DB3B63">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sidRPr="00AA22FA">
        <w:rPr>
          <w:rFonts w:ascii="Arial" w:hAnsi="Arial" w:cs="Arial"/>
          <w:lang w:val="en-AU"/>
        </w:rPr>
        <w:t>A brief analysis of Figure 3 indicates that Aboriginal places have been registered on a wide range of landforms in the region including</w:t>
      </w:r>
      <w:r w:rsidR="000568B4">
        <w:rPr>
          <w:rFonts w:ascii="Arial" w:hAnsi="Arial" w:cs="Arial"/>
          <w:lang w:val="en-AU"/>
        </w:rPr>
        <w:t xml:space="preserve"> e</w:t>
      </w:r>
      <w:r w:rsidR="00BD5832">
        <w:rPr>
          <w:rFonts w:ascii="Arial" w:hAnsi="Arial" w:cs="Arial"/>
          <w:lang w:val="en-AU"/>
        </w:rPr>
        <w:t>levated land, creeks, swamps,</w:t>
      </w:r>
      <w:r w:rsidR="000568B4">
        <w:rPr>
          <w:rFonts w:ascii="Arial" w:hAnsi="Arial" w:cs="Arial"/>
          <w:lang w:val="en-AU"/>
        </w:rPr>
        <w:t xml:space="preserve"> coastal cliffs and </w:t>
      </w:r>
      <w:r w:rsidR="00BD5832">
        <w:rPr>
          <w:rFonts w:ascii="Arial" w:hAnsi="Arial" w:cs="Arial"/>
          <w:lang w:val="en-AU"/>
        </w:rPr>
        <w:t>flat coastal plain</w:t>
      </w:r>
      <w:r w:rsidR="000568B4">
        <w:rPr>
          <w:rFonts w:ascii="Arial" w:hAnsi="Arial" w:cs="Arial"/>
          <w:lang w:val="en-AU"/>
        </w:rPr>
        <w:t>.</w:t>
      </w:r>
      <w:r w:rsidRPr="00AA22FA">
        <w:rPr>
          <w:rFonts w:ascii="Arial" w:hAnsi="Arial" w:cs="Arial"/>
          <w:lang w:val="en-AU"/>
        </w:rPr>
        <w:t xml:space="preserve"> </w:t>
      </w:r>
      <w:r w:rsidR="009C1878">
        <w:rPr>
          <w:rFonts w:ascii="Arial" w:hAnsi="Arial" w:cs="Arial"/>
          <w:lang w:val="en-AU"/>
        </w:rPr>
        <w:t>The majority</w:t>
      </w:r>
      <w:r w:rsidRPr="00AA22FA">
        <w:rPr>
          <w:rFonts w:ascii="Arial" w:hAnsi="Arial" w:cs="Arial"/>
          <w:lang w:val="en-AU"/>
        </w:rPr>
        <w:t xml:space="preserve"> of the Aboriginal places are stone artefacts that have been registered as artefact scatters or Low Density Artefact Distributions. </w:t>
      </w:r>
      <w:r w:rsidR="009C1878">
        <w:rPr>
          <w:rFonts w:ascii="Arial" w:hAnsi="Arial" w:cs="Arial"/>
          <w:lang w:val="en-AU"/>
        </w:rPr>
        <w:t xml:space="preserve">In addition to VAHR 7821-0603 noted above, </w:t>
      </w:r>
      <w:r w:rsidR="009C1878" w:rsidRPr="009C1878">
        <w:rPr>
          <w:rFonts w:ascii="Arial" w:hAnsi="Arial" w:cs="Arial"/>
          <w:lang w:val="en-AU"/>
        </w:rPr>
        <w:t xml:space="preserve">a shell midden (VAHR 7821-0886) is recorded c.1.5km to the north of the study area. </w:t>
      </w:r>
      <w:r w:rsidRPr="009C1878">
        <w:rPr>
          <w:rFonts w:ascii="Arial" w:hAnsi="Arial" w:cs="Arial"/>
          <w:lang w:val="en-AU"/>
        </w:rPr>
        <w:t>Figure</w:t>
      </w:r>
      <w:r w:rsidRPr="00AA22FA">
        <w:rPr>
          <w:rFonts w:ascii="Arial" w:hAnsi="Arial" w:cs="Arial"/>
          <w:lang w:val="en-AU"/>
        </w:rPr>
        <w:t xml:space="preserve"> 3 shows the study area occurs on</w:t>
      </w:r>
      <w:r w:rsidR="00997978">
        <w:rPr>
          <w:rFonts w:ascii="Arial" w:hAnsi="Arial" w:cs="Arial"/>
          <w:lang w:val="en-AU"/>
        </w:rPr>
        <w:t xml:space="preserve"> a </w:t>
      </w:r>
      <w:r w:rsidR="00FF2EF2" w:rsidRPr="00997978">
        <w:rPr>
          <w:rFonts w:ascii="Arial" w:hAnsi="Arial" w:cs="Arial"/>
          <w:lang w:val="en-AU"/>
        </w:rPr>
        <w:t>flat coastal plain.</w:t>
      </w:r>
    </w:p>
    <w:p w:rsidR="0059762E" w:rsidRDefault="0059762E" w:rsidP="00DB3B63">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sectPr w:rsidR="0059762E" w:rsidSect="00EA45D9">
          <w:footerReference w:type="default" r:id="rId10"/>
          <w:footnotePr>
            <w:pos w:val="beneathText"/>
          </w:footnotePr>
          <w:pgSz w:w="11905" w:h="16837"/>
          <w:pgMar w:top="1440" w:right="1797" w:bottom="1440" w:left="1797" w:header="720" w:footer="720" w:gutter="0"/>
          <w:cols w:space="720"/>
          <w:docGrid w:linePitch="360"/>
        </w:sectPr>
      </w:pPr>
    </w:p>
    <w:p w:rsidR="0059762E" w:rsidRDefault="00F765FD" w:rsidP="00DB3B63">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Pr>
          <w:rFonts w:ascii="Arial" w:hAnsi="Arial" w:cs="Arial"/>
          <w:noProof/>
          <w:lang w:val="en-AU" w:eastAsia="en-AU"/>
        </w:rPr>
        <w:lastRenderedPageBreak/>
        <w:drawing>
          <wp:inline distT="0" distB="0" distL="0" distR="0">
            <wp:extent cx="5277485" cy="7464425"/>
            <wp:effectExtent l="19050" t="0" r="0" b="0"/>
            <wp:docPr id="9" name="Picture 8" descr="OAAV Portrait 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AAV Portrait map.jpg"/>
                    <pic:cNvPicPr/>
                  </pic:nvPicPr>
                  <pic:blipFill>
                    <a:blip r:embed="rId11"/>
                    <a:stretch>
                      <a:fillRect/>
                    </a:stretch>
                  </pic:blipFill>
                  <pic:spPr>
                    <a:xfrm>
                      <a:off x="0" y="0"/>
                      <a:ext cx="5277485" cy="7464425"/>
                    </a:xfrm>
                    <a:prstGeom prst="rect">
                      <a:avLst/>
                    </a:prstGeom>
                  </pic:spPr>
                </pic:pic>
              </a:graphicData>
            </a:graphic>
          </wp:inline>
        </w:drawing>
      </w:r>
    </w:p>
    <w:p w:rsidR="0059762E" w:rsidRPr="005C3C93" w:rsidRDefault="005C3C93" w:rsidP="00997978">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ind w:left="720" w:hanging="720"/>
        <w:rPr>
          <w:rFonts w:ascii="Arial Narrow" w:hAnsi="Arial Narrow" w:cs="Arial"/>
          <w:lang w:val="en-AU"/>
        </w:rPr>
      </w:pPr>
      <w:r w:rsidRPr="00084984">
        <w:rPr>
          <w:rFonts w:ascii="Arial Narrow" w:hAnsi="Arial Narrow" w:cs="Arial"/>
          <w:b/>
          <w:lang w:val="en-AU"/>
        </w:rPr>
        <w:t xml:space="preserve">      </w:t>
      </w:r>
      <w:r w:rsidR="00DB3B63" w:rsidRPr="00084984">
        <w:rPr>
          <w:rFonts w:ascii="Arial Narrow" w:hAnsi="Arial Narrow" w:cs="Arial"/>
          <w:b/>
          <w:lang w:val="en-AU"/>
        </w:rPr>
        <w:t xml:space="preserve">Figure </w:t>
      </w:r>
      <w:r w:rsidR="0059762E" w:rsidRPr="00084984">
        <w:rPr>
          <w:rFonts w:ascii="Arial Narrow" w:hAnsi="Arial Narrow" w:cs="Arial"/>
          <w:b/>
          <w:lang w:val="en-AU"/>
        </w:rPr>
        <w:t>2</w:t>
      </w:r>
      <w:r w:rsidR="00DB3B63" w:rsidRPr="00084984">
        <w:rPr>
          <w:rFonts w:ascii="Arial Narrow" w:hAnsi="Arial Narrow" w:cs="Arial"/>
          <w:b/>
          <w:lang w:val="en-AU"/>
        </w:rPr>
        <w:t>:</w:t>
      </w:r>
      <w:r w:rsidR="00DB3B63" w:rsidRPr="005C3C93">
        <w:rPr>
          <w:rFonts w:ascii="Arial Narrow" w:hAnsi="Arial Narrow" w:cs="Arial"/>
          <w:lang w:val="en-AU"/>
        </w:rPr>
        <w:t xml:space="preserve"> Areas of Cultural Heritag</w:t>
      </w:r>
      <w:r w:rsidR="0059762E" w:rsidRPr="005C3C93">
        <w:rPr>
          <w:rFonts w:ascii="Arial Narrow" w:hAnsi="Arial Narrow" w:cs="Arial"/>
          <w:lang w:val="en-AU"/>
        </w:rPr>
        <w:t>e Sensitivity in relation to 38-42 Mainsail Drive, St Leonards (</w:t>
      </w:r>
      <w:r w:rsidR="00997978">
        <w:rPr>
          <w:rFonts w:ascii="Arial Narrow" w:hAnsi="Arial Narrow" w:cs="Arial"/>
          <w:lang w:val="en-AU"/>
        </w:rPr>
        <w:t>study area    shown in red</w:t>
      </w:r>
      <w:r w:rsidR="0059762E" w:rsidRPr="005C3C93">
        <w:rPr>
          <w:rFonts w:ascii="Arial Narrow" w:hAnsi="Arial Narrow" w:cs="Arial"/>
          <w:lang w:val="en-AU"/>
        </w:rPr>
        <w:t>)</w:t>
      </w:r>
      <w:r w:rsidR="00DB3B63" w:rsidRPr="005C3C93">
        <w:rPr>
          <w:rFonts w:ascii="Arial Narrow" w:hAnsi="Arial Narrow" w:cs="Arial"/>
          <w:lang w:val="en-AU"/>
        </w:rPr>
        <w:t xml:space="preserve">. </w:t>
      </w:r>
    </w:p>
    <w:p w:rsidR="0059762E" w:rsidRPr="005C3C93" w:rsidRDefault="0059762E" w:rsidP="00997978">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rPr>
          <w:rFonts w:ascii="Arial Narrow" w:hAnsi="Arial Narrow" w:cs="Arial"/>
          <w:lang w:val="en-AU"/>
        </w:rPr>
        <w:sectPr w:rsidR="0059762E" w:rsidRPr="005C3C93" w:rsidSect="00F765FD">
          <w:footnotePr>
            <w:pos w:val="beneathText"/>
          </w:footnotePr>
          <w:pgSz w:w="11905" w:h="16837"/>
          <w:pgMar w:top="1440" w:right="1797" w:bottom="1440" w:left="1797" w:header="720" w:footer="720" w:gutter="0"/>
          <w:cols w:space="720"/>
          <w:docGrid w:linePitch="360"/>
        </w:sectPr>
      </w:pPr>
    </w:p>
    <w:p w:rsidR="009C1878" w:rsidRDefault="009C1878" w:rsidP="009C1878">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p>
    <w:p w:rsidR="009C1878" w:rsidRDefault="009C1878" w:rsidP="009C1878">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r>
        <w:rPr>
          <w:rFonts w:ascii="Arial" w:hAnsi="Arial" w:cs="Arial"/>
          <w:noProof/>
          <w:lang w:val="en-AU" w:eastAsia="en-AU"/>
        </w:rPr>
        <w:drawing>
          <wp:inline distT="0" distB="0" distL="0" distR="0">
            <wp:extent cx="5277485" cy="7464425"/>
            <wp:effectExtent l="19050" t="0" r="0" b="0"/>
            <wp:docPr id="21" name="Picture 19" descr="OAAV Portrait map regional sites contou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AAV Portrait map regional sites contours.jpg"/>
                    <pic:cNvPicPr/>
                  </pic:nvPicPr>
                  <pic:blipFill>
                    <a:blip r:embed="rId12"/>
                    <a:stretch>
                      <a:fillRect/>
                    </a:stretch>
                  </pic:blipFill>
                  <pic:spPr>
                    <a:xfrm>
                      <a:off x="0" y="0"/>
                      <a:ext cx="5277485" cy="7464425"/>
                    </a:xfrm>
                    <a:prstGeom prst="rect">
                      <a:avLst/>
                    </a:prstGeom>
                  </pic:spPr>
                </pic:pic>
              </a:graphicData>
            </a:graphic>
          </wp:inline>
        </w:drawing>
      </w:r>
    </w:p>
    <w:p w:rsidR="0059762E" w:rsidRPr="005C3C93" w:rsidRDefault="005C3C93" w:rsidP="009C1878">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Narrow" w:hAnsi="Arial Narrow" w:cs="Arial"/>
          <w:lang w:val="en-AU"/>
        </w:rPr>
      </w:pPr>
      <w:r>
        <w:rPr>
          <w:rFonts w:ascii="Arial Narrow" w:hAnsi="Arial Narrow" w:cs="Arial"/>
          <w:lang w:val="en-AU"/>
        </w:rPr>
        <w:t xml:space="preserve">      </w:t>
      </w:r>
      <w:r w:rsidR="009C1878" w:rsidRPr="00084984">
        <w:rPr>
          <w:rFonts w:ascii="Arial Narrow" w:hAnsi="Arial Narrow" w:cs="Arial"/>
          <w:b/>
          <w:lang w:val="en-AU"/>
        </w:rPr>
        <w:t>Figure 3:</w:t>
      </w:r>
      <w:r w:rsidR="009C1878" w:rsidRPr="005C3C93">
        <w:rPr>
          <w:rFonts w:ascii="Arial Narrow" w:hAnsi="Arial Narrow" w:cs="Arial"/>
          <w:lang w:val="en-AU"/>
        </w:rPr>
        <w:t xml:space="preserve"> Registered Aboriginal p</w:t>
      </w:r>
      <w:r w:rsidR="0008592D">
        <w:rPr>
          <w:rFonts w:ascii="Arial Narrow" w:hAnsi="Arial Narrow" w:cs="Arial"/>
          <w:lang w:val="en-AU"/>
        </w:rPr>
        <w:t>laces in the wider area (study a</w:t>
      </w:r>
      <w:r w:rsidR="009C1878" w:rsidRPr="005C3C93">
        <w:rPr>
          <w:rFonts w:ascii="Arial Narrow" w:hAnsi="Arial Narrow" w:cs="Arial"/>
          <w:lang w:val="en-AU"/>
        </w:rPr>
        <w:t>rea shown in red).</w:t>
      </w:r>
    </w:p>
    <w:p w:rsidR="009C1878" w:rsidRDefault="009C1878">
      <w:pPr>
        <w:suppressAutoHyphens w:val="0"/>
        <w:rPr>
          <w:rFonts w:ascii="Arial" w:hAnsi="Arial" w:cs="Arial"/>
          <w:lang w:val="en-AU"/>
        </w:rPr>
      </w:pPr>
      <w:r>
        <w:rPr>
          <w:rFonts w:ascii="Arial" w:hAnsi="Arial" w:cs="Arial"/>
          <w:lang w:val="en-AU"/>
        </w:rPr>
        <w:br w:type="page"/>
      </w:r>
    </w:p>
    <w:p w:rsidR="004F5948" w:rsidRPr="006442CA" w:rsidRDefault="004F5948" w:rsidP="004F5948">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b/>
          <w:lang w:val="en-AU"/>
        </w:rPr>
      </w:pPr>
      <w:r w:rsidRPr="006442CA">
        <w:rPr>
          <w:rFonts w:ascii="Arial" w:hAnsi="Arial" w:cs="Arial"/>
          <w:b/>
          <w:lang w:val="en-AU"/>
        </w:rPr>
        <w:lastRenderedPageBreak/>
        <w:t xml:space="preserve">Previous Aboriginal Archaeological Assessments </w:t>
      </w:r>
    </w:p>
    <w:p w:rsidR="004F5948" w:rsidRDefault="004F5948" w:rsidP="004F5948">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lang w:val="en-AU"/>
        </w:rPr>
      </w:pPr>
      <w:r w:rsidRPr="00BD5832">
        <w:rPr>
          <w:rFonts w:ascii="Arial" w:hAnsi="Arial" w:cs="Arial"/>
        </w:rPr>
        <w:t xml:space="preserve">No archaeological assessments have been undertaken within the study area. </w:t>
      </w:r>
      <w:r>
        <w:rPr>
          <w:rFonts w:ascii="Arial" w:hAnsi="Arial" w:cs="Arial"/>
        </w:rPr>
        <w:t>Three</w:t>
      </w:r>
      <w:r w:rsidRPr="00BD5832">
        <w:rPr>
          <w:rFonts w:ascii="Arial" w:hAnsi="Arial" w:cs="Arial"/>
        </w:rPr>
        <w:t xml:space="preserve"> archaeological surveys</w:t>
      </w:r>
      <w:r>
        <w:rPr>
          <w:rFonts w:ascii="Arial" w:hAnsi="Arial" w:cs="Arial"/>
        </w:rPr>
        <w:t>, a subsurface testing project</w:t>
      </w:r>
      <w:r w:rsidRPr="00BD5832">
        <w:rPr>
          <w:rFonts w:ascii="Arial" w:hAnsi="Arial" w:cs="Arial"/>
        </w:rPr>
        <w:t xml:space="preserve"> and one CHMP have been conducted within 1km of the study area</w:t>
      </w:r>
      <w:r>
        <w:rPr>
          <w:rFonts w:ascii="Arial" w:hAnsi="Arial" w:cs="Arial"/>
        </w:rPr>
        <w:t xml:space="preserve"> and</w:t>
      </w:r>
      <w:r w:rsidRPr="009068DF">
        <w:rPr>
          <w:rFonts w:ascii="Arial" w:hAnsi="Arial" w:cs="Arial"/>
        </w:rPr>
        <w:t xml:space="preserve"> </w:t>
      </w:r>
      <w:r w:rsidRPr="009068DF">
        <w:rPr>
          <w:rFonts w:ascii="Arial" w:hAnsi="Arial" w:cs="Arial"/>
          <w:lang w:val="en-AU"/>
        </w:rPr>
        <w:t>are briefly summarised here.</w:t>
      </w:r>
    </w:p>
    <w:p w:rsidR="009068DF" w:rsidRPr="00357E1F" w:rsidRDefault="00357E1F" w:rsidP="009068DF">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b/>
          <w:color w:val="1F497D" w:themeColor="text2"/>
          <w:u w:val="single"/>
          <w:lang w:val="en-AU"/>
        </w:rPr>
      </w:pPr>
      <w:r w:rsidRPr="00357E1F">
        <w:rPr>
          <w:rFonts w:ascii="Arial" w:hAnsi="Arial" w:cs="Arial"/>
          <w:b/>
          <w:u w:val="single"/>
        </w:rPr>
        <w:t xml:space="preserve">An archaeological survey of the Bluff Road (St Leonards) extension to the proposed </w:t>
      </w:r>
      <w:proofErr w:type="spellStart"/>
      <w:r w:rsidRPr="00357E1F">
        <w:rPr>
          <w:rFonts w:ascii="Arial" w:hAnsi="Arial" w:cs="Arial"/>
          <w:b/>
          <w:u w:val="single"/>
        </w:rPr>
        <w:t>Bellarine</w:t>
      </w:r>
      <w:proofErr w:type="spellEnd"/>
      <w:r w:rsidRPr="00357E1F">
        <w:rPr>
          <w:rFonts w:ascii="Arial" w:hAnsi="Arial" w:cs="Arial"/>
          <w:b/>
          <w:u w:val="single"/>
        </w:rPr>
        <w:t xml:space="preserve"> Peninsula Gas Supply Route</w:t>
      </w:r>
      <w:r w:rsidRPr="00357E1F">
        <w:rPr>
          <w:rFonts w:ascii="Arial" w:hAnsi="Arial" w:cs="Arial"/>
          <w:b/>
          <w:u w:val="single"/>
          <w:lang w:val="en-AU"/>
        </w:rPr>
        <w:t xml:space="preserve"> </w:t>
      </w:r>
      <w:r w:rsidR="007B53F4" w:rsidRPr="00357E1F">
        <w:rPr>
          <w:rFonts w:ascii="Arial" w:hAnsi="Arial" w:cs="Arial"/>
          <w:b/>
          <w:u w:val="single"/>
          <w:lang w:val="en-AU"/>
        </w:rPr>
        <w:t>(2002)</w:t>
      </w:r>
      <w:r w:rsidR="009068DF" w:rsidRPr="00357E1F">
        <w:rPr>
          <w:rFonts w:ascii="Arial" w:hAnsi="Arial" w:cs="Arial"/>
          <w:b/>
          <w:u w:val="single"/>
          <w:lang w:val="en-AU"/>
        </w:rPr>
        <w:t>]</w:t>
      </w:r>
    </w:p>
    <w:p w:rsidR="009068DF" w:rsidRDefault="009C1878" w:rsidP="009068DF">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rPr>
      </w:pPr>
      <w:r>
        <w:rPr>
          <w:rFonts w:ascii="Arial" w:hAnsi="Arial" w:cs="Arial"/>
        </w:rPr>
        <w:t xml:space="preserve">Duncan &amp; </w:t>
      </w:r>
      <w:r w:rsidR="009068DF" w:rsidRPr="00B314BC">
        <w:rPr>
          <w:rFonts w:ascii="Arial" w:hAnsi="Arial" w:cs="Arial"/>
        </w:rPr>
        <w:t>Stone (2002) undertook a survey of the along Bluff Road for a proposed gas pipeline, approximately 80m east of the study area. While no Aboriginal cultural heritage was identified during the survey, the report determined that if Aboriginal places were present in the study area they would occur as stone artefact and shell midden deposits, particularly along the resource ric</w:t>
      </w:r>
      <w:r w:rsidR="009068DF">
        <w:rPr>
          <w:rFonts w:ascii="Arial" w:hAnsi="Arial" w:cs="Arial"/>
        </w:rPr>
        <w:t>h foreshore (</w:t>
      </w:r>
      <w:r>
        <w:rPr>
          <w:rFonts w:ascii="Arial" w:hAnsi="Arial" w:cs="Arial"/>
        </w:rPr>
        <w:t xml:space="preserve">Duncan &amp; </w:t>
      </w:r>
      <w:r w:rsidR="009068DF">
        <w:rPr>
          <w:rFonts w:ascii="Arial" w:hAnsi="Arial" w:cs="Arial"/>
        </w:rPr>
        <w:t>Stone 2002: 1-5).</w:t>
      </w:r>
    </w:p>
    <w:p w:rsidR="006E253A" w:rsidRPr="00357E1F" w:rsidRDefault="00357E1F" w:rsidP="009068DF">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b/>
          <w:u w:val="single"/>
        </w:rPr>
      </w:pPr>
      <w:r w:rsidRPr="00357E1F">
        <w:rPr>
          <w:rFonts w:ascii="Arial" w:hAnsi="Arial" w:cs="Arial"/>
          <w:b/>
          <w:u w:val="single"/>
        </w:rPr>
        <w:t xml:space="preserve">Proposed Residential Sub-Division. Corner of Point Edwards Road and </w:t>
      </w:r>
      <w:proofErr w:type="spellStart"/>
      <w:r w:rsidRPr="00357E1F">
        <w:rPr>
          <w:rFonts w:ascii="Arial" w:hAnsi="Arial" w:cs="Arial"/>
          <w:b/>
          <w:u w:val="single"/>
        </w:rPr>
        <w:t>Wattlehill</w:t>
      </w:r>
      <w:proofErr w:type="spellEnd"/>
      <w:r w:rsidRPr="00357E1F">
        <w:rPr>
          <w:rFonts w:ascii="Arial" w:hAnsi="Arial" w:cs="Arial"/>
          <w:b/>
          <w:u w:val="single"/>
        </w:rPr>
        <w:t xml:space="preserve"> Grove, St. Leonards</w:t>
      </w:r>
      <w:r w:rsidR="006E253A" w:rsidRPr="00357E1F">
        <w:rPr>
          <w:rFonts w:ascii="Arial" w:hAnsi="Arial" w:cs="Arial"/>
          <w:b/>
          <w:u w:val="single"/>
        </w:rPr>
        <w:t xml:space="preserve"> (2001)</w:t>
      </w:r>
      <w:r w:rsidR="007B53F4" w:rsidRPr="00357E1F">
        <w:rPr>
          <w:rFonts w:ascii="Arial" w:hAnsi="Arial" w:cs="Arial"/>
          <w:b/>
          <w:u w:val="single"/>
        </w:rPr>
        <w:t>]</w:t>
      </w:r>
    </w:p>
    <w:p w:rsidR="009068DF" w:rsidRDefault="009068DF" w:rsidP="009068DF">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rPr>
      </w:pPr>
      <w:r w:rsidRPr="00B314BC">
        <w:rPr>
          <w:rFonts w:ascii="Arial" w:hAnsi="Arial" w:cs="Arial"/>
        </w:rPr>
        <w:t xml:space="preserve">Weaver </w:t>
      </w:r>
      <w:r w:rsidR="006E7823">
        <w:rPr>
          <w:rFonts w:ascii="Arial" w:hAnsi="Arial" w:cs="Arial"/>
        </w:rPr>
        <w:t>(2001: 1-10</w:t>
      </w:r>
      <w:r w:rsidRPr="00B314BC">
        <w:rPr>
          <w:rFonts w:ascii="Arial" w:hAnsi="Arial" w:cs="Arial"/>
        </w:rPr>
        <w:t>) prep</w:t>
      </w:r>
      <w:r w:rsidR="008543B7">
        <w:rPr>
          <w:rFonts w:ascii="Arial" w:hAnsi="Arial" w:cs="Arial"/>
        </w:rPr>
        <w:t>ared an archaeological survey for</w:t>
      </w:r>
      <w:r w:rsidRPr="00B314BC">
        <w:rPr>
          <w:rFonts w:ascii="Arial" w:hAnsi="Arial" w:cs="Arial"/>
        </w:rPr>
        <w:t xml:space="preserve"> a proposed subdivision on the corner of Point Edwards Road and Wattle Tree Grove, 450 m south west of the study area. The subject land comprised a high sandy slope tending to the south towards Swan Bay. One Aboriginal place</w:t>
      </w:r>
      <w:r w:rsidR="009E42D6">
        <w:rPr>
          <w:rFonts w:ascii="Arial" w:hAnsi="Arial" w:cs="Arial"/>
        </w:rPr>
        <w:t xml:space="preserve"> (VAHR 7821-0529)</w:t>
      </w:r>
      <w:r w:rsidRPr="00B314BC">
        <w:rPr>
          <w:rFonts w:ascii="Arial" w:hAnsi="Arial" w:cs="Arial"/>
        </w:rPr>
        <w:t xml:space="preserve"> was ide</w:t>
      </w:r>
      <w:r>
        <w:rPr>
          <w:rFonts w:ascii="Arial" w:hAnsi="Arial" w:cs="Arial"/>
        </w:rPr>
        <w:t>ntified during the field survey</w:t>
      </w:r>
      <w:r w:rsidRPr="00B314BC">
        <w:rPr>
          <w:rFonts w:ascii="Arial" w:hAnsi="Arial" w:cs="Arial"/>
        </w:rPr>
        <w:t xml:space="preserve"> comprising 13 stone artefacts</w:t>
      </w:r>
      <w:r w:rsidR="006E7823">
        <w:rPr>
          <w:rFonts w:ascii="Arial" w:hAnsi="Arial" w:cs="Arial"/>
        </w:rPr>
        <w:t xml:space="preserve"> associated with brown silty clay</w:t>
      </w:r>
      <w:r w:rsidRPr="00B314BC">
        <w:rPr>
          <w:rFonts w:ascii="Arial" w:hAnsi="Arial" w:cs="Arial"/>
        </w:rPr>
        <w:t xml:space="preserve"> located adjacent to a drainage ditch. Artefacts were blades, flakes and a core made o</w:t>
      </w:r>
      <w:r w:rsidRPr="006E7823">
        <w:rPr>
          <w:rFonts w:ascii="Arial" w:hAnsi="Arial" w:cs="Arial"/>
        </w:rPr>
        <w:t xml:space="preserve">n silcrete, quartzite, quartz, and chert. </w:t>
      </w:r>
      <w:r w:rsidR="007B53F4" w:rsidRPr="006E7823">
        <w:rPr>
          <w:rFonts w:ascii="Arial" w:hAnsi="Arial" w:cs="Arial"/>
        </w:rPr>
        <w:t>She concluded that the artefacts</w:t>
      </w:r>
      <w:r w:rsidR="006E7823" w:rsidRPr="006E7823">
        <w:rPr>
          <w:rFonts w:ascii="Arial" w:hAnsi="Arial" w:cs="Arial"/>
        </w:rPr>
        <w:t xml:space="preserve"> were identified within a disturbed context and most likely redeposited during excavation of the drainage ditch.</w:t>
      </w:r>
      <w:r w:rsidR="007B53F4" w:rsidRPr="006E7823">
        <w:rPr>
          <w:rFonts w:ascii="Arial" w:hAnsi="Arial" w:cs="Arial"/>
        </w:rPr>
        <w:t xml:space="preserve"> </w:t>
      </w:r>
      <w:r w:rsidRPr="00B314BC">
        <w:rPr>
          <w:rFonts w:ascii="Arial" w:hAnsi="Arial" w:cs="Arial"/>
        </w:rPr>
        <w:t>Weaver (2001: 8-</w:t>
      </w:r>
      <w:r w:rsidR="003D55CC">
        <w:rPr>
          <w:rFonts w:ascii="Arial" w:hAnsi="Arial" w:cs="Arial"/>
        </w:rPr>
        <w:t>10) determined that the there was</w:t>
      </w:r>
      <w:r w:rsidRPr="00B314BC">
        <w:rPr>
          <w:rFonts w:ascii="Arial" w:hAnsi="Arial" w:cs="Arial"/>
        </w:rPr>
        <w:t xml:space="preserve"> potential for Aboriginal cultural heritage </w:t>
      </w:r>
      <w:r w:rsidR="003D55CC">
        <w:rPr>
          <w:rFonts w:ascii="Arial" w:hAnsi="Arial" w:cs="Arial"/>
        </w:rPr>
        <w:t xml:space="preserve">within the top of the slope </w:t>
      </w:r>
      <w:r w:rsidRPr="00B314BC">
        <w:rPr>
          <w:rFonts w:ascii="Arial" w:hAnsi="Arial" w:cs="Arial"/>
        </w:rPr>
        <w:t>in the northern section of the subject land</w:t>
      </w:r>
      <w:r w:rsidR="003D55CC">
        <w:rPr>
          <w:rFonts w:ascii="Arial" w:hAnsi="Arial" w:cs="Arial"/>
        </w:rPr>
        <w:t xml:space="preserve"> given the presence of VAHR 7821-0529. While the lower southern portion contained large amounts of fill, Weaver (2001: 11) determined that the presence of </w:t>
      </w:r>
      <w:r w:rsidR="006E7823">
        <w:rPr>
          <w:rFonts w:ascii="Arial" w:hAnsi="Arial" w:cs="Arial"/>
        </w:rPr>
        <w:t>fill restricted</w:t>
      </w:r>
      <w:r w:rsidR="003D55CC">
        <w:rPr>
          <w:rFonts w:ascii="Arial" w:hAnsi="Arial" w:cs="Arial"/>
        </w:rPr>
        <w:t xml:space="preserve"> the</w:t>
      </w:r>
      <w:r w:rsidR="006E7823">
        <w:rPr>
          <w:rFonts w:ascii="Arial" w:hAnsi="Arial" w:cs="Arial"/>
        </w:rPr>
        <w:t xml:space="preserve"> </w:t>
      </w:r>
      <w:r w:rsidR="003D55CC">
        <w:rPr>
          <w:rFonts w:ascii="Arial" w:hAnsi="Arial" w:cs="Arial"/>
        </w:rPr>
        <w:t>effectiveness of the survey and</w:t>
      </w:r>
      <w:r w:rsidR="006E7823">
        <w:rPr>
          <w:rFonts w:ascii="Arial" w:hAnsi="Arial" w:cs="Arial"/>
        </w:rPr>
        <w:t xml:space="preserve"> the potential for subsurface Aboriginal cultural heritage was unknown</w:t>
      </w:r>
      <w:r w:rsidR="003D55CC">
        <w:rPr>
          <w:rFonts w:ascii="Arial" w:hAnsi="Arial" w:cs="Arial"/>
        </w:rPr>
        <w:t>, recommending that all initial earthworks should be monitored.</w:t>
      </w:r>
      <w:r w:rsidR="006E7823">
        <w:rPr>
          <w:rFonts w:ascii="Arial" w:hAnsi="Arial" w:cs="Arial"/>
        </w:rPr>
        <w:t xml:space="preserve"> </w:t>
      </w:r>
    </w:p>
    <w:p w:rsidR="006E253A" w:rsidRDefault="009068DF" w:rsidP="006E253A">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b/>
          <w:u w:val="single"/>
        </w:rPr>
      </w:pPr>
      <w:r w:rsidRPr="006E253A">
        <w:rPr>
          <w:rFonts w:ascii="Arial" w:hAnsi="Arial" w:cs="Arial"/>
          <w:b/>
          <w:u w:val="single"/>
        </w:rPr>
        <w:t xml:space="preserve">Proposed Residential Sub-Division. Lot A, Bluff Road, St. Leonards, </w:t>
      </w:r>
      <w:r w:rsidR="006E253A">
        <w:rPr>
          <w:rFonts w:ascii="Arial" w:hAnsi="Arial" w:cs="Arial"/>
          <w:b/>
          <w:u w:val="single"/>
        </w:rPr>
        <w:t>Victoria:</w:t>
      </w:r>
    </w:p>
    <w:p w:rsidR="006E253A" w:rsidRPr="006E253A" w:rsidRDefault="006E253A" w:rsidP="006E253A">
      <w:pPr>
        <w:pStyle w:val="ListParagraph"/>
        <w:numPr>
          <w:ilvl w:val="0"/>
          <w:numId w:val="14"/>
        </w:num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b/>
          <w:sz w:val="20"/>
          <w:szCs w:val="20"/>
          <w:u w:val="single"/>
        </w:rPr>
      </w:pPr>
      <w:r w:rsidRPr="006E253A">
        <w:rPr>
          <w:rFonts w:cs="Arial"/>
          <w:b/>
          <w:sz w:val="20"/>
          <w:szCs w:val="20"/>
          <w:u w:val="single"/>
        </w:rPr>
        <w:t>A Survey for Aboriginal and Historic archaeological sites (2001a)</w:t>
      </w:r>
    </w:p>
    <w:p w:rsidR="009068DF" w:rsidRPr="006E253A" w:rsidRDefault="009068DF" w:rsidP="006E253A">
      <w:pPr>
        <w:pStyle w:val="ListParagraph"/>
        <w:numPr>
          <w:ilvl w:val="0"/>
          <w:numId w:val="14"/>
        </w:num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b/>
          <w:sz w:val="20"/>
          <w:szCs w:val="20"/>
          <w:u w:val="single"/>
        </w:rPr>
      </w:pPr>
      <w:r w:rsidRPr="006E253A">
        <w:rPr>
          <w:rFonts w:cs="Arial"/>
          <w:b/>
          <w:sz w:val="20"/>
          <w:szCs w:val="20"/>
          <w:u w:val="single"/>
        </w:rPr>
        <w:t>Archaeologi</w:t>
      </w:r>
      <w:r w:rsidR="006E253A" w:rsidRPr="006E253A">
        <w:rPr>
          <w:rFonts w:cs="Arial"/>
          <w:b/>
          <w:sz w:val="20"/>
          <w:szCs w:val="20"/>
          <w:u w:val="single"/>
        </w:rPr>
        <w:t>cal Sub-surface testing project (2004)</w:t>
      </w:r>
    </w:p>
    <w:p w:rsidR="006E253A" w:rsidRPr="006E253A" w:rsidRDefault="006E253A" w:rsidP="006E253A">
      <w:pPr>
        <w:pStyle w:val="ListParagraph"/>
        <w:numPr>
          <w:ilvl w:val="0"/>
          <w:numId w:val="14"/>
        </w:num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b/>
          <w:sz w:val="20"/>
          <w:szCs w:val="20"/>
          <w:u w:val="single"/>
        </w:rPr>
      </w:pPr>
      <w:r w:rsidRPr="006E253A">
        <w:rPr>
          <w:rFonts w:cs="Arial"/>
          <w:b/>
          <w:sz w:val="20"/>
          <w:szCs w:val="20"/>
          <w:u w:val="single"/>
        </w:rPr>
        <w:t>Cultural Heritage M</w:t>
      </w:r>
      <w:r w:rsidR="007B53F4">
        <w:rPr>
          <w:rFonts w:cs="Arial"/>
          <w:b/>
          <w:sz w:val="20"/>
          <w:szCs w:val="20"/>
          <w:u w:val="single"/>
        </w:rPr>
        <w:t>anagement Plan (CHMP 10059) (201</w:t>
      </w:r>
      <w:r w:rsidRPr="006E253A">
        <w:rPr>
          <w:rFonts w:cs="Arial"/>
          <w:b/>
          <w:sz w:val="20"/>
          <w:szCs w:val="20"/>
          <w:u w:val="single"/>
        </w:rPr>
        <w:t>1)</w:t>
      </w:r>
    </w:p>
    <w:p w:rsidR="00E95F48" w:rsidRDefault="000568B4" w:rsidP="009068DF">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rPr>
      </w:pPr>
      <w:r w:rsidRPr="000568B4">
        <w:rPr>
          <w:rFonts w:ascii="Arial" w:hAnsi="Arial" w:cs="Arial"/>
        </w:rPr>
        <w:t>Two</w:t>
      </w:r>
      <w:r w:rsidR="009068DF" w:rsidRPr="000568B4">
        <w:rPr>
          <w:rFonts w:ascii="Arial" w:hAnsi="Arial" w:cs="Arial"/>
        </w:rPr>
        <w:t xml:space="preserve"> archaeological assessments (Weaver </w:t>
      </w:r>
      <w:r w:rsidRPr="000568B4">
        <w:rPr>
          <w:rFonts w:ascii="Arial" w:hAnsi="Arial" w:cs="Arial"/>
        </w:rPr>
        <w:t xml:space="preserve">2001; </w:t>
      </w:r>
      <w:r w:rsidR="009068DF" w:rsidRPr="000568B4">
        <w:rPr>
          <w:rFonts w:ascii="Arial" w:hAnsi="Arial" w:cs="Arial"/>
        </w:rPr>
        <w:t>2004) and a subsequent CHMP (10059)</w:t>
      </w:r>
      <w:r w:rsidR="009068DF" w:rsidRPr="00B314BC">
        <w:rPr>
          <w:rFonts w:ascii="Arial" w:hAnsi="Arial" w:cs="Arial"/>
        </w:rPr>
        <w:t xml:space="preserve"> were undertaken 500 m to the south west of the study area resulting in the identification of a high density stone artefact deposit and shell midden (VAHR 7821-0603) and low density stone artefact deposit (VAHR 7821-0797), both </w:t>
      </w:r>
      <w:r w:rsidR="007B53F4">
        <w:rPr>
          <w:rFonts w:ascii="Arial" w:hAnsi="Arial" w:cs="Arial"/>
        </w:rPr>
        <w:t xml:space="preserve">of which </w:t>
      </w:r>
      <w:r w:rsidR="009068DF" w:rsidRPr="00B314BC">
        <w:rPr>
          <w:rFonts w:ascii="Arial" w:hAnsi="Arial" w:cs="Arial"/>
        </w:rPr>
        <w:t>compris</w:t>
      </w:r>
      <w:r w:rsidR="007B53F4">
        <w:rPr>
          <w:rFonts w:ascii="Arial" w:hAnsi="Arial" w:cs="Arial"/>
        </w:rPr>
        <w:t xml:space="preserve">ed </w:t>
      </w:r>
      <w:r w:rsidR="009068DF" w:rsidRPr="00B314BC">
        <w:rPr>
          <w:rFonts w:ascii="Arial" w:hAnsi="Arial" w:cs="Arial"/>
        </w:rPr>
        <w:t>surface and subsurface deposits (Weaver 2011:</w:t>
      </w:r>
      <w:r w:rsidR="009068DF">
        <w:rPr>
          <w:rFonts w:ascii="Arial" w:hAnsi="Arial" w:cs="Arial"/>
        </w:rPr>
        <w:t xml:space="preserve"> 55-91</w:t>
      </w:r>
      <w:r w:rsidR="009068DF" w:rsidRPr="00B314BC">
        <w:rPr>
          <w:rFonts w:ascii="Arial" w:hAnsi="Arial" w:cs="Arial"/>
        </w:rPr>
        <w:t xml:space="preserve">). </w:t>
      </w:r>
    </w:p>
    <w:p w:rsidR="009068DF" w:rsidRDefault="009068DF" w:rsidP="009068DF">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rPr>
      </w:pPr>
      <w:r w:rsidRPr="00B314BC">
        <w:rPr>
          <w:rFonts w:ascii="Arial" w:hAnsi="Arial" w:cs="Arial"/>
        </w:rPr>
        <w:t>VAHR 7821-0603 was identified within shallow grey/brown sand deposits (20cm depth) overlying buckshot gravel within the southern portion of the subject land.</w:t>
      </w:r>
      <w:r>
        <w:rPr>
          <w:rFonts w:ascii="Arial" w:hAnsi="Arial" w:cs="Arial"/>
        </w:rPr>
        <w:t xml:space="preserve"> Stone artefacts were </w:t>
      </w:r>
      <w:r>
        <w:rPr>
          <w:rFonts w:ascii="Arial" w:hAnsi="Arial" w:cs="Arial"/>
        </w:rPr>
        <w:lastRenderedPageBreak/>
        <w:t xml:space="preserve">made on quartz, quartzite, silcrete, </w:t>
      </w:r>
      <w:r w:rsidRPr="009B5338">
        <w:rPr>
          <w:rFonts w:ascii="Arial" w:hAnsi="Arial" w:cs="Arial"/>
        </w:rPr>
        <w:t xml:space="preserve">greenstone, sandstone and fine grain basalt, and comprised flakes and tools including an axe and grinding stone. </w:t>
      </w:r>
      <w:r w:rsidRPr="00B314BC">
        <w:rPr>
          <w:rFonts w:ascii="Arial" w:hAnsi="Arial" w:cs="Arial"/>
        </w:rPr>
        <w:t>VAHR 7821-0797 was identified within a dune deposit located within the elevated north western corner of the subject land to a maximum depth of 55 cm</w:t>
      </w:r>
      <w:r>
        <w:rPr>
          <w:rFonts w:ascii="Arial" w:hAnsi="Arial" w:cs="Arial"/>
        </w:rPr>
        <w:t>, and comprised silcrete, quartz and quartzite flakes and cores, and Oyster, Mud Whelk and Hairy Ark shellfish species (Weaver 2011: 78-86)</w:t>
      </w:r>
      <w:r w:rsidRPr="00B314BC">
        <w:rPr>
          <w:rFonts w:ascii="Arial" w:hAnsi="Arial" w:cs="Arial"/>
        </w:rPr>
        <w:t>. Weaver (2011: 90-91) indicated that VAHR 7821-0797 is located within the south western corner of an extensive sand sheet landform extend</w:t>
      </w:r>
      <w:r w:rsidR="007B53F4">
        <w:rPr>
          <w:rFonts w:ascii="Arial" w:hAnsi="Arial" w:cs="Arial"/>
        </w:rPr>
        <w:t>ing</w:t>
      </w:r>
      <w:r w:rsidRPr="00B314BC">
        <w:rPr>
          <w:rFonts w:ascii="Arial" w:hAnsi="Arial" w:cs="Arial"/>
        </w:rPr>
        <w:t xml:space="preserve"> further north, and would have been utilised by Aboriginal people as elevated land overlooking Swan Bay. This landform extends into the current study area</w:t>
      </w:r>
      <w:r w:rsidR="009C1878">
        <w:rPr>
          <w:rFonts w:ascii="Arial" w:hAnsi="Arial" w:cs="Arial"/>
        </w:rPr>
        <w:t xml:space="preserve"> (see Figure 3)</w:t>
      </w:r>
      <w:r w:rsidRPr="00B314BC">
        <w:rPr>
          <w:rFonts w:ascii="Arial" w:hAnsi="Arial" w:cs="Arial"/>
        </w:rPr>
        <w:t>.</w:t>
      </w:r>
    </w:p>
    <w:p w:rsidR="008D0E23" w:rsidRDefault="008D0E23" w:rsidP="008D0E23">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b/>
          <w:lang w:val="en-AU"/>
        </w:rPr>
      </w:pPr>
      <w:r>
        <w:rPr>
          <w:rFonts w:ascii="Arial" w:hAnsi="Arial" w:cs="Arial"/>
          <w:b/>
          <w:lang w:val="en-AU"/>
        </w:rPr>
        <w:t>Site Inspection</w:t>
      </w:r>
    </w:p>
    <w:p w:rsidR="000132E8" w:rsidRDefault="008D0E23" w:rsidP="005F5C16">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rPr>
      </w:pPr>
      <w:r>
        <w:rPr>
          <w:rFonts w:ascii="Arial" w:hAnsi="Arial" w:cs="Arial"/>
          <w:lang w:val="en-AU"/>
        </w:rPr>
        <w:t xml:space="preserve">An inspection of the </w:t>
      </w:r>
      <w:r w:rsidR="005F5C16">
        <w:rPr>
          <w:rFonts w:ascii="Arial" w:hAnsi="Arial" w:cs="Arial"/>
          <w:lang w:val="en-AU"/>
        </w:rPr>
        <w:t>study</w:t>
      </w:r>
      <w:r>
        <w:rPr>
          <w:rFonts w:ascii="Arial" w:hAnsi="Arial" w:cs="Arial"/>
          <w:lang w:val="en-AU"/>
        </w:rPr>
        <w:t xml:space="preserve"> area was undert</w:t>
      </w:r>
      <w:r w:rsidRPr="000132E8">
        <w:rPr>
          <w:rFonts w:ascii="Arial" w:hAnsi="Arial" w:cs="Arial"/>
          <w:lang w:val="en-AU"/>
        </w:rPr>
        <w:t xml:space="preserve">aken </w:t>
      </w:r>
      <w:r w:rsidR="0089506A" w:rsidRPr="000132E8">
        <w:rPr>
          <w:rFonts w:ascii="Arial" w:hAnsi="Arial" w:cs="Arial"/>
          <w:lang w:val="en-AU"/>
        </w:rPr>
        <w:t xml:space="preserve">by </w:t>
      </w:r>
      <w:r w:rsidR="009328C5" w:rsidRPr="000132E8">
        <w:rPr>
          <w:rFonts w:ascii="Arial" w:hAnsi="Arial" w:cs="Arial"/>
          <w:lang w:val="en-AU"/>
        </w:rPr>
        <w:t xml:space="preserve">Cultural Heritage Advisor </w:t>
      </w:r>
      <w:r w:rsidR="005F5C16" w:rsidRPr="000132E8">
        <w:rPr>
          <w:rFonts w:ascii="Arial" w:hAnsi="Arial" w:cs="Arial"/>
          <w:lang w:val="en-AU"/>
        </w:rPr>
        <w:t>Sarah Collins</w:t>
      </w:r>
      <w:r w:rsidR="009328C5" w:rsidRPr="000132E8">
        <w:rPr>
          <w:rFonts w:ascii="Arial" w:hAnsi="Arial" w:cs="Arial"/>
          <w:lang w:val="en-AU"/>
        </w:rPr>
        <w:t xml:space="preserve"> (Project </w:t>
      </w:r>
      <w:r w:rsidR="005F5C16" w:rsidRPr="000132E8">
        <w:rPr>
          <w:rFonts w:ascii="Arial" w:hAnsi="Arial" w:cs="Arial"/>
          <w:lang w:val="en-AU"/>
        </w:rPr>
        <w:t>Manager</w:t>
      </w:r>
      <w:r w:rsidR="009328C5" w:rsidRPr="000132E8">
        <w:rPr>
          <w:rFonts w:ascii="Arial" w:hAnsi="Arial" w:cs="Arial"/>
          <w:lang w:val="en-AU"/>
        </w:rPr>
        <w:t xml:space="preserve">, </w:t>
      </w:r>
      <w:r w:rsidR="0089506A" w:rsidRPr="000132E8">
        <w:rPr>
          <w:rFonts w:ascii="Arial" w:hAnsi="Arial" w:cs="Arial"/>
          <w:lang w:val="en-AU"/>
        </w:rPr>
        <w:t xml:space="preserve">Ochre Imprints) </w:t>
      </w:r>
      <w:r w:rsidRPr="000132E8">
        <w:rPr>
          <w:rFonts w:ascii="Arial" w:hAnsi="Arial" w:cs="Arial"/>
          <w:lang w:val="en-AU"/>
        </w:rPr>
        <w:t xml:space="preserve">on </w:t>
      </w:r>
      <w:r w:rsidR="005F5C16" w:rsidRPr="000132E8">
        <w:rPr>
          <w:rFonts w:ascii="Arial" w:hAnsi="Arial" w:cs="Arial"/>
          <w:lang w:val="en-AU"/>
        </w:rPr>
        <w:t>18</w:t>
      </w:r>
      <w:r w:rsidRPr="000132E8">
        <w:rPr>
          <w:rFonts w:ascii="Arial" w:hAnsi="Arial" w:cs="Arial"/>
          <w:lang w:val="en-AU"/>
        </w:rPr>
        <w:t xml:space="preserve"> March 2015.</w:t>
      </w:r>
      <w:r w:rsidR="00890404">
        <w:rPr>
          <w:rStyle w:val="FootnoteReference"/>
          <w:rFonts w:ascii="Arial" w:hAnsi="Arial" w:cs="Arial"/>
          <w:b/>
          <w:lang w:val="en-AU"/>
        </w:rPr>
        <w:footnoteReference w:id="4"/>
      </w:r>
      <w:r w:rsidRPr="000132E8">
        <w:rPr>
          <w:rFonts w:ascii="Arial" w:hAnsi="Arial" w:cs="Arial"/>
          <w:lang w:val="en-AU"/>
        </w:rPr>
        <w:t xml:space="preserve"> </w:t>
      </w:r>
      <w:r w:rsidR="000132E8" w:rsidRPr="000132E8">
        <w:rPr>
          <w:rFonts w:ascii="Arial" w:hAnsi="Arial" w:cs="Arial"/>
          <w:lang w:val="en-AU"/>
        </w:rPr>
        <w:t>The study area is situated within a predominantly semi-residential/rural landscape approximately 400 metres north west of the coastline.</w:t>
      </w:r>
      <w:r w:rsidR="000132E8" w:rsidRPr="000132E8">
        <w:rPr>
          <w:rFonts w:ascii="Arial" w:hAnsi="Arial" w:cs="Arial"/>
        </w:rPr>
        <w:t xml:space="preserve"> </w:t>
      </w:r>
      <w:r w:rsidR="000132E8">
        <w:rPr>
          <w:rFonts w:ascii="Arial" w:hAnsi="Arial" w:cs="Arial"/>
        </w:rPr>
        <w:t>The following observations were made during the inspection:</w:t>
      </w:r>
    </w:p>
    <w:p w:rsidR="00E95F48" w:rsidRPr="005C3C93" w:rsidRDefault="00EE1620" w:rsidP="00E95F48">
      <w:pPr>
        <w:pStyle w:val="ListParagraph"/>
        <w:numPr>
          <w:ilvl w:val="0"/>
          <w:numId w:val="10"/>
        </w:num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sz w:val="20"/>
          <w:szCs w:val="20"/>
        </w:rPr>
      </w:pPr>
      <w:proofErr w:type="gramStart"/>
      <w:r>
        <w:rPr>
          <w:rFonts w:cs="Arial"/>
          <w:sz w:val="20"/>
          <w:szCs w:val="20"/>
        </w:rPr>
        <w:t>t</w:t>
      </w:r>
      <w:r w:rsidR="00422A99" w:rsidRPr="005C3C93">
        <w:rPr>
          <w:rFonts w:cs="Arial"/>
          <w:sz w:val="20"/>
          <w:szCs w:val="20"/>
        </w:rPr>
        <w:t>he</w:t>
      </w:r>
      <w:proofErr w:type="gramEnd"/>
      <w:r w:rsidR="00E95F48" w:rsidRPr="005C3C93">
        <w:rPr>
          <w:rFonts w:cs="Arial"/>
          <w:sz w:val="20"/>
          <w:szCs w:val="20"/>
        </w:rPr>
        <w:t xml:space="preserve"> main site is used for a water reserve. </w:t>
      </w:r>
      <w:r w:rsidR="00890404">
        <w:rPr>
          <w:rFonts w:cs="Arial"/>
          <w:sz w:val="20"/>
          <w:szCs w:val="20"/>
        </w:rPr>
        <w:t>The majority of the property</w:t>
      </w:r>
      <w:r w:rsidR="00E95F48" w:rsidRPr="005C3C93">
        <w:rPr>
          <w:rFonts w:cs="Arial"/>
          <w:sz w:val="20"/>
          <w:szCs w:val="20"/>
        </w:rPr>
        <w:t xml:space="preserve"> has been cleared of native vegetation and contains pasture grasses (</w:t>
      </w:r>
      <w:r w:rsidR="005C3C93" w:rsidRPr="005C3C93">
        <w:rPr>
          <w:rFonts w:cs="Arial"/>
          <w:sz w:val="20"/>
          <w:szCs w:val="20"/>
        </w:rPr>
        <w:t xml:space="preserve">see </w:t>
      </w:r>
      <w:r w:rsidR="00E95F48" w:rsidRPr="005C3C93">
        <w:rPr>
          <w:rFonts w:cs="Arial"/>
          <w:sz w:val="20"/>
          <w:szCs w:val="20"/>
        </w:rPr>
        <w:t xml:space="preserve">Plate </w:t>
      </w:r>
      <w:r w:rsidR="005C3C93" w:rsidRPr="005C3C93">
        <w:rPr>
          <w:rFonts w:cs="Arial"/>
          <w:sz w:val="20"/>
          <w:szCs w:val="20"/>
        </w:rPr>
        <w:t>1</w:t>
      </w:r>
      <w:r>
        <w:rPr>
          <w:rFonts w:cs="Arial"/>
          <w:sz w:val="20"/>
          <w:szCs w:val="20"/>
        </w:rPr>
        <w:t>);</w:t>
      </w:r>
    </w:p>
    <w:p w:rsidR="00890404" w:rsidRDefault="00890404" w:rsidP="00E95F48">
      <w:pPr>
        <w:pStyle w:val="ListParagraph"/>
        <w:numPr>
          <w:ilvl w:val="0"/>
          <w:numId w:val="10"/>
        </w:num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sz w:val="20"/>
          <w:szCs w:val="20"/>
        </w:rPr>
      </w:pPr>
      <w:proofErr w:type="gramStart"/>
      <w:r>
        <w:rPr>
          <w:rFonts w:cs="Arial"/>
          <w:sz w:val="20"/>
          <w:szCs w:val="20"/>
        </w:rPr>
        <w:t>m</w:t>
      </w:r>
      <w:r w:rsidRPr="00422A99">
        <w:rPr>
          <w:rFonts w:cs="Arial"/>
          <w:sz w:val="20"/>
          <w:szCs w:val="20"/>
        </w:rPr>
        <w:t>ature</w:t>
      </w:r>
      <w:proofErr w:type="gramEnd"/>
      <w:r w:rsidRPr="00422A99">
        <w:rPr>
          <w:rFonts w:cs="Arial"/>
          <w:sz w:val="20"/>
          <w:szCs w:val="20"/>
        </w:rPr>
        <w:t xml:space="preserve"> native vegetation occurs along the boundary of the study area</w:t>
      </w:r>
      <w:r>
        <w:rPr>
          <w:rFonts w:cs="Arial"/>
          <w:sz w:val="20"/>
          <w:szCs w:val="20"/>
        </w:rPr>
        <w:t xml:space="preserve"> (Plate 3)</w:t>
      </w:r>
      <w:r w:rsidRPr="00422A99">
        <w:rPr>
          <w:rFonts w:cs="Arial"/>
          <w:sz w:val="20"/>
          <w:szCs w:val="20"/>
        </w:rPr>
        <w:t>. No mature native trees of a sufficient age to have potential to contain scars associated with Aboriginal cultural activities, occur in the study area</w:t>
      </w:r>
      <w:r>
        <w:rPr>
          <w:rFonts w:cs="Arial"/>
          <w:sz w:val="20"/>
          <w:szCs w:val="20"/>
        </w:rPr>
        <w:t>;</w:t>
      </w:r>
    </w:p>
    <w:p w:rsidR="005C3C93" w:rsidRDefault="00EE1620" w:rsidP="00E95F48">
      <w:pPr>
        <w:pStyle w:val="ListParagraph"/>
        <w:numPr>
          <w:ilvl w:val="0"/>
          <w:numId w:val="10"/>
        </w:num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sz w:val="20"/>
          <w:szCs w:val="20"/>
        </w:rPr>
      </w:pPr>
      <w:r>
        <w:rPr>
          <w:rFonts w:cs="Arial"/>
          <w:sz w:val="20"/>
          <w:szCs w:val="20"/>
        </w:rPr>
        <w:t>t</w:t>
      </w:r>
      <w:r w:rsidR="005C3C93" w:rsidRPr="005C3C93">
        <w:rPr>
          <w:rFonts w:cs="Arial"/>
          <w:sz w:val="20"/>
          <w:szCs w:val="20"/>
        </w:rPr>
        <w:t xml:space="preserve">he property contains a large water storage tank, associated pipe infrastructure and a shed within the northern half, and cleared flat land within the southern half (Plate </w:t>
      </w:r>
      <w:r w:rsidR="00067805">
        <w:rPr>
          <w:rFonts w:cs="Arial"/>
          <w:sz w:val="20"/>
          <w:szCs w:val="20"/>
        </w:rPr>
        <w:t>2</w:t>
      </w:r>
      <w:r w:rsidR="005C3C93" w:rsidRPr="005C3C93">
        <w:rPr>
          <w:rFonts w:cs="Arial"/>
          <w:sz w:val="20"/>
          <w:szCs w:val="20"/>
        </w:rPr>
        <w:t xml:space="preserve"> and </w:t>
      </w:r>
      <w:r w:rsidR="00067805">
        <w:rPr>
          <w:rFonts w:cs="Arial"/>
          <w:sz w:val="20"/>
          <w:szCs w:val="20"/>
        </w:rPr>
        <w:t>3</w:t>
      </w:r>
      <w:r>
        <w:rPr>
          <w:rFonts w:cs="Arial"/>
          <w:sz w:val="20"/>
          <w:szCs w:val="20"/>
        </w:rPr>
        <w:t>);</w:t>
      </w:r>
    </w:p>
    <w:p w:rsidR="00067805" w:rsidRPr="00EE1620" w:rsidRDefault="00EE1620" w:rsidP="00EE1620">
      <w:pPr>
        <w:pStyle w:val="ListParagraph"/>
        <w:numPr>
          <w:ilvl w:val="0"/>
          <w:numId w:val="10"/>
        </w:num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sz w:val="20"/>
          <w:szCs w:val="20"/>
        </w:rPr>
      </w:pPr>
      <w:proofErr w:type="gramStart"/>
      <w:r>
        <w:rPr>
          <w:rFonts w:cs="Arial"/>
          <w:sz w:val="20"/>
          <w:szCs w:val="20"/>
        </w:rPr>
        <w:t>t</w:t>
      </w:r>
      <w:r w:rsidR="00067805" w:rsidRPr="00EE1620">
        <w:rPr>
          <w:rFonts w:cs="Arial"/>
          <w:sz w:val="20"/>
          <w:szCs w:val="20"/>
        </w:rPr>
        <w:t>he</w:t>
      </w:r>
      <w:proofErr w:type="gramEnd"/>
      <w:r w:rsidR="00067805" w:rsidRPr="00EE1620">
        <w:rPr>
          <w:rFonts w:cs="Arial"/>
          <w:sz w:val="20"/>
          <w:szCs w:val="20"/>
        </w:rPr>
        <w:t xml:space="preserve"> ground surface immediately adjacent to the water tank is lower than the surrounding ground surface and contains a layer of bluestone gravel. It is likely that construction of the water tank</w:t>
      </w:r>
      <w:r>
        <w:rPr>
          <w:rFonts w:cs="Arial"/>
          <w:sz w:val="20"/>
          <w:szCs w:val="20"/>
        </w:rPr>
        <w:t xml:space="preserve"> and associated pipe infrastructure</w:t>
      </w:r>
      <w:r w:rsidR="00067805" w:rsidRPr="00EE1620">
        <w:rPr>
          <w:rFonts w:cs="Arial"/>
          <w:sz w:val="20"/>
          <w:szCs w:val="20"/>
        </w:rPr>
        <w:t xml:space="preserve"> has extensivel</w:t>
      </w:r>
      <w:r w:rsidRPr="00EE1620">
        <w:rPr>
          <w:rFonts w:cs="Arial"/>
          <w:sz w:val="20"/>
          <w:szCs w:val="20"/>
        </w:rPr>
        <w:t>y disturbed underlying deposits</w:t>
      </w:r>
      <w:r>
        <w:rPr>
          <w:rFonts w:cs="Arial"/>
          <w:sz w:val="20"/>
          <w:szCs w:val="20"/>
        </w:rPr>
        <w:t xml:space="preserve"> (Plate 4 and 5);</w:t>
      </w:r>
    </w:p>
    <w:p w:rsidR="005C3C93" w:rsidRPr="00890404" w:rsidRDefault="00EE1620" w:rsidP="005C3C93">
      <w:pPr>
        <w:pStyle w:val="ListParagraph"/>
        <w:numPr>
          <w:ilvl w:val="0"/>
          <w:numId w:val="10"/>
        </w:num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sz w:val="20"/>
          <w:szCs w:val="20"/>
        </w:rPr>
      </w:pPr>
      <w:r w:rsidRPr="00890404">
        <w:rPr>
          <w:rFonts w:cs="Arial"/>
          <w:sz w:val="20"/>
          <w:szCs w:val="20"/>
        </w:rPr>
        <w:t>soils within the southern portion of the study area appear to be</w:t>
      </w:r>
      <w:r w:rsidR="00890404" w:rsidRPr="00890404">
        <w:rPr>
          <w:rFonts w:cs="Arial"/>
          <w:sz w:val="20"/>
          <w:szCs w:val="20"/>
        </w:rPr>
        <w:t xml:space="preserve"> local</w:t>
      </w:r>
      <w:r w:rsidRPr="00890404">
        <w:rPr>
          <w:rFonts w:cs="Arial"/>
          <w:sz w:val="20"/>
          <w:szCs w:val="20"/>
        </w:rPr>
        <w:t xml:space="preserve"> grey/brown sand with areas of introduced bluestone gravel</w:t>
      </w:r>
      <w:r w:rsidR="00881BA7" w:rsidRPr="00890404">
        <w:rPr>
          <w:rFonts w:cs="Arial"/>
          <w:sz w:val="20"/>
          <w:szCs w:val="20"/>
        </w:rPr>
        <w:t xml:space="preserve"> and has been subject to less obvious ground disturbance</w:t>
      </w:r>
      <w:r w:rsidRPr="00890404">
        <w:rPr>
          <w:rFonts w:cs="Arial"/>
          <w:sz w:val="20"/>
          <w:szCs w:val="20"/>
        </w:rPr>
        <w:t>;</w:t>
      </w:r>
      <w:r w:rsidR="00890404">
        <w:rPr>
          <w:rFonts w:cs="Arial"/>
          <w:sz w:val="20"/>
          <w:szCs w:val="20"/>
        </w:rPr>
        <w:t xml:space="preserve"> </w:t>
      </w:r>
      <w:r w:rsidRPr="00890404">
        <w:rPr>
          <w:rFonts w:cs="Arial"/>
          <w:sz w:val="20"/>
          <w:szCs w:val="20"/>
        </w:rPr>
        <w:t>and,</w:t>
      </w:r>
    </w:p>
    <w:p w:rsidR="00E95F48" w:rsidRPr="00067805" w:rsidRDefault="00EE1620" w:rsidP="00E95F48">
      <w:pPr>
        <w:pStyle w:val="ListParagraph"/>
        <w:numPr>
          <w:ilvl w:val="0"/>
          <w:numId w:val="10"/>
        </w:num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cs="Arial"/>
          <w:sz w:val="20"/>
          <w:szCs w:val="20"/>
        </w:rPr>
      </w:pPr>
      <w:proofErr w:type="gramStart"/>
      <w:r>
        <w:rPr>
          <w:rFonts w:cs="Arial"/>
          <w:sz w:val="20"/>
          <w:szCs w:val="20"/>
        </w:rPr>
        <w:t>t</w:t>
      </w:r>
      <w:r w:rsidR="00067805" w:rsidRPr="00067805">
        <w:rPr>
          <w:rFonts w:cs="Arial"/>
          <w:sz w:val="20"/>
          <w:szCs w:val="20"/>
        </w:rPr>
        <w:t>he</w:t>
      </w:r>
      <w:proofErr w:type="gramEnd"/>
      <w:r w:rsidR="00067805" w:rsidRPr="00067805">
        <w:rPr>
          <w:rFonts w:cs="Arial"/>
          <w:sz w:val="20"/>
          <w:szCs w:val="20"/>
        </w:rPr>
        <w:t xml:space="preserve"> </w:t>
      </w:r>
      <w:r w:rsidR="00890404">
        <w:rPr>
          <w:rFonts w:cs="Arial"/>
          <w:sz w:val="20"/>
          <w:szCs w:val="20"/>
        </w:rPr>
        <w:t>property is situated</w:t>
      </w:r>
      <w:r w:rsidR="00067805" w:rsidRPr="00067805">
        <w:rPr>
          <w:rFonts w:cs="Arial"/>
          <w:sz w:val="20"/>
          <w:szCs w:val="20"/>
        </w:rPr>
        <w:t xml:space="preserve"> within a generally flat </w:t>
      </w:r>
      <w:r w:rsidR="00E95F48" w:rsidRPr="00067805">
        <w:rPr>
          <w:rFonts w:cs="Arial"/>
          <w:sz w:val="20"/>
          <w:szCs w:val="20"/>
        </w:rPr>
        <w:t>landscape</w:t>
      </w:r>
      <w:r w:rsidR="00890404">
        <w:rPr>
          <w:rFonts w:cs="Arial"/>
          <w:sz w:val="20"/>
          <w:szCs w:val="20"/>
        </w:rPr>
        <w:t xml:space="preserve"> that slopes</w:t>
      </w:r>
      <w:r w:rsidR="00067805" w:rsidRPr="00067805">
        <w:rPr>
          <w:rFonts w:cs="Arial"/>
          <w:sz w:val="20"/>
          <w:szCs w:val="20"/>
        </w:rPr>
        <w:t xml:space="preserve"> very gently to the east towards the St Leonards foreshore,</w:t>
      </w:r>
      <w:r w:rsidR="00E95F48" w:rsidRPr="00067805">
        <w:rPr>
          <w:rFonts w:cs="Arial"/>
          <w:sz w:val="20"/>
          <w:szCs w:val="20"/>
        </w:rPr>
        <w:t xml:space="preserve"> </w:t>
      </w:r>
      <w:r w:rsidR="00890404">
        <w:rPr>
          <w:rFonts w:cs="Arial"/>
          <w:sz w:val="20"/>
          <w:szCs w:val="20"/>
        </w:rPr>
        <w:t xml:space="preserve">that is characterised as </w:t>
      </w:r>
      <w:r>
        <w:rPr>
          <w:rFonts w:cs="Arial"/>
          <w:sz w:val="20"/>
          <w:szCs w:val="20"/>
        </w:rPr>
        <w:t>mid slopes.</w:t>
      </w:r>
    </w:p>
    <w:p w:rsidR="0008592D" w:rsidRPr="0008592D" w:rsidRDefault="0008592D" w:rsidP="0008592D">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b/>
          <w:lang w:val="en-AU"/>
        </w:rPr>
      </w:pPr>
      <w:r w:rsidRPr="0008592D">
        <w:rPr>
          <w:rFonts w:ascii="Arial" w:hAnsi="Arial" w:cs="Arial"/>
          <w:b/>
          <w:lang w:val="en-AU"/>
        </w:rPr>
        <w:t>Land Use History</w:t>
      </w:r>
    </w:p>
    <w:p w:rsidR="0008592D" w:rsidRDefault="0008592D" w:rsidP="0008592D">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lang w:val="en-AU"/>
        </w:rPr>
      </w:pPr>
      <w:r w:rsidRPr="0008592D">
        <w:rPr>
          <w:rFonts w:ascii="Arial" w:hAnsi="Arial" w:cs="Arial"/>
          <w:lang w:val="en-AU"/>
        </w:rPr>
        <w:t>The Bellarine Peninsula was settled during the 1850s, initially by small scale agricultural holdings with a focus on cropping and timber felling, and later grazing. Land sales within the township of St Leonards occurred during this period, however the township remained small due to its isolated location and poor access.</w:t>
      </w:r>
      <w:r>
        <w:rPr>
          <w:rFonts w:ascii="Arial" w:hAnsi="Arial" w:cs="Arial"/>
          <w:lang w:val="en-AU"/>
        </w:rPr>
        <w:t xml:space="preserve"> </w:t>
      </w:r>
    </w:p>
    <w:p w:rsidR="0008592D" w:rsidRPr="00266B7C" w:rsidRDefault="0008592D" w:rsidP="0008592D">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rPr>
      </w:pPr>
      <w:r w:rsidRPr="00266B7C">
        <w:rPr>
          <w:rFonts w:ascii="Arial" w:hAnsi="Arial" w:cs="Arial"/>
        </w:rPr>
        <w:lastRenderedPageBreak/>
        <w:t>The study area, located to the south west of the main township, was purchased by the State Rivers and Water Supply Commission</w:t>
      </w:r>
      <w:r>
        <w:rPr>
          <w:rFonts w:ascii="Arial" w:hAnsi="Arial" w:cs="Arial"/>
        </w:rPr>
        <w:t xml:space="preserve"> (</w:t>
      </w:r>
      <w:r w:rsidRPr="00266B7C">
        <w:rPr>
          <w:rFonts w:ascii="Arial" w:hAnsi="Arial" w:cs="Arial"/>
        </w:rPr>
        <w:t>SRWSC</w:t>
      </w:r>
      <w:r>
        <w:rPr>
          <w:rFonts w:ascii="Arial" w:hAnsi="Arial" w:cs="Arial"/>
        </w:rPr>
        <w:t>)</w:t>
      </w:r>
      <w:r w:rsidRPr="00266B7C">
        <w:rPr>
          <w:rFonts w:ascii="Arial" w:hAnsi="Arial" w:cs="Arial"/>
        </w:rPr>
        <w:t xml:space="preserve"> in 1963. Prior to this the study area was cleared of vegetation and most likely used for agriculture</w:t>
      </w:r>
      <w:r>
        <w:rPr>
          <w:rFonts w:ascii="Arial" w:hAnsi="Arial" w:cs="Arial"/>
        </w:rPr>
        <w:t xml:space="preserve"> (Tony Belcher, </w:t>
      </w:r>
      <w:proofErr w:type="spellStart"/>
      <w:r>
        <w:rPr>
          <w:rFonts w:ascii="Arial" w:hAnsi="Arial" w:cs="Arial"/>
        </w:rPr>
        <w:t>Barwon</w:t>
      </w:r>
      <w:proofErr w:type="spellEnd"/>
      <w:r>
        <w:rPr>
          <w:rFonts w:ascii="Arial" w:hAnsi="Arial" w:cs="Arial"/>
        </w:rPr>
        <w:t xml:space="preserve"> Water, pers.com)</w:t>
      </w:r>
      <w:r w:rsidRPr="00266B7C">
        <w:rPr>
          <w:rFonts w:ascii="Arial" w:hAnsi="Arial" w:cs="Arial"/>
        </w:rPr>
        <w:t>.</w:t>
      </w:r>
    </w:p>
    <w:p w:rsidR="0008592D" w:rsidRPr="0008592D" w:rsidRDefault="0008592D" w:rsidP="0008592D">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lang w:val="en-AU"/>
        </w:rPr>
      </w:pPr>
    </w:p>
    <w:p w:rsidR="005C3C93" w:rsidRDefault="005C3C93" w:rsidP="005F5C16">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rPr>
      </w:pPr>
      <w:r>
        <w:rPr>
          <w:rFonts w:ascii="Arial" w:hAnsi="Arial" w:cs="Arial"/>
          <w:noProof/>
          <w:lang w:val="en-AU" w:eastAsia="en-AU"/>
        </w:rPr>
        <w:drawing>
          <wp:inline distT="0" distB="0" distL="0" distR="0">
            <wp:extent cx="5277485" cy="5916930"/>
            <wp:effectExtent l="19050" t="0" r="0" b="0"/>
            <wp:docPr id="2" name="Picture 1" descr="NearMap image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arMap image copy.jpg"/>
                    <pic:cNvPicPr/>
                  </pic:nvPicPr>
                  <pic:blipFill>
                    <a:blip r:embed="rId13"/>
                    <a:stretch>
                      <a:fillRect/>
                    </a:stretch>
                  </pic:blipFill>
                  <pic:spPr>
                    <a:xfrm>
                      <a:off x="0" y="0"/>
                      <a:ext cx="5277485" cy="5916930"/>
                    </a:xfrm>
                    <a:prstGeom prst="rect">
                      <a:avLst/>
                    </a:prstGeom>
                  </pic:spPr>
                </pic:pic>
              </a:graphicData>
            </a:graphic>
          </wp:inline>
        </w:drawing>
      </w:r>
    </w:p>
    <w:p w:rsidR="005C3C93" w:rsidRDefault="005C3C93" w:rsidP="005F5C16">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Narrow" w:hAnsi="Arial Narrow"/>
        </w:rPr>
      </w:pPr>
      <w:r w:rsidRPr="00412AEA">
        <w:rPr>
          <w:rFonts w:ascii="Arial Narrow" w:hAnsi="Arial Narrow"/>
          <w:b/>
        </w:rPr>
        <w:t xml:space="preserve">Plate </w:t>
      </w:r>
      <w:r w:rsidR="00992C88" w:rsidRPr="00412AEA">
        <w:rPr>
          <w:rFonts w:ascii="Arial Narrow" w:hAnsi="Arial Narrow"/>
          <w:b/>
        </w:rPr>
        <w:fldChar w:fldCharType="begin"/>
      </w:r>
      <w:r w:rsidRPr="00412AEA">
        <w:rPr>
          <w:rFonts w:ascii="Arial Narrow" w:hAnsi="Arial Narrow"/>
          <w:b/>
        </w:rPr>
        <w:instrText xml:space="preserve"> SEQ Figure \* ARABIC </w:instrText>
      </w:r>
      <w:r w:rsidR="00992C88" w:rsidRPr="00412AEA">
        <w:rPr>
          <w:rFonts w:ascii="Arial Narrow" w:hAnsi="Arial Narrow"/>
          <w:b/>
        </w:rPr>
        <w:fldChar w:fldCharType="separate"/>
      </w:r>
      <w:r w:rsidR="00BF1EB4" w:rsidRPr="00412AEA">
        <w:rPr>
          <w:rFonts w:ascii="Arial Narrow" w:hAnsi="Arial Narrow"/>
          <w:b/>
          <w:noProof/>
        </w:rPr>
        <w:t>1</w:t>
      </w:r>
      <w:r w:rsidR="00992C88" w:rsidRPr="00412AEA">
        <w:rPr>
          <w:rFonts w:ascii="Arial Narrow" w:hAnsi="Arial Narrow"/>
          <w:b/>
        </w:rPr>
        <w:fldChar w:fldCharType="end"/>
      </w:r>
      <w:r w:rsidRPr="00412AEA">
        <w:rPr>
          <w:rFonts w:ascii="Arial Narrow" w:hAnsi="Arial Narrow"/>
          <w:b/>
        </w:rPr>
        <w:t>:</w:t>
      </w:r>
      <w:r w:rsidRPr="000132E8">
        <w:rPr>
          <w:rFonts w:ascii="Arial Narrow" w:hAnsi="Arial Narrow"/>
        </w:rPr>
        <w:t xml:space="preserve"> View of the study area </w:t>
      </w:r>
      <w:r>
        <w:rPr>
          <w:rFonts w:ascii="Arial Narrow" w:hAnsi="Arial Narrow"/>
        </w:rPr>
        <w:t xml:space="preserve">(shown in red) (Source: </w:t>
      </w:r>
      <w:proofErr w:type="spellStart"/>
      <w:r>
        <w:rPr>
          <w:rFonts w:ascii="Arial Narrow" w:hAnsi="Arial Narrow"/>
        </w:rPr>
        <w:t>NearMap</w:t>
      </w:r>
      <w:proofErr w:type="spellEnd"/>
      <w:r>
        <w:rPr>
          <w:rFonts w:ascii="Arial Narrow" w:hAnsi="Arial Narrow"/>
        </w:rPr>
        <w:t>).</w:t>
      </w:r>
    </w:p>
    <w:p w:rsidR="008B2111" w:rsidRDefault="008B2111" w:rsidP="005F5C16">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single" w:sz="4" w:space="0" w:color="auto"/>
          <w:insideV w:val="none" w:sz="0" w:space="0" w:color="auto"/>
        </w:tblBorders>
        <w:tblLook w:val="04A0" w:firstRow="1" w:lastRow="0" w:firstColumn="1" w:lastColumn="0" w:noHBand="0" w:noVBand="1"/>
      </w:tblPr>
      <w:tblGrid>
        <w:gridCol w:w="4266"/>
        <w:gridCol w:w="4261"/>
      </w:tblGrid>
      <w:tr w:rsidR="005F5C16" w:rsidRPr="000132E8" w:rsidTr="005C3C93">
        <w:tc>
          <w:tcPr>
            <w:tcW w:w="4266" w:type="dxa"/>
          </w:tcPr>
          <w:p w:rsidR="005F5C16" w:rsidRPr="000132E8" w:rsidRDefault="005F5C16" w:rsidP="005C3C93">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rPr>
            </w:pPr>
            <w:r w:rsidRPr="000132E8">
              <w:rPr>
                <w:rFonts w:ascii="Arial" w:hAnsi="Arial" w:cs="Arial"/>
                <w:noProof/>
                <w:lang w:val="en-AU" w:eastAsia="en-AU"/>
              </w:rPr>
              <w:lastRenderedPageBreak/>
              <w:drawing>
                <wp:inline distT="0" distB="0" distL="0" distR="0">
                  <wp:extent cx="2727939" cy="1800000"/>
                  <wp:effectExtent l="19050" t="0" r="0" b="0"/>
                  <wp:docPr id="14" name="Picture 0" descr="DSC_24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2460.JPG"/>
                          <pic:cNvPicPr/>
                        </pic:nvPicPr>
                        <pic:blipFill>
                          <a:blip r:embed="rId14" cstate="print"/>
                          <a:stretch>
                            <a:fillRect/>
                          </a:stretch>
                        </pic:blipFill>
                        <pic:spPr>
                          <a:xfrm>
                            <a:off x="0" y="0"/>
                            <a:ext cx="2727939" cy="1800000"/>
                          </a:xfrm>
                          <a:prstGeom prst="rect">
                            <a:avLst/>
                          </a:prstGeom>
                        </pic:spPr>
                      </pic:pic>
                    </a:graphicData>
                  </a:graphic>
                </wp:inline>
              </w:drawing>
            </w:r>
            <w:r w:rsidR="005C3C93" w:rsidRPr="00412AEA">
              <w:rPr>
                <w:rFonts w:ascii="Arial Narrow" w:hAnsi="Arial Narrow"/>
                <w:b/>
              </w:rPr>
              <w:t>Plate</w:t>
            </w:r>
            <w:r w:rsidRPr="00412AEA">
              <w:rPr>
                <w:rFonts w:ascii="Arial Narrow" w:hAnsi="Arial Narrow"/>
                <w:b/>
              </w:rPr>
              <w:t xml:space="preserve"> </w:t>
            </w:r>
            <w:r w:rsidR="005C3C93" w:rsidRPr="00412AEA">
              <w:rPr>
                <w:rFonts w:ascii="Arial Narrow" w:hAnsi="Arial Narrow"/>
                <w:b/>
              </w:rPr>
              <w:t>2</w:t>
            </w:r>
            <w:r w:rsidRPr="00412AEA">
              <w:rPr>
                <w:rFonts w:ascii="Arial Narrow" w:hAnsi="Arial Narrow"/>
                <w:b/>
              </w:rPr>
              <w:t>:</w:t>
            </w:r>
            <w:r w:rsidRPr="000132E8">
              <w:rPr>
                <w:rFonts w:ascii="Arial Narrow" w:hAnsi="Arial Narrow"/>
              </w:rPr>
              <w:t xml:space="preserve"> View of the study area facing north</w:t>
            </w:r>
            <w:r w:rsidR="0008592D">
              <w:rPr>
                <w:rFonts w:ascii="Arial Narrow" w:hAnsi="Arial Narrow"/>
              </w:rPr>
              <w:t>.</w:t>
            </w:r>
          </w:p>
        </w:tc>
        <w:tc>
          <w:tcPr>
            <w:tcW w:w="4261" w:type="dxa"/>
          </w:tcPr>
          <w:p w:rsidR="005F5C16" w:rsidRPr="000132E8" w:rsidRDefault="005F5C16" w:rsidP="005C3C93">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rPr>
            </w:pPr>
            <w:r w:rsidRPr="000132E8">
              <w:rPr>
                <w:noProof/>
                <w:lang w:val="en-AU" w:eastAsia="en-AU"/>
              </w:rPr>
              <w:drawing>
                <wp:inline distT="0" distB="0" distL="0" distR="0">
                  <wp:extent cx="2720005" cy="1800000"/>
                  <wp:effectExtent l="19050" t="0" r="4145" b="0"/>
                  <wp:docPr id="15" name="Picture 1" descr="DSC_24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2468.JPG"/>
                          <pic:cNvPicPr/>
                        </pic:nvPicPr>
                        <pic:blipFill>
                          <a:blip r:embed="rId15" cstate="print"/>
                          <a:stretch>
                            <a:fillRect/>
                          </a:stretch>
                        </pic:blipFill>
                        <pic:spPr>
                          <a:xfrm>
                            <a:off x="0" y="0"/>
                            <a:ext cx="2720005" cy="1800000"/>
                          </a:xfrm>
                          <a:prstGeom prst="rect">
                            <a:avLst/>
                          </a:prstGeom>
                        </pic:spPr>
                      </pic:pic>
                    </a:graphicData>
                  </a:graphic>
                </wp:inline>
              </w:drawing>
            </w:r>
            <w:r w:rsidR="005C3C93" w:rsidRPr="00412AEA">
              <w:rPr>
                <w:rFonts w:ascii="Arial Narrow" w:hAnsi="Arial Narrow"/>
                <w:b/>
              </w:rPr>
              <w:t>Plate</w:t>
            </w:r>
            <w:r w:rsidRPr="00412AEA">
              <w:rPr>
                <w:rFonts w:ascii="Arial Narrow" w:hAnsi="Arial Narrow"/>
                <w:b/>
              </w:rPr>
              <w:t xml:space="preserve"> </w:t>
            </w:r>
            <w:r w:rsidR="005C3C93" w:rsidRPr="00412AEA">
              <w:rPr>
                <w:rFonts w:ascii="Arial Narrow" w:hAnsi="Arial Narrow"/>
                <w:b/>
              </w:rPr>
              <w:t>3</w:t>
            </w:r>
            <w:r w:rsidRPr="00412AEA">
              <w:rPr>
                <w:rFonts w:ascii="Arial Narrow" w:hAnsi="Arial Narrow"/>
                <w:b/>
              </w:rPr>
              <w:t>:</w:t>
            </w:r>
            <w:r w:rsidRPr="000132E8">
              <w:rPr>
                <w:rFonts w:ascii="Arial Narrow" w:hAnsi="Arial Narrow"/>
              </w:rPr>
              <w:t xml:space="preserve"> View of the study area facing south</w:t>
            </w:r>
            <w:r w:rsidR="0008592D">
              <w:rPr>
                <w:rFonts w:ascii="Arial Narrow" w:hAnsi="Arial Narrow"/>
              </w:rPr>
              <w:t>.</w:t>
            </w:r>
          </w:p>
        </w:tc>
      </w:tr>
      <w:tr w:rsidR="005F5C16" w:rsidRPr="00EF2A15" w:rsidTr="00881BA7">
        <w:tc>
          <w:tcPr>
            <w:tcW w:w="4263" w:type="dxa"/>
          </w:tcPr>
          <w:p w:rsidR="005F5C16" w:rsidRPr="00EF2A15" w:rsidRDefault="005F5C16" w:rsidP="005C3C93">
            <w:pPr>
              <w:pStyle w:val="Caption"/>
              <w:jc w:val="both"/>
              <w:rPr>
                <w:rFonts w:ascii="Arial Narrow" w:hAnsi="Arial Narrow"/>
                <w:b/>
              </w:rPr>
            </w:pPr>
            <w:r w:rsidRPr="00EF2A15">
              <w:rPr>
                <w:rFonts w:ascii="Arial Narrow" w:hAnsi="Arial Narrow" w:cs="Arial"/>
                <w:b/>
                <w:noProof/>
                <w:sz w:val="20"/>
                <w:szCs w:val="20"/>
                <w:lang w:val="en-AU" w:eastAsia="en-AU"/>
              </w:rPr>
              <w:drawing>
                <wp:inline distT="0" distB="0" distL="0" distR="0">
                  <wp:extent cx="2715775" cy="1800000"/>
                  <wp:effectExtent l="19050" t="0" r="8375" b="0"/>
                  <wp:docPr id="16" name="Picture 2" descr="DSC_24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2464.JPG"/>
                          <pic:cNvPicPr/>
                        </pic:nvPicPr>
                        <pic:blipFill>
                          <a:blip r:embed="rId16" cstate="print"/>
                          <a:stretch>
                            <a:fillRect/>
                          </a:stretch>
                        </pic:blipFill>
                        <pic:spPr>
                          <a:xfrm>
                            <a:off x="0" y="0"/>
                            <a:ext cx="2715775" cy="1800000"/>
                          </a:xfrm>
                          <a:prstGeom prst="rect">
                            <a:avLst/>
                          </a:prstGeom>
                        </pic:spPr>
                      </pic:pic>
                    </a:graphicData>
                  </a:graphic>
                </wp:inline>
              </w:drawing>
            </w:r>
            <w:r w:rsidR="005C3C93" w:rsidRPr="00412AEA">
              <w:rPr>
                <w:rFonts w:ascii="Arial Narrow" w:hAnsi="Arial Narrow"/>
                <w:b/>
                <w:i w:val="0"/>
                <w:sz w:val="20"/>
                <w:szCs w:val="20"/>
              </w:rPr>
              <w:t>Plate</w:t>
            </w:r>
            <w:r w:rsidRPr="00412AEA">
              <w:rPr>
                <w:rFonts w:ascii="Arial Narrow" w:hAnsi="Arial Narrow"/>
                <w:b/>
                <w:i w:val="0"/>
                <w:sz w:val="20"/>
                <w:szCs w:val="20"/>
              </w:rPr>
              <w:t xml:space="preserve"> </w:t>
            </w:r>
            <w:r w:rsidR="005C3C93" w:rsidRPr="00412AEA">
              <w:rPr>
                <w:rFonts w:ascii="Arial Narrow" w:hAnsi="Arial Narrow"/>
                <w:b/>
                <w:i w:val="0"/>
                <w:sz w:val="20"/>
                <w:szCs w:val="20"/>
              </w:rPr>
              <w:t>4</w:t>
            </w:r>
            <w:r w:rsidRPr="00412AEA">
              <w:rPr>
                <w:rFonts w:ascii="Arial Narrow" w:hAnsi="Arial Narrow"/>
                <w:b/>
                <w:i w:val="0"/>
                <w:sz w:val="20"/>
                <w:szCs w:val="20"/>
              </w:rPr>
              <w:t>:</w:t>
            </w:r>
            <w:r w:rsidRPr="005C3C93">
              <w:rPr>
                <w:rFonts w:ascii="Arial Narrow" w:hAnsi="Arial Narrow"/>
                <w:i w:val="0"/>
                <w:sz w:val="20"/>
                <w:szCs w:val="20"/>
              </w:rPr>
              <w:t xml:space="preserve"> </w:t>
            </w:r>
            <w:r w:rsidRPr="000132E8">
              <w:rPr>
                <w:rFonts w:ascii="Arial Narrow" w:hAnsi="Arial Narrow"/>
                <w:i w:val="0"/>
                <w:sz w:val="20"/>
                <w:szCs w:val="20"/>
              </w:rPr>
              <w:t>Showing the disturbance surrounding the water tank.</w:t>
            </w:r>
          </w:p>
        </w:tc>
        <w:tc>
          <w:tcPr>
            <w:tcW w:w="4264" w:type="dxa"/>
          </w:tcPr>
          <w:p w:rsidR="005F5C16" w:rsidRPr="00EF2A15" w:rsidRDefault="005F5C16" w:rsidP="005C3C93">
            <w:pPr>
              <w:pStyle w:val="Caption"/>
              <w:jc w:val="both"/>
              <w:rPr>
                <w:rFonts w:ascii="Arial Narrow" w:hAnsi="Arial Narrow"/>
                <w:b/>
              </w:rPr>
            </w:pPr>
            <w:r w:rsidRPr="00EF2A15">
              <w:rPr>
                <w:rFonts w:ascii="Arial Narrow" w:hAnsi="Arial Narrow" w:cs="Arial"/>
                <w:b/>
                <w:noProof/>
                <w:sz w:val="20"/>
                <w:szCs w:val="20"/>
                <w:lang w:val="en-AU" w:eastAsia="en-AU"/>
              </w:rPr>
              <w:drawing>
                <wp:inline distT="0" distB="0" distL="0" distR="0">
                  <wp:extent cx="2715775" cy="1800000"/>
                  <wp:effectExtent l="19050" t="0" r="8375" b="0"/>
                  <wp:docPr id="17" name="Picture 3" descr="DSC_24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2466.JPG"/>
                          <pic:cNvPicPr/>
                        </pic:nvPicPr>
                        <pic:blipFill>
                          <a:blip r:embed="rId17" cstate="print"/>
                          <a:stretch>
                            <a:fillRect/>
                          </a:stretch>
                        </pic:blipFill>
                        <pic:spPr>
                          <a:xfrm>
                            <a:off x="0" y="0"/>
                            <a:ext cx="2715775" cy="1800000"/>
                          </a:xfrm>
                          <a:prstGeom prst="rect">
                            <a:avLst/>
                          </a:prstGeom>
                        </pic:spPr>
                      </pic:pic>
                    </a:graphicData>
                  </a:graphic>
                </wp:inline>
              </w:drawing>
            </w:r>
            <w:r w:rsidR="005C3C93" w:rsidRPr="00412AEA">
              <w:rPr>
                <w:rFonts w:ascii="Arial Narrow" w:hAnsi="Arial Narrow"/>
                <w:b/>
                <w:i w:val="0"/>
                <w:sz w:val="20"/>
                <w:szCs w:val="20"/>
              </w:rPr>
              <w:t>Plate</w:t>
            </w:r>
            <w:r w:rsidRPr="00412AEA">
              <w:rPr>
                <w:rFonts w:ascii="Arial Narrow" w:hAnsi="Arial Narrow"/>
                <w:b/>
                <w:i w:val="0"/>
                <w:sz w:val="20"/>
                <w:szCs w:val="20"/>
              </w:rPr>
              <w:t xml:space="preserve"> </w:t>
            </w:r>
            <w:r w:rsidR="005C3C93" w:rsidRPr="00412AEA">
              <w:rPr>
                <w:rFonts w:ascii="Arial Narrow" w:hAnsi="Arial Narrow"/>
                <w:b/>
                <w:i w:val="0"/>
                <w:sz w:val="20"/>
                <w:szCs w:val="20"/>
              </w:rPr>
              <w:t>5</w:t>
            </w:r>
            <w:r w:rsidRPr="00412AEA">
              <w:rPr>
                <w:rFonts w:ascii="Arial Narrow" w:hAnsi="Arial Narrow"/>
                <w:b/>
                <w:i w:val="0"/>
                <w:sz w:val="20"/>
                <w:szCs w:val="20"/>
              </w:rPr>
              <w:t>:</w:t>
            </w:r>
            <w:r w:rsidRPr="000132E8">
              <w:rPr>
                <w:rFonts w:ascii="Arial Narrow" w:hAnsi="Arial Narrow"/>
                <w:i w:val="0"/>
                <w:sz w:val="20"/>
                <w:szCs w:val="20"/>
              </w:rPr>
              <w:t xml:space="preserve"> Showing pipe infrastructure.</w:t>
            </w:r>
          </w:p>
        </w:tc>
      </w:tr>
    </w:tbl>
    <w:p w:rsidR="00881BA7" w:rsidRDefault="00881BA7" w:rsidP="00ED3D7A">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cs="Tahoma"/>
          <w:i/>
          <w:iCs/>
          <w:sz w:val="24"/>
          <w:szCs w:val="24"/>
        </w:rPr>
      </w:pPr>
    </w:p>
    <w:p w:rsidR="00ED3D7A" w:rsidRDefault="00ED3D7A" w:rsidP="00ED3D7A">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rPr>
      </w:pPr>
      <w:r w:rsidRPr="00266B7C">
        <w:rPr>
          <w:rFonts w:ascii="Arial" w:hAnsi="Arial" w:cs="Arial"/>
        </w:rPr>
        <w:t xml:space="preserve">The 500,000 gallon welded steel tank was designed by SRWSC and built </w:t>
      </w:r>
      <w:r>
        <w:rPr>
          <w:rFonts w:ascii="Arial" w:hAnsi="Arial" w:cs="Arial"/>
        </w:rPr>
        <w:t xml:space="preserve">within the northern section of the study area </w:t>
      </w:r>
      <w:r w:rsidRPr="00266B7C">
        <w:rPr>
          <w:rFonts w:ascii="Arial" w:hAnsi="Arial" w:cs="Arial"/>
        </w:rPr>
        <w:t>around 1963-64. A booster pump station next to the tank was subsequently built in 1974-75. The southern portion of the study area was retained for a second tank, ho</w:t>
      </w:r>
      <w:r>
        <w:rPr>
          <w:rFonts w:ascii="Arial" w:hAnsi="Arial" w:cs="Arial"/>
        </w:rPr>
        <w:t>wever this was not constructed.</w:t>
      </w:r>
    </w:p>
    <w:p w:rsidR="00F730D4" w:rsidRPr="00310D3A" w:rsidRDefault="00F730D4" w:rsidP="00F730D4">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b/>
          <w:lang w:val="en-AU"/>
        </w:rPr>
      </w:pPr>
      <w:r w:rsidRPr="00310D3A">
        <w:rPr>
          <w:rFonts w:ascii="Arial" w:hAnsi="Arial" w:cs="Arial"/>
          <w:b/>
          <w:lang w:val="en-AU"/>
        </w:rPr>
        <w:t>What is The Aboriginal Archaeological Potential of The Study Area</w:t>
      </w:r>
      <w:r w:rsidR="00890404">
        <w:rPr>
          <w:rFonts w:ascii="Arial" w:hAnsi="Arial" w:cs="Arial"/>
          <w:b/>
          <w:lang w:val="en-AU"/>
        </w:rPr>
        <w:t>?</w:t>
      </w:r>
    </w:p>
    <w:p w:rsidR="00F730D4" w:rsidRDefault="00310D3A" w:rsidP="00F730D4">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lang w:val="en-AU"/>
        </w:rPr>
      </w:pPr>
      <w:r w:rsidRPr="00310D3A">
        <w:rPr>
          <w:rFonts w:ascii="Arial" w:hAnsi="Arial" w:cs="Arial"/>
          <w:lang w:val="en-AU"/>
        </w:rPr>
        <w:t>The study area has not</w:t>
      </w:r>
      <w:r w:rsidR="00F730D4" w:rsidRPr="00310D3A">
        <w:rPr>
          <w:rFonts w:ascii="Arial" w:hAnsi="Arial" w:cs="Arial"/>
          <w:lang w:val="en-AU"/>
        </w:rPr>
        <w:t xml:space="preserve"> been subject to </w:t>
      </w:r>
      <w:r w:rsidRPr="00310D3A">
        <w:rPr>
          <w:rFonts w:ascii="Arial" w:hAnsi="Arial" w:cs="Arial"/>
          <w:lang w:val="en-AU"/>
        </w:rPr>
        <w:t xml:space="preserve">an </w:t>
      </w:r>
      <w:r w:rsidR="00F730D4" w:rsidRPr="00310D3A">
        <w:rPr>
          <w:rFonts w:ascii="Arial" w:hAnsi="Arial" w:cs="Arial"/>
          <w:lang w:val="en-AU"/>
        </w:rPr>
        <w:t xml:space="preserve">Aboriginal archaeological assessment. </w:t>
      </w:r>
      <w:r w:rsidR="00D32AD9" w:rsidRPr="00310D3A">
        <w:rPr>
          <w:rFonts w:ascii="Arial" w:hAnsi="Arial" w:cs="Arial"/>
          <w:lang w:val="en-AU"/>
        </w:rPr>
        <w:t>A</w:t>
      </w:r>
      <w:r w:rsidR="00F730D4" w:rsidRPr="00310D3A">
        <w:rPr>
          <w:rFonts w:ascii="Arial" w:hAnsi="Arial" w:cs="Arial"/>
          <w:lang w:val="en-AU"/>
        </w:rPr>
        <w:t xml:space="preserve">rchaeological assessments </w:t>
      </w:r>
      <w:r w:rsidR="00D32AD9" w:rsidRPr="00310D3A">
        <w:rPr>
          <w:rFonts w:ascii="Arial" w:hAnsi="Arial" w:cs="Arial"/>
          <w:lang w:val="en-AU"/>
        </w:rPr>
        <w:t xml:space="preserve">in the region, in tandem with the distribution of registered Aboriginal places, </w:t>
      </w:r>
      <w:r w:rsidR="00F730D4" w:rsidRPr="00310D3A">
        <w:rPr>
          <w:rFonts w:ascii="Arial" w:hAnsi="Arial" w:cs="Arial"/>
          <w:lang w:val="en-AU"/>
        </w:rPr>
        <w:t xml:space="preserve">have highlighted that Aboriginal places in the region occur </w:t>
      </w:r>
      <w:r w:rsidR="00D32AD9" w:rsidRPr="00310D3A">
        <w:rPr>
          <w:rFonts w:ascii="Arial" w:hAnsi="Arial" w:cs="Arial"/>
          <w:lang w:val="en-AU"/>
        </w:rPr>
        <w:t xml:space="preserve">on a range of landforms, including </w:t>
      </w:r>
      <w:r w:rsidRPr="00310D3A">
        <w:rPr>
          <w:rFonts w:ascii="Arial" w:hAnsi="Arial" w:cs="Arial"/>
          <w:lang w:val="en-AU"/>
        </w:rPr>
        <w:t xml:space="preserve">the </w:t>
      </w:r>
      <w:r w:rsidRPr="00310D3A">
        <w:rPr>
          <w:rFonts w:ascii="Arial" w:hAnsi="Arial" w:cs="Arial"/>
        </w:rPr>
        <w:t>sand sheet landform</w:t>
      </w:r>
      <w:r w:rsidRPr="00310D3A">
        <w:rPr>
          <w:rFonts w:ascii="Arial" w:hAnsi="Arial" w:cs="Arial"/>
          <w:lang w:val="en-AU"/>
        </w:rPr>
        <w:t xml:space="preserve"> that dominates the study area</w:t>
      </w:r>
      <w:r w:rsidR="00F730D4" w:rsidRPr="00310D3A">
        <w:rPr>
          <w:rFonts w:ascii="Arial" w:hAnsi="Arial" w:cs="Arial"/>
          <w:lang w:val="en-AU"/>
        </w:rPr>
        <w:t xml:space="preserve">. The dominant Aboriginal place types include surface and subsurface stone artefact scatters. </w:t>
      </w:r>
      <w:r w:rsidR="00890404">
        <w:rPr>
          <w:rFonts w:ascii="Arial" w:hAnsi="Arial" w:cs="Arial"/>
          <w:lang w:val="en-AU"/>
        </w:rPr>
        <w:t>The other site type</w:t>
      </w:r>
      <w:r w:rsidR="00F730D4" w:rsidRPr="00310D3A">
        <w:rPr>
          <w:rFonts w:ascii="Arial" w:hAnsi="Arial" w:cs="Arial"/>
          <w:lang w:val="en-AU"/>
        </w:rPr>
        <w:t xml:space="preserve"> recorded </w:t>
      </w:r>
      <w:r w:rsidR="00890404">
        <w:rPr>
          <w:rFonts w:ascii="Arial" w:hAnsi="Arial" w:cs="Arial"/>
          <w:lang w:val="en-AU"/>
        </w:rPr>
        <w:t>in the local region is</w:t>
      </w:r>
      <w:r w:rsidR="00F730D4" w:rsidRPr="00310D3A">
        <w:rPr>
          <w:rFonts w:ascii="Arial" w:hAnsi="Arial" w:cs="Arial"/>
          <w:lang w:val="en-AU"/>
        </w:rPr>
        <w:t xml:space="preserve"> </w:t>
      </w:r>
      <w:r w:rsidRPr="00310D3A">
        <w:rPr>
          <w:rFonts w:ascii="Arial" w:hAnsi="Arial" w:cs="Arial"/>
          <w:lang w:val="en-AU"/>
        </w:rPr>
        <w:t>shell middens</w:t>
      </w:r>
      <w:r w:rsidR="009C1878">
        <w:rPr>
          <w:rFonts w:ascii="Arial" w:hAnsi="Arial" w:cs="Arial"/>
          <w:lang w:val="en-AU"/>
        </w:rPr>
        <w:t>.</w:t>
      </w:r>
    </w:p>
    <w:p w:rsidR="00AA5A8A" w:rsidRDefault="009C1878" w:rsidP="00F26560">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lang w:val="en-AU"/>
        </w:rPr>
      </w:pPr>
      <w:r w:rsidRPr="009C1878">
        <w:rPr>
          <w:rFonts w:ascii="Arial" w:hAnsi="Arial" w:cs="Arial"/>
        </w:rPr>
        <w:t xml:space="preserve">The results of these local archaeological assessments indicate that there is the potential for Aboriginal cultural heritage, in the form of surface and subsurface stone artefact and shell midden deposits, to occur within the study area. </w:t>
      </w:r>
      <w:r w:rsidR="00906DB2" w:rsidRPr="009C1878">
        <w:rPr>
          <w:rFonts w:ascii="Arial" w:hAnsi="Arial" w:cs="Arial"/>
          <w:lang w:val="en-AU"/>
        </w:rPr>
        <w:t xml:space="preserve">If present, </w:t>
      </w:r>
      <w:r w:rsidR="0008592D">
        <w:rPr>
          <w:rFonts w:ascii="Arial" w:hAnsi="Arial" w:cs="Arial"/>
          <w:lang w:val="en-AU"/>
        </w:rPr>
        <w:t>this Aboriginal cultural heritage</w:t>
      </w:r>
      <w:r w:rsidR="00AA5A8A" w:rsidRPr="009C1878">
        <w:rPr>
          <w:rFonts w:ascii="Arial" w:hAnsi="Arial" w:cs="Arial"/>
          <w:lang w:val="en-AU"/>
        </w:rPr>
        <w:t xml:space="preserve"> will have been impacted by land clearing </w:t>
      </w:r>
      <w:r w:rsidR="00310D3A" w:rsidRPr="009C1878">
        <w:rPr>
          <w:rFonts w:ascii="Arial" w:hAnsi="Arial" w:cs="Arial"/>
          <w:lang w:val="en-AU"/>
        </w:rPr>
        <w:t>a</w:t>
      </w:r>
      <w:r w:rsidR="00906DB2" w:rsidRPr="009C1878">
        <w:rPr>
          <w:rFonts w:ascii="Arial" w:hAnsi="Arial" w:cs="Arial"/>
          <w:lang w:val="en-AU"/>
        </w:rPr>
        <w:t xml:space="preserve">nd </w:t>
      </w:r>
      <w:r w:rsidR="0008592D">
        <w:rPr>
          <w:rFonts w:ascii="Arial" w:hAnsi="Arial" w:cs="Arial"/>
          <w:lang w:val="en-AU"/>
        </w:rPr>
        <w:t>is</w:t>
      </w:r>
      <w:r w:rsidR="00906DB2" w:rsidRPr="009C1878">
        <w:rPr>
          <w:rFonts w:ascii="Arial" w:hAnsi="Arial" w:cs="Arial"/>
          <w:lang w:val="en-AU"/>
        </w:rPr>
        <w:t xml:space="preserve"> unlikely to be </w:t>
      </w:r>
      <w:r w:rsidR="00906DB2" w:rsidRPr="009C1878">
        <w:rPr>
          <w:rFonts w:ascii="Arial" w:hAnsi="Arial" w:cs="Arial"/>
          <w:i/>
          <w:lang w:val="en-AU"/>
        </w:rPr>
        <w:t>in situ</w:t>
      </w:r>
      <w:r w:rsidR="00AA5A8A" w:rsidRPr="009C1878">
        <w:rPr>
          <w:rFonts w:ascii="Arial" w:hAnsi="Arial" w:cs="Arial"/>
          <w:lang w:val="en-AU"/>
        </w:rPr>
        <w:t>.</w:t>
      </w:r>
      <w:r w:rsidR="00906DB2" w:rsidRPr="009C1878">
        <w:rPr>
          <w:rFonts w:ascii="Arial" w:hAnsi="Arial" w:cs="Arial"/>
          <w:lang w:val="en-AU"/>
        </w:rPr>
        <w:t xml:space="preserve"> It is unlikely that any other type of Aboriginal cultural heritage will occur in the study area.</w:t>
      </w:r>
    </w:p>
    <w:p w:rsidR="004F5948" w:rsidRDefault="004F5948" w:rsidP="00F26560">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lang w:val="en-AU"/>
        </w:rPr>
      </w:pPr>
    </w:p>
    <w:p w:rsidR="00F730D4" w:rsidRPr="009C1878" w:rsidRDefault="00F730D4" w:rsidP="00F730D4">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40" w:line="276" w:lineRule="auto"/>
        <w:jc w:val="both"/>
        <w:rPr>
          <w:rFonts w:ascii="Arial" w:hAnsi="Arial" w:cs="Arial"/>
          <w:b/>
          <w:lang w:val="en-AU"/>
        </w:rPr>
      </w:pPr>
      <w:r w:rsidRPr="009C1878">
        <w:rPr>
          <w:rFonts w:ascii="Arial" w:hAnsi="Arial" w:cs="Arial"/>
          <w:b/>
          <w:lang w:val="en-AU"/>
        </w:rPr>
        <w:lastRenderedPageBreak/>
        <w:t>RECOMMENDATIONS</w:t>
      </w:r>
    </w:p>
    <w:p w:rsidR="00F730D4" w:rsidRPr="009C1878" w:rsidRDefault="00F730D4" w:rsidP="00F730D4">
      <w:pPr>
        <w:spacing w:after="120" w:line="360" w:lineRule="auto"/>
        <w:ind w:right="170"/>
        <w:jc w:val="both"/>
        <w:rPr>
          <w:rFonts w:ascii="Arial" w:hAnsi="Arial" w:cs="Arial"/>
          <w:i/>
          <w:iCs/>
        </w:rPr>
      </w:pPr>
      <w:r w:rsidRPr="009C1878">
        <w:rPr>
          <w:rFonts w:ascii="Arial" w:hAnsi="Arial" w:cs="Arial"/>
          <w:i/>
          <w:iCs/>
        </w:rPr>
        <w:t>Is A CHMP A Mandatory Requirement?</w:t>
      </w:r>
    </w:p>
    <w:p w:rsidR="005B70F9" w:rsidRPr="009C1878" w:rsidRDefault="00F730D4" w:rsidP="005B70F9">
      <w:pPr>
        <w:spacing w:after="120" w:line="360" w:lineRule="auto"/>
        <w:ind w:right="170"/>
        <w:jc w:val="both"/>
        <w:rPr>
          <w:rFonts w:ascii="Arial" w:hAnsi="Arial" w:cs="Arial"/>
        </w:rPr>
      </w:pPr>
      <w:r w:rsidRPr="009C1878">
        <w:rPr>
          <w:rFonts w:ascii="Arial" w:hAnsi="Arial" w:cs="Arial"/>
          <w:lang w:val="en-AU"/>
        </w:rPr>
        <w:t xml:space="preserve">Through this review I have formed the opinion that </w:t>
      </w:r>
      <w:r w:rsidR="00310D3A" w:rsidRPr="009C1878">
        <w:rPr>
          <w:rFonts w:ascii="Arial" w:hAnsi="Arial" w:cs="Arial"/>
          <w:lang w:val="en-AU"/>
        </w:rPr>
        <w:t xml:space="preserve">a CHMP is not a mandatory requirement under the </w:t>
      </w:r>
      <w:r w:rsidR="00310D3A" w:rsidRPr="009C1878">
        <w:rPr>
          <w:rFonts w:ascii="Arial" w:hAnsi="Arial" w:cs="Arial"/>
          <w:i/>
          <w:lang w:val="en-AU"/>
        </w:rPr>
        <w:t>Aboriginal Heritage Act</w:t>
      </w:r>
      <w:r w:rsidR="00310D3A" w:rsidRPr="009C1878">
        <w:rPr>
          <w:rFonts w:ascii="Arial" w:hAnsi="Arial" w:cs="Arial"/>
          <w:lang w:val="en-AU"/>
        </w:rPr>
        <w:t xml:space="preserve"> 2006 for </w:t>
      </w:r>
      <w:r w:rsidRPr="009C1878">
        <w:rPr>
          <w:rFonts w:ascii="Arial" w:hAnsi="Arial" w:cs="Arial"/>
          <w:lang w:val="en-AU"/>
        </w:rPr>
        <w:t xml:space="preserve">the proposed </w:t>
      </w:r>
      <w:r w:rsidR="00310D3A" w:rsidRPr="009C1878">
        <w:rPr>
          <w:rFonts w:ascii="Arial" w:hAnsi="Arial" w:cs="Arial"/>
          <w:lang w:val="en-AU"/>
        </w:rPr>
        <w:t>rezoning and subdivision of the study area</w:t>
      </w:r>
      <w:r w:rsidR="005B70F9" w:rsidRPr="009C1878">
        <w:rPr>
          <w:rFonts w:ascii="Arial" w:hAnsi="Arial" w:cs="Arial"/>
          <w:lang w:val="en-AU"/>
        </w:rPr>
        <w:t xml:space="preserve">. While the </w:t>
      </w:r>
      <w:r w:rsidR="00310D3A" w:rsidRPr="009C1878">
        <w:rPr>
          <w:rFonts w:ascii="Arial" w:hAnsi="Arial" w:cs="Arial"/>
          <w:lang w:val="en-AU"/>
        </w:rPr>
        <w:t>activity</w:t>
      </w:r>
      <w:r w:rsidRPr="009C1878">
        <w:rPr>
          <w:rFonts w:ascii="Arial" w:hAnsi="Arial" w:cs="Arial"/>
          <w:lang w:val="en-AU"/>
        </w:rPr>
        <w:t xml:space="preserve"> </w:t>
      </w:r>
      <w:r w:rsidR="008543B7">
        <w:rPr>
          <w:rFonts w:ascii="Arial" w:hAnsi="Arial" w:cs="Arial"/>
          <w:lang w:val="en-AU"/>
        </w:rPr>
        <w:t xml:space="preserve">would </w:t>
      </w:r>
      <w:r w:rsidRPr="009C1878">
        <w:rPr>
          <w:rFonts w:ascii="Arial" w:hAnsi="Arial" w:cs="Arial"/>
          <w:lang w:val="en-AU"/>
        </w:rPr>
        <w:t xml:space="preserve">constitute a high impact activity under </w:t>
      </w:r>
      <w:proofErr w:type="gramStart"/>
      <w:r w:rsidR="00310D3A" w:rsidRPr="009C1878">
        <w:rPr>
          <w:rFonts w:ascii="Arial" w:hAnsi="Arial" w:cs="Arial"/>
          <w:lang w:val="en-AU"/>
        </w:rPr>
        <w:t>r.46</w:t>
      </w:r>
      <w:r w:rsidRPr="009C1878">
        <w:rPr>
          <w:rFonts w:ascii="Arial" w:hAnsi="Arial" w:cs="Arial"/>
          <w:lang w:val="en-AU"/>
        </w:rPr>
        <w:t>(</w:t>
      </w:r>
      <w:proofErr w:type="gramEnd"/>
      <w:r w:rsidRPr="009C1878">
        <w:rPr>
          <w:rFonts w:ascii="Arial" w:hAnsi="Arial" w:cs="Arial"/>
          <w:lang w:val="en-AU"/>
        </w:rPr>
        <w:t>1</w:t>
      </w:r>
      <w:r w:rsidR="00310D3A" w:rsidRPr="009C1878">
        <w:rPr>
          <w:rFonts w:ascii="Arial" w:hAnsi="Arial" w:cs="Arial"/>
          <w:lang w:val="en-AU"/>
        </w:rPr>
        <w:t>a&amp;b</w:t>
      </w:r>
      <w:r w:rsidRPr="009C1878">
        <w:rPr>
          <w:rFonts w:ascii="Arial" w:hAnsi="Arial" w:cs="Arial"/>
          <w:lang w:val="en-AU"/>
        </w:rPr>
        <w:t xml:space="preserve">) </w:t>
      </w:r>
      <w:r w:rsidR="00992C88" w:rsidRPr="00992C88">
        <w:rPr>
          <w:rFonts w:ascii="Arial" w:hAnsi="Arial" w:cs="Arial"/>
          <w:i/>
          <w:lang w:val="en-AU"/>
        </w:rPr>
        <w:t xml:space="preserve">if </w:t>
      </w:r>
      <w:r w:rsidR="008543B7">
        <w:rPr>
          <w:rFonts w:ascii="Arial" w:hAnsi="Arial" w:cs="Arial"/>
          <w:lang w:val="en-AU"/>
        </w:rPr>
        <w:t xml:space="preserve">it involves the subdivision of 3 or more lots </w:t>
      </w:r>
      <w:r w:rsidR="00310D3A" w:rsidRPr="009C1878">
        <w:rPr>
          <w:rFonts w:ascii="Arial" w:hAnsi="Arial" w:cs="Arial"/>
          <w:lang w:val="en-AU"/>
        </w:rPr>
        <w:t>it</w:t>
      </w:r>
      <w:r w:rsidR="005B70F9" w:rsidRPr="009C1878">
        <w:rPr>
          <w:rFonts w:ascii="Arial" w:hAnsi="Arial" w:cs="Arial"/>
          <w:lang w:val="en-AU"/>
        </w:rPr>
        <w:t xml:space="preserve"> do</w:t>
      </w:r>
      <w:r w:rsidR="00310D3A" w:rsidRPr="009C1878">
        <w:rPr>
          <w:rFonts w:ascii="Arial" w:hAnsi="Arial" w:cs="Arial"/>
          <w:lang w:val="en-AU"/>
        </w:rPr>
        <w:t>es</w:t>
      </w:r>
      <w:r w:rsidR="005B70F9" w:rsidRPr="009C1878">
        <w:rPr>
          <w:rFonts w:ascii="Arial" w:hAnsi="Arial" w:cs="Arial"/>
          <w:lang w:val="en-AU"/>
        </w:rPr>
        <w:t xml:space="preserve"> not occur in an area of </w:t>
      </w:r>
      <w:r w:rsidRPr="009C1878">
        <w:rPr>
          <w:rFonts w:ascii="Arial" w:hAnsi="Arial" w:cs="Arial"/>
          <w:lang w:val="en-AU"/>
        </w:rPr>
        <w:t>Cultural Heritage Sensitivity</w:t>
      </w:r>
      <w:r w:rsidR="005B70F9" w:rsidRPr="009C1878">
        <w:rPr>
          <w:rFonts w:ascii="Arial" w:hAnsi="Arial" w:cs="Arial"/>
          <w:lang w:val="en-AU"/>
        </w:rPr>
        <w:t>.</w:t>
      </w:r>
    </w:p>
    <w:p w:rsidR="00F730D4" w:rsidRPr="009C1878" w:rsidRDefault="00F730D4" w:rsidP="00F730D4">
      <w:pPr>
        <w:spacing w:after="120" w:line="360" w:lineRule="auto"/>
        <w:ind w:right="170"/>
        <w:jc w:val="both"/>
        <w:rPr>
          <w:rFonts w:ascii="Arial" w:hAnsi="Arial" w:cs="Arial"/>
          <w:i/>
          <w:iCs/>
        </w:rPr>
      </w:pPr>
      <w:r w:rsidRPr="009C1878">
        <w:rPr>
          <w:rFonts w:ascii="Arial" w:hAnsi="Arial" w:cs="Arial"/>
          <w:i/>
          <w:iCs/>
        </w:rPr>
        <w:t>Managing the Risk to Aboriginal Cultural Heritage</w:t>
      </w:r>
    </w:p>
    <w:p w:rsidR="0089506A" w:rsidRPr="009C1878" w:rsidRDefault="0008592D" w:rsidP="0089506A">
      <w:pPr>
        <w:spacing w:after="120" w:line="360" w:lineRule="auto"/>
        <w:ind w:right="170"/>
        <w:jc w:val="both"/>
        <w:rPr>
          <w:rFonts w:ascii="Arial" w:hAnsi="Arial" w:cs="Arial"/>
        </w:rPr>
      </w:pPr>
      <w:r>
        <w:rPr>
          <w:rFonts w:ascii="Arial" w:hAnsi="Arial" w:cs="Arial"/>
        </w:rPr>
        <w:t>This</w:t>
      </w:r>
      <w:r w:rsidR="0089506A" w:rsidRPr="009C1878">
        <w:rPr>
          <w:rFonts w:ascii="Arial" w:hAnsi="Arial" w:cs="Arial"/>
        </w:rPr>
        <w:t xml:space="preserve"> review </w:t>
      </w:r>
      <w:r>
        <w:rPr>
          <w:rFonts w:ascii="Arial" w:hAnsi="Arial" w:cs="Arial"/>
        </w:rPr>
        <w:t xml:space="preserve">has </w:t>
      </w:r>
      <w:r w:rsidR="0089506A" w:rsidRPr="009C1878">
        <w:rPr>
          <w:rFonts w:ascii="Arial" w:hAnsi="Arial" w:cs="Arial"/>
        </w:rPr>
        <w:t xml:space="preserve">determined that there is a risk that </w:t>
      </w:r>
      <w:r>
        <w:rPr>
          <w:rFonts w:ascii="Arial" w:hAnsi="Arial" w:cs="Arial"/>
        </w:rPr>
        <w:t>ground disturbing</w:t>
      </w:r>
      <w:r w:rsidR="0089506A" w:rsidRPr="009C1878">
        <w:rPr>
          <w:rFonts w:ascii="Arial" w:hAnsi="Arial" w:cs="Arial"/>
        </w:rPr>
        <w:t xml:space="preserve"> works </w:t>
      </w:r>
      <w:r>
        <w:rPr>
          <w:rFonts w:ascii="Arial" w:hAnsi="Arial" w:cs="Arial"/>
        </w:rPr>
        <w:t xml:space="preserve">associated with development of the property </w:t>
      </w:r>
      <w:r w:rsidR="0089506A" w:rsidRPr="009C1878">
        <w:rPr>
          <w:rFonts w:ascii="Arial" w:hAnsi="Arial" w:cs="Arial"/>
        </w:rPr>
        <w:t>may impact on as yet unidentified Aboriginal cultural heritage. If present in the study area, Aboriginal places will most likely occur as stone artefacts in surface and subsurface deposits.</w:t>
      </w:r>
    </w:p>
    <w:p w:rsidR="0089506A" w:rsidRPr="009C1878" w:rsidRDefault="0089506A" w:rsidP="0089506A">
      <w:pPr>
        <w:spacing w:after="120" w:line="360" w:lineRule="auto"/>
        <w:ind w:right="170"/>
        <w:jc w:val="both"/>
        <w:rPr>
          <w:rFonts w:ascii="Arial" w:hAnsi="Arial" w:cs="Arial"/>
        </w:rPr>
      </w:pPr>
      <w:r w:rsidRPr="009C1878">
        <w:rPr>
          <w:rFonts w:ascii="Arial" w:hAnsi="Arial" w:cs="Arial"/>
        </w:rPr>
        <w:t xml:space="preserve">If Aboriginal cultural heritage is found within the study area significant delays could be incurred if works cease until the appropriate permissions are sought so that the Aboriginal cultural heritage can be harmed legally. If Aboriginal cultural heritage is impacted outside of the context of a CHMP or CHP, it could be construed as a breach of the </w:t>
      </w:r>
      <w:r w:rsidRPr="009C1878">
        <w:rPr>
          <w:rFonts w:ascii="Arial" w:hAnsi="Arial" w:cs="Arial"/>
          <w:i/>
        </w:rPr>
        <w:t>Aboriginal Heritage Act</w:t>
      </w:r>
      <w:r w:rsidRPr="009C1878">
        <w:rPr>
          <w:rFonts w:ascii="Arial" w:hAnsi="Arial" w:cs="Arial"/>
        </w:rPr>
        <w:t xml:space="preserve"> 2006 and those responsible could face legal action.</w:t>
      </w:r>
    </w:p>
    <w:p w:rsidR="0089506A" w:rsidRPr="009C1878" w:rsidRDefault="0089506A" w:rsidP="0089506A">
      <w:pPr>
        <w:spacing w:after="120" w:line="360" w:lineRule="auto"/>
        <w:ind w:right="170"/>
        <w:jc w:val="both"/>
        <w:rPr>
          <w:rFonts w:ascii="Arial" w:hAnsi="Arial" w:cs="Arial"/>
          <w:lang w:val="en-AU"/>
        </w:rPr>
      </w:pPr>
      <w:r w:rsidRPr="009C1878">
        <w:rPr>
          <w:rFonts w:ascii="Arial" w:hAnsi="Arial" w:cs="Arial"/>
        </w:rPr>
        <w:t>The following options are available to reduce the risk of harming Aboriginal cultural heritage</w:t>
      </w:r>
      <w:r w:rsidR="00097C4C">
        <w:rPr>
          <w:rFonts w:ascii="Arial" w:hAnsi="Arial" w:cs="Arial"/>
        </w:rPr>
        <w:t>:</w:t>
      </w:r>
      <w:r w:rsidR="0008592D">
        <w:rPr>
          <w:rFonts w:ascii="Arial" w:hAnsi="Arial" w:cs="Arial"/>
        </w:rPr>
        <w:t xml:space="preserve"> </w:t>
      </w:r>
    </w:p>
    <w:p w:rsidR="0089506A" w:rsidRPr="009C1878" w:rsidRDefault="0089506A" w:rsidP="0089506A">
      <w:pPr>
        <w:numPr>
          <w:ilvl w:val="0"/>
          <w:numId w:val="11"/>
        </w:numPr>
        <w:suppressAutoHyphens w:val="0"/>
        <w:spacing w:after="120" w:line="360" w:lineRule="auto"/>
        <w:ind w:right="170"/>
        <w:jc w:val="both"/>
        <w:rPr>
          <w:rFonts w:ascii="Arial" w:hAnsi="Arial" w:cs="Arial"/>
        </w:rPr>
      </w:pPr>
      <w:r w:rsidRPr="009C1878">
        <w:rPr>
          <w:rFonts w:ascii="Arial" w:hAnsi="Arial" w:cs="Arial"/>
        </w:rPr>
        <w:t>Undertake a voluntary CHMP.</w:t>
      </w:r>
      <w:r w:rsidR="0008592D">
        <w:rPr>
          <w:rFonts w:ascii="Arial" w:hAnsi="Arial" w:cs="Arial"/>
        </w:rPr>
        <w:t xml:space="preserve"> An approved CHMP would identify any Aboriginal cultural heritage that may be in the study area; provide measures to manage any Aboriginal cultural heritage identified; and, specify contingency measures to follow should previously unrecorded Aboriginal cultural heritage be detected during construction.</w:t>
      </w:r>
      <w:r w:rsidR="00097C4C">
        <w:rPr>
          <w:rFonts w:ascii="Arial" w:hAnsi="Arial" w:cs="Arial"/>
        </w:rPr>
        <w:t xml:space="preserve"> – This o</w:t>
      </w:r>
      <w:r w:rsidR="00097C4C" w:rsidRPr="009C1878">
        <w:rPr>
          <w:rFonts w:ascii="Arial" w:hAnsi="Arial" w:cs="Arial"/>
        </w:rPr>
        <w:t>ption provid</w:t>
      </w:r>
      <w:r w:rsidR="00097C4C">
        <w:rPr>
          <w:rFonts w:ascii="Arial" w:hAnsi="Arial" w:cs="Arial"/>
        </w:rPr>
        <w:t>es</w:t>
      </w:r>
      <w:r w:rsidR="00097C4C" w:rsidRPr="009C1878">
        <w:rPr>
          <w:rFonts w:ascii="Arial" w:hAnsi="Arial" w:cs="Arial"/>
        </w:rPr>
        <w:t xml:space="preserve"> the best way of managing the risk </w:t>
      </w:r>
      <w:r w:rsidR="00097C4C">
        <w:rPr>
          <w:rFonts w:ascii="Arial" w:hAnsi="Arial" w:cs="Arial"/>
        </w:rPr>
        <w:t xml:space="preserve">of harm </w:t>
      </w:r>
      <w:r w:rsidR="00097C4C" w:rsidRPr="009C1878">
        <w:rPr>
          <w:rFonts w:ascii="Arial" w:hAnsi="Arial" w:cs="Arial"/>
        </w:rPr>
        <w:t xml:space="preserve">to Aboriginal cultural heritage and </w:t>
      </w:r>
      <w:r w:rsidR="00097C4C">
        <w:rPr>
          <w:rFonts w:ascii="Arial" w:hAnsi="Arial" w:cs="Arial"/>
        </w:rPr>
        <w:t xml:space="preserve">would </w:t>
      </w:r>
      <w:r w:rsidR="00097C4C" w:rsidRPr="009C1878">
        <w:rPr>
          <w:rFonts w:ascii="Arial" w:hAnsi="Arial" w:cs="Arial"/>
          <w:lang w:val="en-AU"/>
        </w:rPr>
        <w:t xml:space="preserve">ensure </w:t>
      </w:r>
      <w:r w:rsidR="00097C4C">
        <w:rPr>
          <w:rFonts w:ascii="Arial" w:hAnsi="Arial" w:cs="Arial"/>
          <w:lang w:val="en-AU"/>
        </w:rPr>
        <w:t xml:space="preserve">that </w:t>
      </w:r>
      <w:r w:rsidR="00097C4C" w:rsidRPr="009C1878">
        <w:rPr>
          <w:rFonts w:ascii="Arial" w:hAnsi="Arial" w:cs="Arial"/>
          <w:lang w:val="en-AU"/>
        </w:rPr>
        <w:t xml:space="preserve">Barwon Water conducts its proposed activity in a way that complies with the </w:t>
      </w:r>
      <w:r w:rsidR="00097C4C" w:rsidRPr="009C1878">
        <w:rPr>
          <w:rFonts w:ascii="Arial" w:hAnsi="Arial" w:cs="Arial"/>
          <w:i/>
          <w:lang w:val="en-AU"/>
        </w:rPr>
        <w:t>Aboriginal Heritage Act</w:t>
      </w:r>
      <w:r w:rsidR="00097C4C" w:rsidRPr="009C1878">
        <w:rPr>
          <w:rFonts w:ascii="Arial" w:hAnsi="Arial" w:cs="Arial"/>
          <w:lang w:val="en-AU"/>
        </w:rPr>
        <w:t xml:space="preserve"> 2006</w:t>
      </w:r>
      <w:r w:rsidR="00097C4C">
        <w:rPr>
          <w:rFonts w:ascii="Arial" w:hAnsi="Arial" w:cs="Arial"/>
          <w:lang w:val="en-AU"/>
        </w:rPr>
        <w:t>, especially if Aboriginal cultural heritage is extant on the property</w:t>
      </w:r>
      <w:r w:rsidR="00097C4C" w:rsidRPr="009C1878">
        <w:rPr>
          <w:rFonts w:ascii="Arial" w:hAnsi="Arial" w:cs="Arial"/>
          <w:lang w:val="en-AU"/>
        </w:rPr>
        <w:t>.</w:t>
      </w:r>
    </w:p>
    <w:p w:rsidR="0089506A" w:rsidRPr="009C1878" w:rsidRDefault="0089506A" w:rsidP="0089506A">
      <w:pPr>
        <w:numPr>
          <w:ilvl w:val="0"/>
          <w:numId w:val="11"/>
        </w:numPr>
        <w:suppressAutoHyphens w:val="0"/>
        <w:spacing w:after="120" w:line="360" w:lineRule="auto"/>
        <w:ind w:right="170"/>
        <w:jc w:val="both"/>
        <w:rPr>
          <w:rFonts w:ascii="Arial" w:hAnsi="Arial" w:cs="Arial"/>
        </w:rPr>
      </w:pPr>
      <w:r w:rsidRPr="009C1878">
        <w:rPr>
          <w:rFonts w:ascii="Arial" w:hAnsi="Arial" w:cs="Arial"/>
        </w:rPr>
        <w:t>Undertake a Cultural Heritage Assessment, including a field survey of the proposed works area, with the RAP</w:t>
      </w:r>
      <w:r w:rsidR="00310D3A" w:rsidRPr="009C1878">
        <w:rPr>
          <w:rFonts w:ascii="Arial" w:hAnsi="Arial" w:cs="Arial"/>
        </w:rPr>
        <w:t xml:space="preserve"> (in this instance Wathaurung Aboriginal Corporation)</w:t>
      </w:r>
      <w:r w:rsidRPr="009C1878">
        <w:rPr>
          <w:rFonts w:ascii="Arial" w:hAnsi="Arial" w:cs="Arial"/>
        </w:rPr>
        <w:t>, to further assess the impact of works on Aboriginal cultural heritage</w:t>
      </w:r>
      <w:r w:rsidR="00097C4C">
        <w:rPr>
          <w:rFonts w:ascii="Arial" w:hAnsi="Arial" w:cs="Arial"/>
        </w:rPr>
        <w:t xml:space="preserve"> – This option may provide </w:t>
      </w:r>
      <w:proofErr w:type="spellStart"/>
      <w:r w:rsidR="00097C4C">
        <w:rPr>
          <w:rFonts w:ascii="Arial" w:hAnsi="Arial" w:cs="Arial"/>
        </w:rPr>
        <w:t>Barwon</w:t>
      </w:r>
      <w:proofErr w:type="spellEnd"/>
      <w:r w:rsidR="00097C4C">
        <w:rPr>
          <w:rFonts w:ascii="Arial" w:hAnsi="Arial" w:cs="Arial"/>
        </w:rPr>
        <w:t xml:space="preserve"> Water with additional information on the nature of cultural heritage and/or cultural heritage sensitivity of the property</w:t>
      </w:r>
      <w:r w:rsidRPr="009C1878">
        <w:rPr>
          <w:rFonts w:ascii="Arial" w:hAnsi="Arial" w:cs="Arial"/>
        </w:rPr>
        <w:t>.</w:t>
      </w:r>
      <w:r w:rsidR="00097C4C">
        <w:rPr>
          <w:rFonts w:ascii="Arial" w:hAnsi="Arial" w:cs="Arial"/>
        </w:rPr>
        <w:t xml:space="preserve"> Conversely, it may add little to no additional information on the cultural heritage sensitivity of the property than has been provided in this due diligence.</w:t>
      </w:r>
    </w:p>
    <w:p w:rsidR="0089506A" w:rsidRPr="00BF1EB4" w:rsidRDefault="0089506A" w:rsidP="0089506A">
      <w:pPr>
        <w:numPr>
          <w:ilvl w:val="0"/>
          <w:numId w:val="11"/>
        </w:numPr>
        <w:suppressAutoHyphens w:val="0"/>
        <w:spacing w:after="120" w:line="360" w:lineRule="auto"/>
        <w:ind w:right="170"/>
        <w:jc w:val="both"/>
        <w:rPr>
          <w:rFonts w:ascii="Arial" w:hAnsi="Arial" w:cs="Arial"/>
        </w:rPr>
      </w:pPr>
      <w:r w:rsidRPr="00AE2090">
        <w:rPr>
          <w:rFonts w:ascii="Arial" w:hAnsi="Arial" w:cs="Arial"/>
        </w:rPr>
        <w:t xml:space="preserve">Follow </w:t>
      </w:r>
      <w:r w:rsidR="00AE2090" w:rsidRPr="00AE2090">
        <w:rPr>
          <w:rFonts w:ascii="Arial" w:hAnsi="Arial" w:cs="Arial"/>
        </w:rPr>
        <w:t xml:space="preserve">reporting requirements </w:t>
      </w:r>
      <w:r w:rsidR="00AE2090">
        <w:rPr>
          <w:rFonts w:ascii="Arial" w:hAnsi="Arial" w:cs="Arial"/>
        </w:rPr>
        <w:t xml:space="preserve">set out </w:t>
      </w:r>
      <w:r w:rsidR="00AE2090" w:rsidRPr="00AE2090">
        <w:rPr>
          <w:rFonts w:ascii="Arial" w:hAnsi="Arial" w:cs="Arial"/>
        </w:rPr>
        <w:t xml:space="preserve">under Sections 17 and 24 of the </w:t>
      </w:r>
      <w:r w:rsidR="00AE2090" w:rsidRPr="00AE2090">
        <w:rPr>
          <w:rFonts w:ascii="Arial" w:hAnsi="Arial" w:cs="Arial"/>
          <w:i/>
        </w:rPr>
        <w:t xml:space="preserve">Aboriginal Heritage Act </w:t>
      </w:r>
      <w:r w:rsidR="00AE2090" w:rsidRPr="00AE2090">
        <w:rPr>
          <w:rFonts w:ascii="Arial" w:hAnsi="Arial" w:cs="Arial"/>
        </w:rPr>
        <w:t xml:space="preserve">2006 </w:t>
      </w:r>
      <w:r w:rsidRPr="00AE2090">
        <w:rPr>
          <w:rFonts w:ascii="Arial" w:hAnsi="Arial" w:cs="Arial"/>
        </w:rPr>
        <w:t xml:space="preserve">in the event that suspected Aboriginal cultural heritage </w:t>
      </w:r>
      <w:r w:rsidR="00AE2090" w:rsidRPr="00AE2090">
        <w:rPr>
          <w:rFonts w:ascii="Arial" w:hAnsi="Arial" w:cs="Arial"/>
        </w:rPr>
        <w:t xml:space="preserve">(including human remains, Aboriginal places and objects) </w:t>
      </w:r>
      <w:r w:rsidRPr="00AE2090">
        <w:rPr>
          <w:rFonts w:ascii="Arial" w:hAnsi="Arial" w:cs="Arial"/>
        </w:rPr>
        <w:t xml:space="preserve">is identified during the proposed </w:t>
      </w:r>
      <w:r w:rsidRPr="00AE2090">
        <w:rPr>
          <w:rFonts w:ascii="Arial" w:hAnsi="Arial" w:cs="Arial"/>
        </w:rPr>
        <w:lastRenderedPageBreak/>
        <w:t>works</w:t>
      </w:r>
      <w:r w:rsidR="00AE2090" w:rsidRPr="00AE2090">
        <w:rPr>
          <w:rFonts w:ascii="Arial" w:hAnsi="Arial" w:cs="Arial"/>
        </w:rPr>
        <w:t>.</w:t>
      </w:r>
      <w:r w:rsidR="00AE2090">
        <w:rPr>
          <w:rStyle w:val="FootnoteReference"/>
          <w:rFonts w:ascii="Arial" w:hAnsi="Arial" w:cs="Arial"/>
        </w:rPr>
        <w:footnoteReference w:id="5"/>
      </w:r>
      <w:r w:rsidR="00AE2090" w:rsidRPr="00AE2090">
        <w:rPr>
          <w:rFonts w:ascii="Arial" w:hAnsi="Arial" w:cs="Arial"/>
        </w:rPr>
        <w:t xml:space="preserve"> </w:t>
      </w:r>
      <w:r w:rsidR="00BF1EB4">
        <w:rPr>
          <w:rFonts w:ascii="Arial" w:hAnsi="Arial" w:cs="Arial"/>
        </w:rPr>
        <w:t>–</w:t>
      </w:r>
      <w:r w:rsidR="00097C4C">
        <w:rPr>
          <w:rFonts w:ascii="Arial" w:hAnsi="Arial" w:cs="Arial"/>
        </w:rPr>
        <w:t xml:space="preserve"> </w:t>
      </w:r>
      <w:r w:rsidR="00BF1EB4">
        <w:rPr>
          <w:rFonts w:ascii="Arial" w:hAnsi="Arial" w:cs="Arial"/>
        </w:rPr>
        <w:t>This option would redu</w:t>
      </w:r>
      <w:r w:rsidR="00BF1EB4" w:rsidRPr="00BF1EB4">
        <w:rPr>
          <w:rFonts w:ascii="Arial" w:hAnsi="Arial" w:cs="Arial"/>
        </w:rPr>
        <w:t xml:space="preserve">ce the risk of harm to Aboriginal cultural heritage as works would be required to stop so that further harm can be averted. However, it should be noted that reporting the discovery of Aboriginal cultural heritage disturbed during an activity does not </w:t>
      </w:r>
      <w:r w:rsidR="00BF1EB4" w:rsidRPr="00BF1EB4">
        <w:rPr>
          <w:rFonts w:ascii="Arial" w:hAnsi="Arial" w:cs="Arial"/>
          <w:lang w:val="en-AU"/>
        </w:rPr>
        <w:t xml:space="preserve">remove the legal constraints set by the </w:t>
      </w:r>
      <w:r w:rsidR="00BF1EB4" w:rsidRPr="00BF1EB4">
        <w:rPr>
          <w:rFonts w:ascii="Arial" w:hAnsi="Arial" w:cs="Arial"/>
          <w:i/>
          <w:lang w:val="en-AU"/>
        </w:rPr>
        <w:t>Aboriginal Heritage Act</w:t>
      </w:r>
      <w:r w:rsidR="00BF1EB4" w:rsidRPr="00BF1EB4">
        <w:rPr>
          <w:rFonts w:ascii="Arial" w:hAnsi="Arial" w:cs="Arial"/>
          <w:lang w:val="en-AU"/>
        </w:rPr>
        <w:t xml:space="preserve"> 2006</w:t>
      </w:r>
      <w:r w:rsidR="00BF1EB4">
        <w:rPr>
          <w:rFonts w:ascii="Arial" w:hAnsi="Arial" w:cs="Arial"/>
          <w:lang w:val="en-AU"/>
        </w:rPr>
        <w:t>.</w:t>
      </w:r>
    </w:p>
    <w:p w:rsidR="003D02F2" w:rsidRPr="009C1878" w:rsidRDefault="003D02F2" w:rsidP="003D02F2">
      <w:pPr>
        <w:spacing w:after="120" w:line="360" w:lineRule="auto"/>
        <w:ind w:right="170"/>
        <w:jc w:val="both"/>
        <w:rPr>
          <w:rFonts w:ascii="Arial" w:hAnsi="Arial"/>
        </w:rPr>
      </w:pPr>
      <w:r w:rsidRPr="009C1878">
        <w:rPr>
          <w:rFonts w:ascii="Arial" w:hAnsi="Arial"/>
        </w:rPr>
        <w:t>If you require any further information or have any questions regarding this matter, please do not hesitate to contact me.</w:t>
      </w:r>
    </w:p>
    <w:p w:rsidR="009C1878" w:rsidRDefault="00412AEA" w:rsidP="009C1878">
      <w:pPr>
        <w:spacing w:after="120" w:line="360" w:lineRule="auto"/>
        <w:ind w:right="170"/>
        <w:jc w:val="both"/>
        <w:rPr>
          <w:rFonts w:ascii="Arial" w:hAnsi="Arial"/>
        </w:rPr>
      </w:pPr>
      <w:r>
        <w:rPr>
          <w:noProof/>
          <w:lang w:val="en-US" w:eastAsia="en-US"/>
        </w:rPr>
        <w:pict>
          <v:shape id="Text Box 3" o:spid="_x0000_s1030" type="#_x0000_t202" style="position:absolute;left:0;text-align:left;margin-left:-7.75pt;margin-top:12.75pt;width:9.05pt;height:47.05pt;z-index:251664384;visibility:visible;mso-wrap-style:non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" stroked="f">
            <v:textbox inset="0,0,0,0">
              <w:txbxContent>
                <w:p w:rsidR="00BF1EB4" w:rsidRDefault="00BF1EB4" w:rsidP="009C1878">
                  <w:pPr>
                    <w:rPr>
                      <w:noProof/>
                      <w:lang w:val="en-AU" w:eastAsia="en-AU"/>
                    </w:rPr>
                  </w:pPr>
                </w:p>
                <w:p w:rsidR="00BF1EB4" w:rsidRDefault="00BF1EB4" w:rsidP="009C1878">
                  <w:pPr>
                    <w:rPr>
                      <w:noProof/>
                      <w:lang w:val="en-AU" w:eastAsia="en-AU"/>
                    </w:rPr>
                  </w:pPr>
                </w:p>
                <w:p w:rsidR="00BF1EB4" w:rsidRDefault="00BF1EB4" w:rsidP="009C1878">
                  <w:pPr>
                    <w:rPr>
                      <w:noProof/>
                      <w:lang w:val="en-AU" w:eastAsia="en-AU"/>
                    </w:rPr>
                  </w:pPr>
                </w:p>
                <w:p w:rsidR="00BF1EB4" w:rsidRDefault="00BF1EB4" w:rsidP="009C1878">
                  <w:pPr>
                    <w:rPr>
                      <w:noProof/>
                      <w:lang w:val="en-AU" w:eastAsia="en-AU"/>
                    </w:rPr>
                  </w:pPr>
                </w:p>
                <w:p w:rsidR="00BF1EB4" w:rsidRDefault="00BF1EB4" w:rsidP="009C1878"/>
              </w:txbxContent>
            </v:textbox>
          </v:shape>
        </w:pict>
      </w:r>
      <w:r w:rsidR="009C1878">
        <w:rPr>
          <w:rFonts w:ascii="Arial" w:hAnsi="Arial"/>
        </w:rPr>
        <w:t>Yours sincerely,</w:t>
      </w:r>
    </w:p>
    <w:p w:rsidR="009C1878" w:rsidRDefault="009C1878" w:rsidP="009C1878">
      <w:pPr>
        <w:spacing w:after="120" w:line="360" w:lineRule="auto"/>
        <w:ind w:right="170"/>
        <w:jc w:val="both"/>
        <w:rPr>
          <w:rFonts w:ascii="Arial" w:hAnsi="Arial"/>
        </w:rPr>
      </w:pPr>
    </w:p>
    <w:p w:rsidR="009C1878" w:rsidRDefault="009C1878" w:rsidP="009C1878">
      <w:pPr>
        <w:spacing w:after="120" w:line="360" w:lineRule="auto"/>
        <w:ind w:right="170"/>
        <w:jc w:val="both"/>
        <w:rPr>
          <w:rFonts w:ascii="Arial" w:hAnsi="Arial"/>
        </w:rPr>
      </w:pPr>
      <w:r>
        <w:rPr>
          <w:rFonts w:ascii="Arial" w:hAnsi="Arial"/>
          <w:noProof/>
          <w:lang w:val="en-AU" w:eastAsia="en-AU"/>
        </w:rPr>
        <w:drawing>
          <wp:inline distT="0" distB="0" distL="0" distR="0">
            <wp:extent cx="2372458" cy="930027"/>
            <wp:effectExtent l="19050" t="0" r="8792" b="0"/>
            <wp:docPr id="18" name="Picture 3" descr="Meg Goulding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g Goulding Signature.jpg"/>
                    <pic:cNvPicPr/>
                  </pic:nvPicPr>
                  <pic:blipFill>
                    <a:blip r:embed="rId18" cstate="print"/>
                    <a:stretch>
                      <a:fillRect/>
                    </a:stretch>
                  </pic:blipFill>
                  <pic:spPr>
                    <a:xfrm>
                      <a:off x="0" y="0"/>
                      <a:ext cx="2375300" cy="931141"/>
                    </a:xfrm>
                    <a:prstGeom prst="rect">
                      <a:avLst/>
                    </a:prstGeom>
                  </pic:spPr>
                </pic:pic>
              </a:graphicData>
            </a:graphic>
          </wp:inline>
        </w:drawing>
      </w:r>
    </w:p>
    <w:p w:rsidR="009C1878" w:rsidRDefault="009C1878" w:rsidP="009C1878">
      <w:pPr>
        <w:spacing w:line="360" w:lineRule="auto"/>
        <w:jc w:val="both"/>
        <w:outlineLvl w:val="0"/>
        <w:rPr>
          <w:rFonts w:ascii="Arial" w:hAnsi="Arial"/>
        </w:rPr>
      </w:pPr>
      <w:r>
        <w:rPr>
          <w:rFonts w:ascii="Arial" w:hAnsi="Arial"/>
        </w:rPr>
        <w:t>Megan Goulding</w:t>
      </w:r>
    </w:p>
    <w:p w:rsidR="009C1878" w:rsidRDefault="009C1878" w:rsidP="009C1878">
      <w:pPr>
        <w:spacing w:line="360" w:lineRule="auto"/>
        <w:jc w:val="both"/>
        <w:rPr>
          <w:rFonts w:ascii="Arial" w:hAnsi="Arial"/>
        </w:rPr>
      </w:pPr>
      <w:r>
        <w:rPr>
          <w:rFonts w:ascii="Arial" w:hAnsi="Arial"/>
        </w:rPr>
        <w:t xml:space="preserve">Chief Executive Officer/ Principal Heritage Adviser </w:t>
      </w:r>
    </w:p>
    <w:p w:rsidR="009C1878" w:rsidRDefault="009C1878" w:rsidP="009C1878">
      <w:pPr>
        <w:spacing w:after="120" w:line="360" w:lineRule="auto"/>
        <w:ind w:right="170"/>
        <w:jc w:val="both"/>
        <w:rPr>
          <w:rFonts w:ascii="Arial" w:hAnsi="Arial"/>
        </w:rPr>
      </w:pPr>
      <w:proofErr w:type="gramStart"/>
      <w:r>
        <w:rPr>
          <w:rFonts w:ascii="Arial" w:hAnsi="Arial"/>
          <w:i/>
        </w:rPr>
        <w:t>ochre</w:t>
      </w:r>
      <w:proofErr w:type="gramEnd"/>
      <w:r>
        <w:rPr>
          <w:rFonts w:ascii="Arial" w:hAnsi="Arial"/>
          <w:i/>
        </w:rPr>
        <w:t xml:space="preserve"> </w:t>
      </w:r>
      <w:r>
        <w:rPr>
          <w:rFonts w:ascii="Arial" w:hAnsi="Arial"/>
        </w:rPr>
        <w:t xml:space="preserve">imprints </w:t>
      </w:r>
      <w:proofErr w:type="spellStart"/>
      <w:r>
        <w:rPr>
          <w:rFonts w:ascii="Arial" w:hAnsi="Arial"/>
        </w:rPr>
        <w:t>pty</w:t>
      </w:r>
      <w:proofErr w:type="spellEnd"/>
      <w:r>
        <w:rPr>
          <w:rFonts w:ascii="Arial" w:hAnsi="Arial"/>
        </w:rPr>
        <w:t xml:space="preserve"> ltd</w:t>
      </w:r>
    </w:p>
    <w:p w:rsidR="0023193D" w:rsidRDefault="0023193D" w:rsidP="00F730D4">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p>
    <w:p w:rsidR="002D592A" w:rsidRPr="00F730D4" w:rsidRDefault="002D592A" w:rsidP="00F730D4">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lang w:val="en-AU"/>
        </w:rPr>
      </w:pPr>
    </w:p>
    <w:p w:rsidR="00A821C6" w:rsidRPr="00F730D4" w:rsidRDefault="00A821C6" w:rsidP="00F730D4">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b/>
          <w:lang w:val="en-AU"/>
        </w:rPr>
      </w:pPr>
      <w:r w:rsidRPr="00F730D4">
        <w:rPr>
          <w:rFonts w:ascii="Arial" w:hAnsi="Arial" w:cs="Arial"/>
          <w:b/>
          <w:lang w:val="en-AU"/>
        </w:rPr>
        <w:t>References</w:t>
      </w:r>
    </w:p>
    <w:p w:rsidR="00357E1F" w:rsidRDefault="00357E1F" w:rsidP="00357E1F">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rPr>
      </w:pPr>
      <w:r>
        <w:rPr>
          <w:rFonts w:ascii="Arial" w:hAnsi="Arial" w:cs="Arial"/>
        </w:rPr>
        <w:t>Duncan, J. &amp; Stone, T., 2002</w:t>
      </w:r>
      <w:r w:rsidRPr="0018182F">
        <w:rPr>
          <w:rFonts w:ascii="Arial" w:hAnsi="Arial" w:cs="Arial"/>
        </w:rPr>
        <w:t>. An archaeological survey of the</w:t>
      </w:r>
      <w:r>
        <w:rPr>
          <w:rFonts w:ascii="Arial" w:hAnsi="Arial" w:cs="Arial"/>
        </w:rPr>
        <w:t xml:space="preserve"> Bluff Road (St Leonards) extension to the</w:t>
      </w:r>
      <w:r w:rsidRPr="0018182F">
        <w:rPr>
          <w:rFonts w:ascii="Arial" w:hAnsi="Arial" w:cs="Arial"/>
        </w:rPr>
        <w:t xml:space="preserve"> proposed </w:t>
      </w:r>
      <w:proofErr w:type="spellStart"/>
      <w:r w:rsidRPr="0018182F">
        <w:rPr>
          <w:rFonts w:ascii="Arial" w:hAnsi="Arial" w:cs="Arial"/>
        </w:rPr>
        <w:t>Bellarine</w:t>
      </w:r>
      <w:proofErr w:type="spellEnd"/>
      <w:r w:rsidRPr="0018182F">
        <w:rPr>
          <w:rFonts w:ascii="Arial" w:hAnsi="Arial" w:cs="Arial"/>
        </w:rPr>
        <w:t xml:space="preserve"> Peninsula Gas</w:t>
      </w:r>
      <w:r>
        <w:rPr>
          <w:rFonts w:ascii="Arial" w:hAnsi="Arial" w:cs="Arial"/>
        </w:rPr>
        <w:t xml:space="preserve"> </w:t>
      </w:r>
      <w:r w:rsidRPr="0018182F">
        <w:rPr>
          <w:rFonts w:ascii="Arial" w:hAnsi="Arial" w:cs="Arial"/>
        </w:rPr>
        <w:t>Supply Route, Victoria. A report to GCI Kenny.</w:t>
      </w:r>
    </w:p>
    <w:p w:rsidR="00357E1F" w:rsidRPr="0018182F" w:rsidRDefault="00357E1F" w:rsidP="00357E1F">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rPr>
      </w:pPr>
      <w:r w:rsidRPr="0018182F">
        <w:rPr>
          <w:rFonts w:ascii="Arial" w:hAnsi="Arial" w:cs="Arial"/>
        </w:rPr>
        <w:t>Weaver, F.J., 2001. Proposed Residential Sub-Divisio</w:t>
      </w:r>
      <w:r>
        <w:rPr>
          <w:rFonts w:ascii="Arial" w:hAnsi="Arial" w:cs="Arial"/>
        </w:rPr>
        <w:t xml:space="preserve">n. Corner of Point Edwards Road </w:t>
      </w:r>
      <w:r w:rsidRPr="0018182F">
        <w:rPr>
          <w:rFonts w:ascii="Arial" w:hAnsi="Arial" w:cs="Arial"/>
        </w:rPr>
        <w:t xml:space="preserve">and </w:t>
      </w:r>
      <w:proofErr w:type="spellStart"/>
      <w:r w:rsidRPr="0018182F">
        <w:rPr>
          <w:rFonts w:ascii="Arial" w:hAnsi="Arial" w:cs="Arial"/>
        </w:rPr>
        <w:t>Wattlehill</w:t>
      </w:r>
      <w:proofErr w:type="spellEnd"/>
      <w:r w:rsidRPr="0018182F">
        <w:rPr>
          <w:rFonts w:ascii="Arial" w:hAnsi="Arial" w:cs="Arial"/>
        </w:rPr>
        <w:t xml:space="preserve"> Grove, St. Leonards, Victoria. A survey for A</w:t>
      </w:r>
      <w:r>
        <w:rPr>
          <w:rFonts w:ascii="Arial" w:hAnsi="Arial" w:cs="Arial"/>
        </w:rPr>
        <w:t xml:space="preserve">boriginal and Historical </w:t>
      </w:r>
      <w:r w:rsidRPr="0018182F">
        <w:rPr>
          <w:rFonts w:ascii="Arial" w:hAnsi="Arial" w:cs="Arial"/>
        </w:rPr>
        <w:t xml:space="preserve">Archaeological sites. A Report to </w:t>
      </w:r>
      <w:proofErr w:type="spellStart"/>
      <w:r w:rsidRPr="0018182F">
        <w:rPr>
          <w:rFonts w:ascii="Arial" w:hAnsi="Arial" w:cs="Arial"/>
        </w:rPr>
        <w:t>Tregalla</w:t>
      </w:r>
      <w:r>
        <w:rPr>
          <w:rFonts w:ascii="Arial" w:hAnsi="Arial" w:cs="Arial"/>
        </w:rPr>
        <w:t>s</w:t>
      </w:r>
      <w:proofErr w:type="spellEnd"/>
      <w:r>
        <w:rPr>
          <w:rFonts w:ascii="Arial" w:hAnsi="Arial" w:cs="Arial"/>
        </w:rPr>
        <w:t xml:space="preserve"> Pty Ltd and Grant St. Quentin Surveyors Pty Ltd, Geelong</w:t>
      </w:r>
      <w:r w:rsidRPr="0018182F">
        <w:rPr>
          <w:rFonts w:ascii="Arial" w:hAnsi="Arial" w:cs="Arial"/>
        </w:rPr>
        <w:t>.</w:t>
      </w:r>
    </w:p>
    <w:p w:rsidR="009068DF" w:rsidRPr="0018182F" w:rsidRDefault="009068DF" w:rsidP="009068DF">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rPr>
      </w:pPr>
      <w:r w:rsidRPr="0018182F">
        <w:rPr>
          <w:rFonts w:ascii="Arial" w:hAnsi="Arial" w:cs="Arial"/>
        </w:rPr>
        <w:t>Weaver, F.J., 2001a. Proposed Residential Sub-Division. L</w:t>
      </w:r>
      <w:r>
        <w:rPr>
          <w:rFonts w:ascii="Arial" w:hAnsi="Arial" w:cs="Arial"/>
        </w:rPr>
        <w:t xml:space="preserve">ot A, Bluff Road, St. Leonards, </w:t>
      </w:r>
      <w:r w:rsidRPr="0018182F">
        <w:rPr>
          <w:rFonts w:ascii="Arial" w:hAnsi="Arial" w:cs="Arial"/>
        </w:rPr>
        <w:t xml:space="preserve">Victoria. A Survey for Aboriginal and Historic archaeological sites. </w:t>
      </w:r>
      <w:r>
        <w:rPr>
          <w:rFonts w:ascii="Arial" w:hAnsi="Arial" w:cs="Arial"/>
        </w:rPr>
        <w:t xml:space="preserve">A report to </w:t>
      </w:r>
      <w:proofErr w:type="spellStart"/>
      <w:r w:rsidRPr="0018182F">
        <w:rPr>
          <w:rFonts w:ascii="Arial" w:hAnsi="Arial" w:cs="Arial"/>
        </w:rPr>
        <w:t>Tregallus</w:t>
      </w:r>
      <w:proofErr w:type="spellEnd"/>
      <w:r w:rsidRPr="0018182F">
        <w:rPr>
          <w:rFonts w:ascii="Arial" w:hAnsi="Arial" w:cs="Arial"/>
        </w:rPr>
        <w:t xml:space="preserve"> Pty Ltd, and Grant St. Quentin Surveyors</w:t>
      </w:r>
      <w:r>
        <w:rPr>
          <w:rFonts w:ascii="Arial" w:hAnsi="Arial" w:cs="Arial"/>
        </w:rPr>
        <w:t xml:space="preserve"> Pty Ltd. </w:t>
      </w:r>
    </w:p>
    <w:p w:rsidR="009068DF" w:rsidRDefault="009068DF" w:rsidP="009068DF">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line="360" w:lineRule="auto"/>
        <w:jc w:val="both"/>
        <w:rPr>
          <w:rFonts w:ascii="Arial" w:hAnsi="Arial" w:cs="Arial"/>
        </w:rPr>
      </w:pPr>
      <w:r w:rsidRPr="0018182F">
        <w:rPr>
          <w:rFonts w:ascii="Arial" w:hAnsi="Arial" w:cs="Arial"/>
        </w:rPr>
        <w:t>Weaver, F.J., 2004. Proposed Residential Sub-Division. L</w:t>
      </w:r>
      <w:r>
        <w:rPr>
          <w:rFonts w:ascii="Arial" w:hAnsi="Arial" w:cs="Arial"/>
        </w:rPr>
        <w:t xml:space="preserve">ot </w:t>
      </w:r>
      <w:proofErr w:type="gramStart"/>
      <w:r>
        <w:rPr>
          <w:rFonts w:ascii="Arial" w:hAnsi="Arial" w:cs="Arial"/>
        </w:rPr>
        <w:t>A</w:t>
      </w:r>
      <w:proofErr w:type="gramEnd"/>
      <w:r>
        <w:rPr>
          <w:rFonts w:ascii="Arial" w:hAnsi="Arial" w:cs="Arial"/>
        </w:rPr>
        <w:t xml:space="preserve">, Bluff Road, St. Leonards, </w:t>
      </w:r>
      <w:r w:rsidRPr="0018182F">
        <w:rPr>
          <w:rFonts w:ascii="Arial" w:hAnsi="Arial" w:cs="Arial"/>
        </w:rPr>
        <w:t xml:space="preserve">Victoria Archaeological Sub-surface testing project. </w:t>
      </w:r>
      <w:r>
        <w:rPr>
          <w:rFonts w:ascii="Arial" w:hAnsi="Arial" w:cs="Arial"/>
        </w:rPr>
        <w:t xml:space="preserve">A report to </w:t>
      </w:r>
      <w:proofErr w:type="spellStart"/>
      <w:r>
        <w:rPr>
          <w:rFonts w:ascii="Arial" w:hAnsi="Arial" w:cs="Arial"/>
        </w:rPr>
        <w:t>Tregallus</w:t>
      </w:r>
      <w:proofErr w:type="spellEnd"/>
      <w:r>
        <w:rPr>
          <w:rFonts w:ascii="Arial" w:hAnsi="Arial" w:cs="Arial"/>
        </w:rPr>
        <w:t xml:space="preserve"> Pty Ltd </w:t>
      </w:r>
      <w:r w:rsidRPr="0018182F">
        <w:rPr>
          <w:rFonts w:ascii="Arial" w:hAnsi="Arial" w:cs="Arial"/>
        </w:rPr>
        <w:t xml:space="preserve">and St. Quentin Consulting Pty Ltd, Geelong. </w:t>
      </w:r>
      <w:bookmarkStart w:id="2" w:name="_GoBack"/>
      <w:bookmarkEnd w:id="2"/>
    </w:p>
    <w:p w:rsidR="009068DF" w:rsidRPr="009068DF" w:rsidRDefault="009068DF" w:rsidP="009068DF">
      <w:pPr>
        <w:tabs>
          <w:tab w:val="left" w:pos="-835"/>
          <w:tab w:val="left" w:pos="-720"/>
          <w:tab w:val="left" w:pos="0"/>
          <w:tab w:val="left" w:pos="720"/>
          <w:tab w:val="left" w:pos="1134"/>
          <w:tab w:val="left" w:pos="2160"/>
          <w:tab w:val="left" w:pos="2880"/>
          <w:tab w:val="left" w:pos="3600"/>
          <w:tab w:val="left" w:pos="4320"/>
          <w:tab w:val="left" w:pos="63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13" w:line="360" w:lineRule="auto"/>
        <w:jc w:val="both"/>
        <w:rPr>
          <w:rFonts w:ascii="Arial" w:hAnsi="Arial" w:cs="Arial"/>
        </w:rPr>
      </w:pPr>
      <w:r>
        <w:rPr>
          <w:rFonts w:ascii="Arial" w:hAnsi="Arial" w:cs="Arial"/>
        </w:rPr>
        <w:t xml:space="preserve">Weaver, F. 2011. </w:t>
      </w:r>
      <w:r w:rsidRPr="00E937A6">
        <w:rPr>
          <w:rFonts w:ascii="Arial" w:hAnsi="Arial" w:cs="Arial"/>
        </w:rPr>
        <w:t>Pr</w:t>
      </w:r>
      <w:r>
        <w:rPr>
          <w:rFonts w:ascii="Arial" w:hAnsi="Arial" w:cs="Arial"/>
        </w:rPr>
        <w:t xml:space="preserve">oposed Residential Sub-Division </w:t>
      </w:r>
      <w:r w:rsidRPr="00E937A6">
        <w:rPr>
          <w:rFonts w:ascii="Arial" w:hAnsi="Arial" w:cs="Arial"/>
        </w:rPr>
        <w:t>Lot A, Bluf</w:t>
      </w:r>
      <w:r>
        <w:rPr>
          <w:rFonts w:ascii="Arial" w:hAnsi="Arial" w:cs="Arial"/>
        </w:rPr>
        <w:t xml:space="preserve">f Road, St. Leonards, Victoria. CHMP </w:t>
      </w:r>
      <w:r w:rsidRPr="00E937A6">
        <w:rPr>
          <w:rFonts w:ascii="Arial" w:hAnsi="Arial" w:cs="Arial"/>
        </w:rPr>
        <w:t>10059</w:t>
      </w:r>
      <w:r>
        <w:rPr>
          <w:rFonts w:ascii="Arial" w:hAnsi="Arial" w:cs="Arial"/>
        </w:rPr>
        <w:t xml:space="preserve">. Unpublished report to </w:t>
      </w:r>
      <w:r w:rsidRPr="00E937A6">
        <w:rPr>
          <w:rFonts w:ascii="Arial" w:hAnsi="Arial" w:cs="Arial"/>
        </w:rPr>
        <w:t>St. Quentin Consulting Pty Ltd</w:t>
      </w:r>
      <w:r>
        <w:rPr>
          <w:rFonts w:ascii="Arial" w:hAnsi="Arial" w:cs="Arial"/>
        </w:rPr>
        <w:t>.</w:t>
      </w:r>
    </w:p>
    <w:sectPr w:rsidR="009068DF" w:rsidRPr="009068DF" w:rsidSect="00EA45D9">
      <w:footnotePr>
        <w:pos w:val="beneathText"/>
      </w:footnotePr>
      <w:pgSz w:w="11905" w:h="16837"/>
      <w:pgMar w:top="1440" w:right="1797" w:bottom="1440" w:left="179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1EB4" w:rsidRDefault="00BF1EB4">
      <w:r>
        <w:separator/>
      </w:r>
    </w:p>
  </w:endnote>
  <w:endnote w:type="continuationSeparator" w:id="0">
    <w:p w:rsidR="00BF1EB4" w:rsidRDefault="00BF1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EB4" w:rsidRPr="00412AEA" w:rsidRDefault="00412AEA">
    <w:pPr>
      <w:pStyle w:val="Footer"/>
      <w:jc w:val="center"/>
      <w:rPr>
        <w:rFonts w:ascii="Arial" w:hAnsi="Arial" w:cs="Arial"/>
      </w:rPr>
    </w:pPr>
    <w:r w:rsidRPr="00412AEA">
      <w:rPr>
        <w:rFonts w:ascii="Arial" w:hAnsi="Arial" w:cs="Arial"/>
      </w:rPr>
      <w:fldChar w:fldCharType="begin"/>
    </w:r>
    <w:r w:rsidRPr="00412AEA">
      <w:rPr>
        <w:rFonts w:ascii="Arial" w:hAnsi="Arial" w:cs="Arial"/>
      </w:rPr>
      <w:instrText xml:space="preserve"> PAGE   \* MERGEFORMAT </w:instrText>
    </w:r>
    <w:r w:rsidRPr="00412AEA">
      <w:rPr>
        <w:rFonts w:ascii="Arial" w:hAnsi="Arial" w:cs="Arial"/>
      </w:rPr>
      <w:fldChar w:fldCharType="separate"/>
    </w:r>
    <w:r>
      <w:rPr>
        <w:rFonts w:ascii="Arial" w:hAnsi="Arial" w:cs="Arial"/>
        <w:noProof/>
      </w:rPr>
      <w:t>13</w:t>
    </w:r>
    <w:r w:rsidRPr="00412AEA">
      <w:rPr>
        <w:rFonts w:ascii="Arial" w:hAnsi="Arial" w:cs="Arial"/>
        <w:noProof/>
      </w:rPr>
      <w:fldChar w:fldCharType="end"/>
    </w:r>
  </w:p>
  <w:p w:rsidR="00BF1EB4" w:rsidRDefault="00BF1E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1EB4" w:rsidRDefault="00BF1EB4">
      <w:r>
        <w:separator/>
      </w:r>
    </w:p>
  </w:footnote>
  <w:footnote w:type="continuationSeparator" w:id="0">
    <w:p w:rsidR="00BF1EB4" w:rsidRDefault="00BF1EB4">
      <w:r>
        <w:continuationSeparator/>
      </w:r>
    </w:p>
  </w:footnote>
  <w:footnote w:id="1">
    <w:p w:rsidR="00BF1EB4" w:rsidRPr="00AE2090" w:rsidRDefault="00BF1EB4" w:rsidP="00CE3BC1">
      <w:pPr>
        <w:pStyle w:val="FootnoteText"/>
        <w:rPr>
          <w:rFonts w:ascii="Arial Narrow" w:hAnsi="Arial Narrow"/>
          <w:lang w:val="en-US"/>
        </w:rPr>
      </w:pPr>
      <w:r w:rsidRPr="00AE2090">
        <w:rPr>
          <w:rStyle w:val="FootnoteReference"/>
          <w:rFonts w:ascii="Arial Narrow" w:hAnsi="Arial Narrow"/>
        </w:rPr>
        <w:footnoteRef/>
      </w:r>
      <w:r w:rsidRPr="00AE2090">
        <w:rPr>
          <w:rFonts w:ascii="Arial Narrow" w:hAnsi="Arial Narrow" w:cs="Arial"/>
          <w:lang w:val="en-AU"/>
        </w:rPr>
        <w:t xml:space="preserve"> Ochre Imprints is well qualified to comment on these matters. Our staff meet the requirements to be a ‘cultural heritage advisor’ under the </w:t>
      </w:r>
      <w:r w:rsidRPr="00AE2090">
        <w:rPr>
          <w:rFonts w:ascii="Arial Narrow" w:hAnsi="Arial Narrow" w:cs="Arial"/>
          <w:i/>
          <w:lang w:val="en-AU"/>
        </w:rPr>
        <w:t>Aboriginal Heritage Act</w:t>
      </w:r>
      <w:r w:rsidRPr="00AE2090">
        <w:rPr>
          <w:rFonts w:ascii="Arial Narrow" w:hAnsi="Arial Narrow" w:cs="Arial"/>
          <w:lang w:val="en-AU"/>
        </w:rPr>
        <w:t xml:space="preserve"> 2006, and have extensive experience with due diligence assessments, Cultural Heritage Management Plans (CHMPs) and Aboriginal cultural heritage assessments, both state-wide and in the region of the study area.</w:t>
      </w:r>
    </w:p>
  </w:footnote>
  <w:footnote w:id="2">
    <w:p w:rsidR="00084984" w:rsidRPr="00084984" w:rsidRDefault="00084984">
      <w:pPr>
        <w:pStyle w:val="FootnoteText"/>
        <w:rPr>
          <w:lang w:val="en-AU"/>
        </w:rPr>
      </w:pPr>
      <w:r>
        <w:rPr>
          <w:rStyle w:val="FootnoteReference"/>
        </w:rPr>
        <w:footnoteRef/>
      </w:r>
      <w:r>
        <w:t xml:space="preserve"> </w:t>
      </w:r>
      <w:r w:rsidRPr="00084984">
        <w:rPr>
          <w:rFonts w:ascii="Arial Narrow" w:hAnsi="Arial Narrow" w:cs="Arial"/>
          <w:lang w:val="en-AU"/>
        </w:rPr>
        <w:t>No consultation was undertaken with Aboriginal stakeholders for this due diligence assessment.</w:t>
      </w:r>
    </w:p>
  </w:footnote>
  <w:footnote w:id="3">
    <w:p w:rsidR="00BF1EB4" w:rsidRPr="00AE2090" w:rsidRDefault="00BF1EB4" w:rsidP="00CE3BC1">
      <w:pPr>
        <w:pStyle w:val="FootnoteText"/>
        <w:jc w:val="both"/>
        <w:rPr>
          <w:rFonts w:ascii="Arial Narrow" w:hAnsi="Arial Narrow"/>
        </w:rPr>
      </w:pPr>
      <w:r w:rsidRPr="00AE2090">
        <w:rPr>
          <w:rStyle w:val="FootnoteReference"/>
          <w:rFonts w:ascii="Arial Narrow" w:hAnsi="Arial Narrow"/>
        </w:rPr>
        <w:footnoteRef/>
      </w:r>
      <w:r w:rsidRPr="00AE2090">
        <w:rPr>
          <w:rFonts w:ascii="Arial Narrow" w:hAnsi="Arial Narrow"/>
        </w:rPr>
        <w:t xml:space="preserve"> </w:t>
      </w:r>
      <w:r w:rsidRPr="00AE2090">
        <w:rPr>
          <w:rFonts w:ascii="Arial Narrow" w:hAnsi="Arial Narrow" w:cs="Arial"/>
        </w:rPr>
        <w:t xml:space="preserve">The Department of Premier and Cabinet replaced the Department of Victorian Communities, as referred to in the </w:t>
      </w:r>
      <w:r w:rsidRPr="00AE2090">
        <w:rPr>
          <w:rFonts w:ascii="Arial Narrow" w:hAnsi="Arial Narrow" w:cs="Arial"/>
          <w:i/>
        </w:rPr>
        <w:t>Aboriginal Heritage Act</w:t>
      </w:r>
      <w:r w:rsidRPr="00AE2090">
        <w:rPr>
          <w:rFonts w:ascii="Arial Narrow" w:hAnsi="Arial Narrow" w:cs="Arial"/>
        </w:rPr>
        <w:t xml:space="preserve"> 2006, in early 2013. It should also be noted that the Office of Aboriginal Affairs Victoria carries out the day-to-day administrative functions on behalf of the Secretary.</w:t>
      </w:r>
    </w:p>
  </w:footnote>
  <w:footnote w:id="4">
    <w:p w:rsidR="00BF1EB4" w:rsidRPr="00AE2090" w:rsidRDefault="00BF1EB4" w:rsidP="00890404">
      <w:pPr>
        <w:pStyle w:val="FootnoteText"/>
        <w:rPr>
          <w:rFonts w:ascii="Arial Narrow" w:hAnsi="Arial Narrow"/>
          <w:lang w:val="en-AU"/>
        </w:rPr>
      </w:pPr>
      <w:r w:rsidRPr="00AE2090">
        <w:rPr>
          <w:rStyle w:val="FootnoteReference"/>
          <w:rFonts w:ascii="Arial Narrow" w:hAnsi="Arial Narrow"/>
        </w:rPr>
        <w:footnoteRef/>
      </w:r>
      <w:r w:rsidRPr="00AE2090">
        <w:rPr>
          <w:rFonts w:ascii="Arial Narrow" w:hAnsi="Arial Narrow"/>
        </w:rPr>
        <w:t xml:space="preserve"> </w:t>
      </w:r>
      <w:r w:rsidRPr="00AE2090">
        <w:rPr>
          <w:rFonts w:ascii="Arial Narrow" w:hAnsi="Arial Narrow"/>
          <w:lang w:val="en-AU"/>
        </w:rPr>
        <w:t>This inspection does not constitute a cultural heritage field survey.</w:t>
      </w:r>
    </w:p>
  </w:footnote>
  <w:footnote w:id="5">
    <w:p w:rsidR="00BF1EB4" w:rsidRPr="00AE2090" w:rsidRDefault="00BF1EB4">
      <w:pPr>
        <w:pStyle w:val="FootnoteText"/>
        <w:rPr>
          <w:rFonts w:ascii="Arial Narrow" w:hAnsi="Arial Narrow"/>
          <w:lang w:val="en-AU"/>
        </w:rPr>
      </w:pPr>
      <w:r w:rsidRPr="00AE2090">
        <w:rPr>
          <w:rStyle w:val="FootnoteReference"/>
          <w:rFonts w:ascii="Arial Narrow" w:hAnsi="Arial Narrow"/>
        </w:rPr>
        <w:footnoteRef/>
      </w:r>
      <w:r w:rsidRPr="00AE2090">
        <w:rPr>
          <w:rFonts w:ascii="Arial Narrow" w:hAnsi="Arial Narrow"/>
        </w:rPr>
        <w:t xml:space="preserve"> </w:t>
      </w:r>
      <w:r w:rsidRPr="00AE2090">
        <w:rPr>
          <w:rFonts w:ascii="Arial Narrow" w:hAnsi="Arial Narrow" w:cs="Arial"/>
        </w:rPr>
        <w:t>Ochre Imprints can provide mo</w:t>
      </w:r>
      <w:r>
        <w:rPr>
          <w:rFonts w:ascii="Arial Narrow" w:hAnsi="Arial Narrow" w:cs="Arial"/>
        </w:rPr>
        <w:t>re detail on these requirements</w:t>
      </w:r>
      <w:r w:rsidRPr="00AE2090">
        <w:rPr>
          <w:rFonts w:ascii="Arial Narrow" w:hAnsi="Arial Narrow" w:cs="Arial"/>
          <w:lang w:val="en-AU"/>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Outline"/>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283"/>
        </w:tabs>
        <w:ind w:left="283" w:hanging="283"/>
      </w:pPr>
      <w:rPr>
        <w:rFonts w:ascii="Symbol" w:hAnsi="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Symbol" w:hAnsi="Symbol"/>
      </w:rPr>
    </w:lvl>
  </w:abstractNum>
  <w:abstractNum w:abstractNumId="4" w15:restartNumberingAfterBreak="0">
    <w:nsid w:val="08ED2009"/>
    <w:multiLevelType w:val="hybridMultilevel"/>
    <w:tmpl w:val="F0B6392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8D7BA5"/>
    <w:multiLevelType w:val="hybridMultilevel"/>
    <w:tmpl w:val="73C4CB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89B6EC3"/>
    <w:multiLevelType w:val="hybridMultilevel"/>
    <w:tmpl w:val="0AFCA5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696619A"/>
    <w:multiLevelType w:val="hybridMultilevel"/>
    <w:tmpl w:val="2BDC24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Arial"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6BB5C18"/>
    <w:multiLevelType w:val="hybridMultilevel"/>
    <w:tmpl w:val="3A58B0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alibri"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alibri"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alibri"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DC7302F"/>
    <w:multiLevelType w:val="hybridMultilevel"/>
    <w:tmpl w:val="8F8EC0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4802402E"/>
    <w:multiLevelType w:val="hybridMultilevel"/>
    <w:tmpl w:val="7DE678F6"/>
    <w:lvl w:ilvl="0" w:tplc="2E004CBC">
      <w:start w:val="1"/>
      <w:numFmt w:val="bullet"/>
      <w:lvlText w:val=""/>
      <w:lvlJc w:val="left"/>
      <w:pPr>
        <w:tabs>
          <w:tab w:val="num" w:pos="0"/>
        </w:tabs>
        <w:ind w:left="0" w:firstLine="0"/>
      </w:pPr>
      <w:rPr>
        <w:rFonts w:ascii="Symbol" w:hAnsi="Symbol" w:hint="default"/>
      </w:rPr>
    </w:lvl>
    <w:lvl w:ilvl="1" w:tplc="0C090017">
      <w:start w:val="1"/>
      <w:numFmt w:val="lowerLetter"/>
      <w:lvlText w:val="%2)"/>
      <w:lvlJc w:val="left"/>
      <w:pPr>
        <w:tabs>
          <w:tab w:val="num" w:pos="1440"/>
        </w:tabs>
        <w:ind w:left="1440" w:hanging="360"/>
      </w:pPr>
      <w:rPr>
        <w:rFonts w:hint="default"/>
      </w:rPr>
    </w:lvl>
    <w:lvl w:ilvl="2" w:tplc="00050409" w:tentative="1">
      <w:start w:val="1"/>
      <w:numFmt w:val="bullet"/>
      <w:lvlText w:val=""/>
      <w:lvlJc w:val="left"/>
      <w:pPr>
        <w:tabs>
          <w:tab w:val="num" w:pos="2160"/>
        </w:tabs>
        <w:ind w:left="2160" w:hanging="360"/>
      </w:pPr>
      <w:rPr>
        <w:rFonts w:ascii="Symbol" w:hAnsi="Symbol"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Symbol" w:hAnsi="Symbol"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48E07489"/>
    <w:multiLevelType w:val="hybridMultilevel"/>
    <w:tmpl w:val="0C1614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D5B5EC8"/>
    <w:multiLevelType w:val="hybridMultilevel"/>
    <w:tmpl w:val="EFF657D2"/>
    <w:lvl w:ilvl="0" w:tplc="43F0E020">
      <w:start w:val="1"/>
      <w:numFmt w:val="bullet"/>
      <w:pStyle w:val="Style1"/>
      <w:lvlText w:val=""/>
      <w:lvlJc w:val="left"/>
      <w:pPr>
        <w:tabs>
          <w:tab w:val="num" w:pos="627"/>
        </w:tabs>
        <w:ind w:left="627" w:hanging="207"/>
      </w:pPr>
      <w:rPr>
        <w:rFonts w:ascii="Symbol" w:hAnsi="Symbol" w:hint="default"/>
      </w:rPr>
    </w:lvl>
    <w:lvl w:ilvl="1" w:tplc="0C090003" w:tentative="1">
      <w:start w:val="1"/>
      <w:numFmt w:val="bullet"/>
      <w:lvlText w:val="o"/>
      <w:lvlJc w:val="left"/>
      <w:pPr>
        <w:tabs>
          <w:tab w:val="num" w:pos="1500"/>
        </w:tabs>
        <w:ind w:left="1500" w:hanging="360"/>
      </w:pPr>
      <w:rPr>
        <w:rFonts w:ascii="Courier New" w:hAnsi="Courier New" w:cs="Arial" w:hint="default"/>
      </w:rPr>
    </w:lvl>
    <w:lvl w:ilvl="2" w:tplc="0C090005" w:tentative="1">
      <w:start w:val="1"/>
      <w:numFmt w:val="bullet"/>
      <w:lvlText w:val=""/>
      <w:lvlJc w:val="left"/>
      <w:pPr>
        <w:tabs>
          <w:tab w:val="num" w:pos="2220"/>
        </w:tabs>
        <w:ind w:left="2220" w:hanging="360"/>
      </w:pPr>
      <w:rPr>
        <w:rFonts w:ascii="Wingdings" w:hAnsi="Wingdings" w:hint="default"/>
      </w:rPr>
    </w:lvl>
    <w:lvl w:ilvl="3" w:tplc="0C090001" w:tentative="1">
      <w:start w:val="1"/>
      <w:numFmt w:val="bullet"/>
      <w:lvlText w:val=""/>
      <w:lvlJc w:val="left"/>
      <w:pPr>
        <w:tabs>
          <w:tab w:val="num" w:pos="2940"/>
        </w:tabs>
        <w:ind w:left="2940" w:hanging="360"/>
      </w:pPr>
      <w:rPr>
        <w:rFonts w:ascii="Symbol" w:hAnsi="Symbol" w:hint="default"/>
      </w:rPr>
    </w:lvl>
    <w:lvl w:ilvl="4" w:tplc="0C090003" w:tentative="1">
      <w:start w:val="1"/>
      <w:numFmt w:val="bullet"/>
      <w:lvlText w:val="o"/>
      <w:lvlJc w:val="left"/>
      <w:pPr>
        <w:tabs>
          <w:tab w:val="num" w:pos="3660"/>
        </w:tabs>
        <w:ind w:left="3660" w:hanging="360"/>
      </w:pPr>
      <w:rPr>
        <w:rFonts w:ascii="Courier New" w:hAnsi="Courier New" w:cs="Arial" w:hint="default"/>
      </w:rPr>
    </w:lvl>
    <w:lvl w:ilvl="5" w:tplc="0C090005" w:tentative="1">
      <w:start w:val="1"/>
      <w:numFmt w:val="bullet"/>
      <w:lvlText w:val=""/>
      <w:lvlJc w:val="left"/>
      <w:pPr>
        <w:tabs>
          <w:tab w:val="num" w:pos="4380"/>
        </w:tabs>
        <w:ind w:left="4380" w:hanging="360"/>
      </w:pPr>
      <w:rPr>
        <w:rFonts w:ascii="Wingdings" w:hAnsi="Wingdings" w:hint="default"/>
      </w:rPr>
    </w:lvl>
    <w:lvl w:ilvl="6" w:tplc="0C090001" w:tentative="1">
      <w:start w:val="1"/>
      <w:numFmt w:val="bullet"/>
      <w:lvlText w:val=""/>
      <w:lvlJc w:val="left"/>
      <w:pPr>
        <w:tabs>
          <w:tab w:val="num" w:pos="5100"/>
        </w:tabs>
        <w:ind w:left="5100" w:hanging="360"/>
      </w:pPr>
      <w:rPr>
        <w:rFonts w:ascii="Symbol" w:hAnsi="Symbol" w:hint="default"/>
      </w:rPr>
    </w:lvl>
    <w:lvl w:ilvl="7" w:tplc="0C090003" w:tentative="1">
      <w:start w:val="1"/>
      <w:numFmt w:val="bullet"/>
      <w:lvlText w:val="o"/>
      <w:lvlJc w:val="left"/>
      <w:pPr>
        <w:tabs>
          <w:tab w:val="num" w:pos="5820"/>
        </w:tabs>
        <w:ind w:left="5820" w:hanging="360"/>
      </w:pPr>
      <w:rPr>
        <w:rFonts w:ascii="Courier New" w:hAnsi="Courier New" w:cs="Arial" w:hint="default"/>
      </w:rPr>
    </w:lvl>
    <w:lvl w:ilvl="8" w:tplc="0C090005" w:tentative="1">
      <w:start w:val="1"/>
      <w:numFmt w:val="bullet"/>
      <w:lvlText w:val=""/>
      <w:lvlJc w:val="left"/>
      <w:pPr>
        <w:tabs>
          <w:tab w:val="num" w:pos="6540"/>
        </w:tabs>
        <w:ind w:left="6540" w:hanging="360"/>
      </w:pPr>
      <w:rPr>
        <w:rFonts w:ascii="Wingdings" w:hAnsi="Wingdings" w:hint="default"/>
      </w:rPr>
    </w:lvl>
  </w:abstractNum>
  <w:abstractNum w:abstractNumId="13" w15:restartNumberingAfterBreak="0">
    <w:nsid w:val="4D946F8A"/>
    <w:multiLevelType w:val="hybridMultilevel"/>
    <w:tmpl w:val="CA8608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Arial"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FBB747C"/>
    <w:multiLevelType w:val="hybridMultilevel"/>
    <w:tmpl w:val="11765B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Aria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Arial"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61A6243"/>
    <w:multiLevelType w:val="hybridMultilevel"/>
    <w:tmpl w:val="F0B6392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12"/>
  </w:num>
  <w:num w:numId="3">
    <w:abstractNumId w:val="8"/>
  </w:num>
  <w:num w:numId="4">
    <w:abstractNumId w:val="7"/>
  </w:num>
  <w:num w:numId="5">
    <w:abstractNumId w:val="13"/>
  </w:num>
  <w:num w:numId="6">
    <w:abstractNumId w:val="14"/>
  </w:num>
  <w:num w:numId="7">
    <w:abstractNumId w:val="10"/>
  </w:num>
  <w:num w:numId="8">
    <w:abstractNumId w:val="6"/>
  </w:num>
  <w:num w:numId="9">
    <w:abstractNumId w:val="5"/>
  </w:num>
  <w:num w:numId="10">
    <w:abstractNumId w:val="9"/>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4"/>
  </w:num>
  <w:num w:numId="14">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00"/>
  <w:drawingGridVerticalSpacing w:val="0"/>
  <w:displayHorizontalDrawingGridEvery w:val="0"/>
  <w:displayVerticalDrawingGridEvery w:val="0"/>
  <w:noPunctuationKerning/>
  <w:characterSpacingControl w:val="doNotCompress"/>
  <w:hdrShapeDefaults>
    <o:shapedefaults v:ext="edit" spidmax="28673"/>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
  <w:rsids>
    <w:rsidRoot w:val="00ED708E"/>
    <w:rsid w:val="0000126B"/>
    <w:rsid w:val="000015A2"/>
    <w:rsid w:val="000074F6"/>
    <w:rsid w:val="0000789A"/>
    <w:rsid w:val="00011555"/>
    <w:rsid w:val="000132E8"/>
    <w:rsid w:val="00016C59"/>
    <w:rsid w:val="00021E3B"/>
    <w:rsid w:val="00025472"/>
    <w:rsid w:val="00030132"/>
    <w:rsid w:val="00031E1D"/>
    <w:rsid w:val="00031F80"/>
    <w:rsid w:val="00034006"/>
    <w:rsid w:val="000419BB"/>
    <w:rsid w:val="00042D2F"/>
    <w:rsid w:val="0004597B"/>
    <w:rsid w:val="00046E00"/>
    <w:rsid w:val="00054D5E"/>
    <w:rsid w:val="0005655B"/>
    <w:rsid w:val="000568B4"/>
    <w:rsid w:val="00057148"/>
    <w:rsid w:val="00057826"/>
    <w:rsid w:val="00067805"/>
    <w:rsid w:val="00070F80"/>
    <w:rsid w:val="0007234A"/>
    <w:rsid w:val="00073B0D"/>
    <w:rsid w:val="00074E22"/>
    <w:rsid w:val="000752CE"/>
    <w:rsid w:val="00076788"/>
    <w:rsid w:val="00082C59"/>
    <w:rsid w:val="00084984"/>
    <w:rsid w:val="0008592D"/>
    <w:rsid w:val="0008748F"/>
    <w:rsid w:val="00090090"/>
    <w:rsid w:val="000939F4"/>
    <w:rsid w:val="000954DD"/>
    <w:rsid w:val="0009592E"/>
    <w:rsid w:val="00096C67"/>
    <w:rsid w:val="00097C4C"/>
    <w:rsid w:val="000A20E1"/>
    <w:rsid w:val="000B16E1"/>
    <w:rsid w:val="000B1FBD"/>
    <w:rsid w:val="000B268A"/>
    <w:rsid w:val="000C4BF1"/>
    <w:rsid w:val="000C6105"/>
    <w:rsid w:val="000C616F"/>
    <w:rsid w:val="000C721A"/>
    <w:rsid w:val="000D1849"/>
    <w:rsid w:val="000D56BC"/>
    <w:rsid w:val="000E287D"/>
    <w:rsid w:val="000E2D22"/>
    <w:rsid w:val="000E4771"/>
    <w:rsid w:val="000F02AF"/>
    <w:rsid w:val="000F4302"/>
    <w:rsid w:val="000F498E"/>
    <w:rsid w:val="000F533D"/>
    <w:rsid w:val="00100DF2"/>
    <w:rsid w:val="00102BDA"/>
    <w:rsid w:val="00104CAC"/>
    <w:rsid w:val="00113FFD"/>
    <w:rsid w:val="001143F8"/>
    <w:rsid w:val="00114C05"/>
    <w:rsid w:val="00117E3B"/>
    <w:rsid w:val="00120167"/>
    <w:rsid w:val="00121E4E"/>
    <w:rsid w:val="001261AB"/>
    <w:rsid w:val="00131CD5"/>
    <w:rsid w:val="001333F9"/>
    <w:rsid w:val="00135303"/>
    <w:rsid w:val="00137CC2"/>
    <w:rsid w:val="0014464A"/>
    <w:rsid w:val="00147227"/>
    <w:rsid w:val="001474CC"/>
    <w:rsid w:val="0015154B"/>
    <w:rsid w:val="0015393E"/>
    <w:rsid w:val="0016151A"/>
    <w:rsid w:val="00161F4C"/>
    <w:rsid w:val="001623D5"/>
    <w:rsid w:val="001635A1"/>
    <w:rsid w:val="00163D6A"/>
    <w:rsid w:val="001664E6"/>
    <w:rsid w:val="00170655"/>
    <w:rsid w:val="00174070"/>
    <w:rsid w:val="00174231"/>
    <w:rsid w:val="00180668"/>
    <w:rsid w:val="00180CEA"/>
    <w:rsid w:val="00181E47"/>
    <w:rsid w:val="00185A97"/>
    <w:rsid w:val="001864A4"/>
    <w:rsid w:val="001914F6"/>
    <w:rsid w:val="001A27D1"/>
    <w:rsid w:val="001A2AC7"/>
    <w:rsid w:val="001A2AF3"/>
    <w:rsid w:val="001A3D30"/>
    <w:rsid w:val="001B4117"/>
    <w:rsid w:val="001C3CE2"/>
    <w:rsid w:val="001C7681"/>
    <w:rsid w:val="001D07C4"/>
    <w:rsid w:val="001D13E7"/>
    <w:rsid w:val="001D4386"/>
    <w:rsid w:val="001F0C38"/>
    <w:rsid w:val="001F2200"/>
    <w:rsid w:val="001F3B80"/>
    <w:rsid w:val="001F41BF"/>
    <w:rsid w:val="001F6452"/>
    <w:rsid w:val="0020106F"/>
    <w:rsid w:val="002102B5"/>
    <w:rsid w:val="00210C99"/>
    <w:rsid w:val="00211D3A"/>
    <w:rsid w:val="002135CD"/>
    <w:rsid w:val="00213D18"/>
    <w:rsid w:val="00214664"/>
    <w:rsid w:val="002149E0"/>
    <w:rsid w:val="0023193D"/>
    <w:rsid w:val="002322C7"/>
    <w:rsid w:val="002423D5"/>
    <w:rsid w:val="00242BDE"/>
    <w:rsid w:val="00246C7C"/>
    <w:rsid w:val="00253157"/>
    <w:rsid w:val="00262E7B"/>
    <w:rsid w:val="002636CA"/>
    <w:rsid w:val="00263F4C"/>
    <w:rsid w:val="00264A9E"/>
    <w:rsid w:val="002841B9"/>
    <w:rsid w:val="002A2C08"/>
    <w:rsid w:val="002B6652"/>
    <w:rsid w:val="002C0C54"/>
    <w:rsid w:val="002C41D0"/>
    <w:rsid w:val="002D19E6"/>
    <w:rsid w:val="002D592A"/>
    <w:rsid w:val="002D5A1C"/>
    <w:rsid w:val="002D6AEC"/>
    <w:rsid w:val="002E0727"/>
    <w:rsid w:val="002E3888"/>
    <w:rsid w:val="002E3D51"/>
    <w:rsid w:val="002F4018"/>
    <w:rsid w:val="002F6C18"/>
    <w:rsid w:val="002F724D"/>
    <w:rsid w:val="0030002F"/>
    <w:rsid w:val="0030115F"/>
    <w:rsid w:val="00302352"/>
    <w:rsid w:val="003028C1"/>
    <w:rsid w:val="00302BCD"/>
    <w:rsid w:val="003038E1"/>
    <w:rsid w:val="0030520E"/>
    <w:rsid w:val="00305F3B"/>
    <w:rsid w:val="00310D3A"/>
    <w:rsid w:val="00311AFA"/>
    <w:rsid w:val="00316733"/>
    <w:rsid w:val="00320117"/>
    <w:rsid w:val="00333024"/>
    <w:rsid w:val="003336F3"/>
    <w:rsid w:val="003359DF"/>
    <w:rsid w:val="00337CDB"/>
    <w:rsid w:val="0035345D"/>
    <w:rsid w:val="003571E0"/>
    <w:rsid w:val="00357998"/>
    <w:rsid w:val="00357CF8"/>
    <w:rsid w:val="00357E1F"/>
    <w:rsid w:val="00361324"/>
    <w:rsid w:val="0036469F"/>
    <w:rsid w:val="00372274"/>
    <w:rsid w:val="00375C2C"/>
    <w:rsid w:val="00380139"/>
    <w:rsid w:val="00387DCA"/>
    <w:rsid w:val="003937ED"/>
    <w:rsid w:val="003945B9"/>
    <w:rsid w:val="003A48A2"/>
    <w:rsid w:val="003B3F4F"/>
    <w:rsid w:val="003B4520"/>
    <w:rsid w:val="003B65F0"/>
    <w:rsid w:val="003C638C"/>
    <w:rsid w:val="003D02F2"/>
    <w:rsid w:val="003D036B"/>
    <w:rsid w:val="003D4669"/>
    <w:rsid w:val="003D55CC"/>
    <w:rsid w:val="003D6923"/>
    <w:rsid w:val="003E5D9F"/>
    <w:rsid w:val="003F0976"/>
    <w:rsid w:val="003F3EDE"/>
    <w:rsid w:val="003F5093"/>
    <w:rsid w:val="00401B5D"/>
    <w:rsid w:val="00402FB7"/>
    <w:rsid w:val="00403ABC"/>
    <w:rsid w:val="00405E91"/>
    <w:rsid w:val="00407FCE"/>
    <w:rsid w:val="00412AEA"/>
    <w:rsid w:val="00416D47"/>
    <w:rsid w:val="00422639"/>
    <w:rsid w:val="00422A99"/>
    <w:rsid w:val="0043116C"/>
    <w:rsid w:val="004357C8"/>
    <w:rsid w:val="00444D53"/>
    <w:rsid w:val="004469DB"/>
    <w:rsid w:val="004531E2"/>
    <w:rsid w:val="00461D5E"/>
    <w:rsid w:val="004641CB"/>
    <w:rsid w:val="004642A0"/>
    <w:rsid w:val="00467BAF"/>
    <w:rsid w:val="004734C3"/>
    <w:rsid w:val="0047384C"/>
    <w:rsid w:val="00482BEF"/>
    <w:rsid w:val="0049254F"/>
    <w:rsid w:val="004A380C"/>
    <w:rsid w:val="004A6FC1"/>
    <w:rsid w:val="004B053D"/>
    <w:rsid w:val="004B212F"/>
    <w:rsid w:val="004B5E1E"/>
    <w:rsid w:val="004B6D46"/>
    <w:rsid w:val="004B7A7B"/>
    <w:rsid w:val="004B7F05"/>
    <w:rsid w:val="004C0DEF"/>
    <w:rsid w:val="004D1B9A"/>
    <w:rsid w:val="004D580F"/>
    <w:rsid w:val="004D6468"/>
    <w:rsid w:val="004F20BF"/>
    <w:rsid w:val="004F5948"/>
    <w:rsid w:val="004F6196"/>
    <w:rsid w:val="00501F4F"/>
    <w:rsid w:val="0050405F"/>
    <w:rsid w:val="00505494"/>
    <w:rsid w:val="005056B7"/>
    <w:rsid w:val="00510DCA"/>
    <w:rsid w:val="00512E03"/>
    <w:rsid w:val="00514012"/>
    <w:rsid w:val="005237AD"/>
    <w:rsid w:val="00526153"/>
    <w:rsid w:val="00532F7A"/>
    <w:rsid w:val="005362A8"/>
    <w:rsid w:val="00542125"/>
    <w:rsid w:val="005439C7"/>
    <w:rsid w:val="005452FB"/>
    <w:rsid w:val="005576EE"/>
    <w:rsid w:val="00566C7B"/>
    <w:rsid w:val="00570FED"/>
    <w:rsid w:val="00573AA2"/>
    <w:rsid w:val="00575C21"/>
    <w:rsid w:val="005770D9"/>
    <w:rsid w:val="00581D90"/>
    <w:rsid w:val="00582842"/>
    <w:rsid w:val="00592032"/>
    <w:rsid w:val="005939D5"/>
    <w:rsid w:val="00596A94"/>
    <w:rsid w:val="0059762E"/>
    <w:rsid w:val="00597735"/>
    <w:rsid w:val="005A1E77"/>
    <w:rsid w:val="005A28A4"/>
    <w:rsid w:val="005A3576"/>
    <w:rsid w:val="005A4B60"/>
    <w:rsid w:val="005A5119"/>
    <w:rsid w:val="005B38B4"/>
    <w:rsid w:val="005B3E06"/>
    <w:rsid w:val="005B70F9"/>
    <w:rsid w:val="005C248D"/>
    <w:rsid w:val="005C3C93"/>
    <w:rsid w:val="005C75D1"/>
    <w:rsid w:val="005D0695"/>
    <w:rsid w:val="005D0B97"/>
    <w:rsid w:val="005D3BF4"/>
    <w:rsid w:val="005D589F"/>
    <w:rsid w:val="005D6ED1"/>
    <w:rsid w:val="005E0DDB"/>
    <w:rsid w:val="005E1CAF"/>
    <w:rsid w:val="005E1D3D"/>
    <w:rsid w:val="005E27AB"/>
    <w:rsid w:val="005E48D3"/>
    <w:rsid w:val="005E5579"/>
    <w:rsid w:val="005F4FD9"/>
    <w:rsid w:val="005F5567"/>
    <w:rsid w:val="005F5C16"/>
    <w:rsid w:val="005F5E00"/>
    <w:rsid w:val="005F5E48"/>
    <w:rsid w:val="005F7F28"/>
    <w:rsid w:val="006000B5"/>
    <w:rsid w:val="00600241"/>
    <w:rsid w:val="00605095"/>
    <w:rsid w:val="006063E3"/>
    <w:rsid w:val="00610350"/>
    <w:rsid w:val="0061046D"/>
    <w:rsid w:val="00614970"/>
    <w:rsid w:val="006175BB"/>
    <w:rsid w:val="006225F4"/>
    <w:rsid w:val="0062462F"/>
    <w:rsid w:val="0062698C"/>
    <w:rsid w:val="00627EA2"/>
    <w:rsid w:val="00650E9C"/>
    <w:rsid w:val="00654240"/>
    <w:rsid w:val="006542B6"/>
    <w:rsid w:val="00657C9E"/>
    <w:rsid w:val="00670C16"/>
    <w:rsid w:val="00671F1F"/>
    <w:rsid w:val="0067473D"/>
    <w:rsid w:val="00677F3D"/>
    <w:rsid w:val="00684613"/>
    <w:rsid w:val="006857CD"/>
    <w:rsid w:val="00694E7D"/>
    <w:rsid w:val="006A385C"/>
    <w:rsid w:val="006A39F4"/>
    <w:rsid w:val="006A7F5D"/>
    <w:rsid w:val="006B13AF"/>
    <w:rsid w:val="006B6AB9"/>
    <w:rsid w:val="006C509D"/>
    <w:rsid w:val="006C7D8F"/>
    <w:rsid w:val="006D0F97"/>
    <w:rsid w:val="006D1B34"/>
    <w:rsid w:val="006D2755"/>
    <w:rsid w:val="006D28E3"/>
    <w:rsid w:val="006D2A47"/>
    <w:rsid w:val="006D3533"/>
    <w:rsid w:val="006D45A6"/>
    <w:rsid w:val="006E0E25"/>
    <w:rsid w:val="006E253A"/>
    <w:rsid w:val="006E4170"/>
    <w:rsid w:val="006E6364"/>
    <w:rsid w:val="006E7823"/>
    <w:rsid w:val="006E7A7F"/>
    <w:rsid w:val="006E7E67"/>
    <w:rsid w:val="006F47E3"/>
    <w:rsid w:val="006F6829"/>
    <w:rsid w:val="00702796"/>
    <w:rsid w:val="00711143"/>
    <w:rsid w:val="007111FD"/>
    <w:rsid w:val="00712A23"/>
    <w:rsid w:val="007157D6"/>
    <w:rsid w:val="00720475"/>
    <w:rsid w:val="00726DAF"/>
    <w:rsid w:val="00732603"/>
    <w:rsid w:val="0073456F"/>
    <w:rsid w:val="00740E9A"/>
    <w:rsid w:val="00741C20"/>
    <w:rsid w:val="00744A6C"/>
    <w:rsid w:val="0074755C"/>
    <w:rsid w:val="0075587D"/>
    <w:rsid w:val="00755C60"/>
    <w:rsid w:val="007571E5"/>
    <w:rsid w:val="00757205"/>
    <w:rsid w:val="00757C47"/>
    <w:rsid w:val="007649B5"/>
    <w:rsid w:val="00764CB2"/>
    <w:rsid w:val="00766462"/>
    <w:rsid w:val="00776151"/>
    <w:rsid w:val="007A2C4A"/>
    <w:rsid w:val="007B3A62"/>
    <w:rsid w:val="007B53F4"/>
    <w:rsid w:val="007C13D4"/>
    <w:rsid w:val="007C2D51"/>
    <w:rsid w:val="007C5B48"/>
    <w:rsid w:val="007D227E"/>
    <w:rsid w:val="007D29E8"/>
    <w:rsid w:val="007D406A"/>
    <w:rsid w:val="007D5ECA"/>
    <w:rsid w:val="007D699B"/>
    <w:rsid w:val="007E12F9"/>
    <w:rsid w:val="007E2605"/>
    <w:rsid w:val="007E603F"/>
    <w:rsid w:val="007E673E"/>
    <w:rsid w:val="007F0916"/>
    <w:rsid w:val="00803391"/>
    <w:rsid w:val="008071CC"/>
    <w:rsid w:val="00810464"/>
    <w:rsid w:val="00811B24"/>
    <w:rsid w:val="008142B9"/>
    <w:rsid w:val="0082386F"/>
    <w:rsid w:val="00825BD5"/>
    <w:rsid w:val="008275C8"/>
    <w:rsid w:val="00831B9C"/>
    <w:rsid w:val="00833A20"/>
    <w:rsid w:val="0083770D"/>
    <w:rsid w:val="00841AD5"/>
    <w:rsid w:val="00853069"/>
    <w:rsid w:val="008530B2"/>
    <w:rsid w:val="00853288"/>
    <w:rsid w:val="008543B7"/>
    <w:rsid w:val="00854990"/>
    <w:rsid w:val="00855FAA"/>
    <w:rsid w:val="00856DAC"/>
    <w:rsid w:val="008607A5"/>
    <w:rsid w:val="008612CE"/>
    <w:rsid w:val="00861CD2"/>
    <w:rsid w:val="00862563"/>
    <w:rsid w:val="00865B45"/>
    <w:rsid w:val="00870C0F"/>
    <w:rsid w:val="00872B0C"/>
    <w:rsid w:val="00881BA7"/>
    <w:rsid w:val="008821B4"/>
    <w:rsid w:val="00890318"/>
    <w:rsid w:val="00890404"/>
    <w:rsid w:val="008926BC"/>
    <w:rsid w:val="0089506A"/>
    <w:rsid w:val="00897AF5"/>
    <w:rsid w:val="008A6BBA"/>
    <w:rsid w:val="008B09B8"/>
    <w:rsid w:val="008B2111"/>
    <w:rsid w:val="008B33C4"/>
    <w:rsid w:val="008B5281"/>
    <w:rsid w:val="008B7245"/>
    <w:rsid w:val="008C25F0"/>
    <w:rsid w:val="008D0E23"/>
    <w:rsid w:val="008D3732"/>
    <w:rsid w:val="008D6507"/>
    <w:rsid w:val="008E02F4"/>
    <w:rsid w:val="008E4ECC"/>
    <w:rsid w:val="008F1FCB"/>
    <w:rsid w:val="008F7348"/>
    <w:rsid w:val="00900FBF"/>
    <w:rsid w:val="00903143"/>
    <w:rsid w:val="0090526E"/>
    <w:rsid w:val="00905869"/>
    <w:rsid w:val="009068DF"/>
    <w:rsid w:val="00906DB2"/>
    <w:rsid w:val="009211E6"/>
    <w:rsid w:val="00922125"/>
    <w:rsid w:val="00922A2F"/>
    <w:rsid w:val="009233C4"/>
    <w:rsid w:val="009328C5"/>
    <w:rsid w:val="00933122"/>
    <w:rsid w:val="009409D1"/>
    <w:rsid w:val="009426C4"/>
    <w:rsid w:val="00945990"/>
    <w:rsid w:val="00946AA8"/>
    <w:rsid w:val="00947084"/>
    <w:rsid w:val="0095417A"/>
    <w:rsid w:val="00954BB6"/>
    <w:rsid w:val="00956470"/>
    <w:rsid w:val="009576CA"/>
    <w:rsid w:val="009576EC"/>
    <w:rsid w:val="009601F6"/>
    <w:rsid w:val="00961171"/>
    <w:rsid w:val="0096659B"/>
    <w:rsid w:val="00966B82"/>
    <w:rsid w:val="009779A3"/>
    <w:rsid w:val="00981EE3"/>
    <w:rsid w:val="00986995"/>
    <w:rsid w:val="00992C88"/>
    <w:rsid w:val="00997978"/>
    <w:rsid w:val="009A66CF"/>
    <w:rsid w:val="009A71F5"/>
    <w:rsid w:val="009B0327"/>
    <w:rsid w:val="009B3AC4"/>
    <w:rsid w:val="009B578C"/>
    <w:rsid w:val="009B6444"/>
    <w:rsid w:val="009B7338"/>
    <w:rsid w:val="009C01A2"/>
    <w:rsid w:val="009C0BBA"/>
    <w:rsid w:val="009C1878"/>
    <w:rsid w:val="009C1AFB"/>
    <w:rsid w:val="009C2879"/>
    <w:rsid w:val="009C35ED"/>
    <w:rsid w:val="009C3996"/>
    <w:rsid w:val="009C5C2E"/>
    <w:rsid w:val="009D4A66"/>
    <w:rsid w:val="009D666D"/>
    <w:rsid w:val="009E42D6"/>
    <w:rsid w:val="009E6D6E"/>
    <w:rsid w:val="009F446F"/>
    <w:rsid w:val="00A001C0"/>
    <w:rsid w:val="00A043BA"/>
    <w:rsid w:val="00A047BF"/>
    <w:rsid w:val="00A0734D"/>
    <w:rsid w:val="00A11985"/>
    <w:rsid w:val="00A12681"/>
    <w:rsid w:val="00A12D71"/>
    <w:rsid w:val="00A1363D"/>
    <w:rsid w:val="00A13F85"/>
    <w:rsid w:val="00A23772"/>
    <w:rsid w:val="00A24F55"/>
    <w:rsid w:val="00A40DC0"/>
    <w:rsid w:val="00A52904"/>
    <w:rsid w:val="00A53835"/>
    <w:rsid w:val="00A60683"/>
    <w:rsid w:val="00A61657"/>
    <w:rsid w:val="00A617B6"/>
    <w:rsid w:val="00A642D8"/>
    <w:rsid w:val="00A67DFB"/>
    <w:rsid w:val="00A771B4"/>
    <w:rsid w:val="00A821C6"/>
    <w:rsid w:val="00A85112"/>
    <w:rsid w:val="00A8793B"/>
    <w:rsid w:val="00A95D59"/>
    <w:rsid w:val="00A96F10"/>
    <w:rsid w:val="00AA13A5"/>
    <w:rsid w:val="00AA22FA"/>
    <w:rsid w:val="00AA5A8A"/>
    <w:rsid w:val="00AA721B"/>
    <w:rsid w:val="00AB2FBE"/>
    <w:rsid w:val="00AC34E6"/>
    <w:rsid w:val="00AC5273"/>
    <w:rsid w:val="00AC5C38"/>
    <w:rsid w:val="00AC7231"/>
    <w:rsid w:val="00AC7CD6"/>
    <w:rsid w:val="00AD0B69"/>
    <w:rsid w:val="00AD3F65"/>
    <w:rsid w:val="00AD4DBD"/>
    <w:rsid w:val="00AD58BF"/>
    <w:rsid w:val="00AD595C"/>
    <w:rsid w:val="00AD632F"/>
    <w:rsid w:val="00AD76B9"/>
    <w:rsid w:val="00AD7D39"/>
    <w:rsid w:val="00AE2090"/>
    <w:rsid w:val="00AE29DD"/>
    <w:rsid w:val="00AF4AB2"/>
    <w:rsid w:val="00AF627C"/>
    <w:rsid w:val="00AF7696"/>
    <w:rsid w:val="00AF7E8E"/>
    <w:rsid w:val="00B03467"/>
    <w:rsid w:val="00B06679"/>
    <w:rsid w:val="00B07ECD"/>
    <w:rsid w:val="00B20F2F"/>
    <w:rsid w:val="00B25E33"/>
    <w:rsid w:val="00B27ACC"/>
    <w:rsid w:val="00B343C8"/>
    <w:rsid w:val="00B357FD"/>
    <w:rsid w:val="00B37A71"/>
    <w:rsid w:val="00B413D0"/>
    <w:rsid w:val="00B41BA4"/>
    <w:rsid w:val="00B42DC6"/>
    <w:rsid w:val="00B45F9B"/>
    <w:rsid w:val="00B46954"/>
    <w:rsid w:val="00B47031"/>
    <w:rsid w:val="00B51768"/>
    <w:rsid w:val="00B57B0B"/>
    <w:rsid w:val="00B611F8"/>
    <w:rsid w:val="00B64448"/>
    <w:rsid w:val="00B66642"/>
    <w:rsid w:val="00B718C6"/>
    <w:rsid w:val="00B719D6"/>
    <w:rsid w:val="00B7282F"/>
    <w:rsid w:val="00B7510E"/>
    <w:rsid w:val="00B7587C"/>
    <w:rsid w:val="00B76483"/>
    <w:rsid w:val="00B812AE"/>
    <w:rsid w:val="00B877B2"/>
    <w:rsid w:val="00B90D65"/>
    <w:rsid w:val="00B91197"/>
    <w:rsid w:val="00BA1A2F"/>
    <w:rsid w:val="00BA2DEA"/>
    <w:rsid w:val="00BA5E8F"/>
    <w:rsid w:val="00BA63A6"/>
    <w:rsid w:val="00BB0725"/>
    <w:rsid w:val="00BB73F9"/>
    <w:rsid w:val="00BD5832"/>
    <w:rsid w:val="00BD6DE6"/>
    <w:rsid w:val="00BD7056"/>
    <w:rsid w:val="00BE1A5B"/>
    <w:rsid w:val="00BF0748"/>
    <w:rsid w:val="00BF0D74"/>
    <w:rsid w:val="00BF1EB4"/>
    <w:rsid w:val="00C036ED"/>
    <w:rsid w:val="00C049F7"/>
    <w:rsid w:val="00C056E6"/>
    <w:rsid w:val="00C12CA1"/>
    <w:rsid w:val="00C14534"/>
    <w:rsid w:val="00C25744"/>
    <w:rsid w:val="00C30369"/>
    <w:rsid w:val="00C33C2B"/>
    <w:rsid w:val="00C4199F"/>
    <w:rsid w:val="00C41B84"/>
    <w:rsid w:val="00C55D9C"/>
    <w:rsid w:val="00C73E3D"/>
    <w:rsid w:val="00C76145"/>
    <w:rsid w:val="00C80BD6"/>
    <w:rsid w:val="00C82ADC"/>
    <w:rsid w:val="00C873F1"/>
    <w:rsid w:val="00C95248"/>
    <w:rsid w:val="00CA2D13"/>
    <w:rsid w:val="00CB6775"/>
    <w:rsid w:val="00CC0A95"/>
    <w:rsid w:val="00CC36C5"/>
    <w:rsid w:val="00CC5E78"/>
    <w:rsid w:val="00CC65AA"/>
    <w:rsid w:val="00CD4A62"/>
    <w:rsid w:val="00CE09DA"/>
    <w:rsid w:val="00CE1DCE"/>
    <w:rsid w:val="00CE2217"/>
    <w:rsid w:val="00CE35B5"/>
    <w:rsid w:val="00CE3BC1"/>
    <w:rsid w:val="00CF011C"/>
    <w:rsid w:val="00CF5328"/>
    <w:rsid w:val="00D012FE"/>
    <w:rsid w:val="00D1238E"/>
    <w:rsid w:val="00D147E8"/>
    <w:rsid w:val="00D3056B"/>
    <w:rsid w:val="00D32AD9"/>
    <w:rsid w:val="00D4070C"/>
    <w:rsid w:val="00D418E3"/>
    <w:rsid w:val="00D43626"/>
    <w:rsid w:val="00D4440F"/>
    <w:rsid w:val="00D46626"/>
    <w:rsid w:val="00D54911"/>
    <w:rsid w:val="00D557D4"/>
    <w:rsid w:val="00D56220"/>
    <w:rsid w:val="00D608FD"/>
    <w:rsid w:val="00D701CA"/>
    <w:rsid w:val="00D71141"/>
    <w:rsid w:val="00D716F2"/>
    <w:rsid w:val="00D7200A"/>
    <w:rsid w:val="00D844ED"/>
    <w:rsid w:val="00D85B7F"/>
    <w:rsid w:val="00D8755A"/>
    <w:rsid w:val="00D87CBD"/>
    <w:rsid w:val="00D90CF0"/>
    <w:rsid w:val="00D9330D"/>
    <w:rsid w:val="00D970C6"/>
    <w:rsid w:val="00DA23BC"/>
    <w:rsid w:val="00DA2913"/>
    <w:rsid w:val="00DA3427"/>
    <w:rsid w:val="00DA3A9B"/>
    <w:rsid w:val="00DA4A82"/>
    <w:rsid w:val="00DA6F0C"/>
    <w:rsid w:val="00DB3B63"/>
    <w:rsid w:val="00DB704D"/>
    <w:rsid w:val="00DC20E9"/>
    <w:rsid w:val="00DC2E0D"/>
    <w:rsid w:val="00DD405E"/>
    <w:rsid w:val="00DD7511"/>
    <w:rsid w:val="00DE643D"/>
    <w:rsid w:val="00DE689E"/>
    <w:rsid w:val="00DF4FD1"/>
    <w:rsid w:val="00DF5661"/>
    <w:rsid w:val="00E0275C"/>
    <w:rsid w:val="00E04E54"/>
    <w:rsid w:val="00E068D3"/>
    <w:rsid w:val="00E11E0B"/>
    <w:rsid w:val="00E269DB"/>
    <w:rsid w:val="00E2747E"/>
    <w:rsid w:val="00E27780"/>
    <w:rsid w:val="00E30984"/>
    <w:rsid w:val="00E34627"/>
    <w:rsid w:val="00E3637E"/>
    <w:rsid w:val="00E364F5"/>
    <w:rsid w:val="00E403F3"/>
    <w:rsid w:val="00E41990"/>
    <w:rsid w:val="00E44314"/>
    <w:rsid w:val="00E52D75"/>
    <w:rsid w:val="00E54D14"/>
    <w:rsid w:val="00E57C8E"/>
    <w:rsid w:val="00E614E2"/>
    <w:rsid w:val="00E61FDC"/>
    <w:rsid w:val="00E674AC"/>
    <w:rsid w:val="00E71540"/>
    <w:rsid w:val="00E76A40"/>
    <w:rsid w:val="00E77552"/>
    <w:rsid w:val="00E80BD4"/>
    <w:rsid w:val="00E85B71"/>
    <w:rsid w:val="00E85F16"/>
    <w:rsid w:val="00E87AFC"/>
    <w:rsid w:val="00E92101"/>
    <w:rsid w:val="00E92EEC"/>
    <w:rsid w:val="00E93EE4"/>
    <w:rsid w:val="00E958BF"/>
    <w:rsid w:val="00E95F48"/>
    <w:rsid w:val="00E967D7"/>
    <w:rsid w:val="00EA118E"/>
    <w:rsid w:val="00EA45D9"/>
    <w:rsid w:val="00EA595A"/>
    <w:rsid w:val="00EB0BB4"/>
    <w:rsid w:val="00EB4330"/>
    <w:rsid w:val="00EB4CDE"/>
    <w:rsid w:val="00EC0A85"/>
    <w:rsid w:val="00EC372E"/>
    <w:rsid w:val="00EC641E"/>
    <w:rsid w:val="00ED3D7A"/>
    <w:rsid w:val="00ED7040"/>
    <w:rsid w:val="00ED708E"/>
    <w:rsid w:val="00ED7401"/>
    <w:rsid w:val="00EE1620"/>
    <w:rsid w:val="00EE1AF5"/>
    <w:rsid w:val="00EE239E"/>
    <w:rsid w:val="00EE3EB0"/>
    <w:rsid w:val="00EF0EB1"/>
    <w:rsid w:val="00EF118B"/>
    <w:rsid w:val="00EF1661"/>
    <w:rsid w:val="00EF1CC3"/>
    <w:rsid w:val="00EF412D"/>
    <w:rsid w:val="00EF504A"/>
    <w:rsid w:val="00EF6EE5"/>
    <w:rsid w:val="00EF75D7"/>
    <w:rsid w:val="00EF77AC"/>
    <w:rsid w:val="00EF790D"/>
    <w:rsid w:val="00F017D9"/>
    <w:rsid w:val="00F0705E"/>
    <w:rsid w:val="00F0750C"/>
    <w:rsid w:val="00F10A39"/>
    <w:rsid w:val="00F11EEC"/>
    <w:rsid w:val="00F12B87"/>
    <w:rsid w:val="00F14E5D"/>
    <w:rsid w:val="00F16677"/>
    <w:rsid w:val="00F220BC"/>
    <w:rsid w:val="00F22AD9"/>
    <w:rsid w:val="00F2319C"/>
    <w:rsid w:val="00F26560"/>
    <w:rsid w:val="00F31635"/>
    <w:rsid w:val="00F327AB"/>
    <w:rsid w:val="00F364C6"/>
    <w:rsid w:val="00F420A0"/>
    <w:rsid w:val="00F42927"/>
    <w:rsid w:val="00F43271"/>
    <w:rsid w:val="00F4339A"/>
    <w:rsid w:val="00F46235"/>
    <w:rsid w:val="00F50C91"/>
    <w:rsid w:val="00F5724A"/>
    <w:rsid w:val="00F6393F"/>
    <w:rsid w:val="00F70483"/>
    <w:rsid w:val="00F706C8"/>
    <w:rsid w:val="00F730D4"/>
    <w:rsid w:val="00F73944"/>
    <w:rsid w:val="00F765FD"/>
    <w:rsid w:val="00F778B8"/>
    <w:rsid w:val="00F83563"/>
    <w:rsid w:val="00F83ED0"/>
    <w:rsid w:val="00F8427D"/>
    <w:rsid w:val="00F8428B"/>
    <w:rsid w:val="00FA53DE"/>
    <w:rsid w:val="00FA6AA6"/>
    <w:rsid w:val="00FB2091"/>
    <w:rsid w:val="00FB73CE"/>
    <w:rsid w:val="00FC1E5D"/>
    <w:rsid w:val="00FC30A7"/>
    <w:rsid w:val="00FD0690"/>
    <w:rsid w:val="00FD14FE"/>
    <w:rsid w:val="00FD7444"/>
    <w:rsid w:val="00FD7BE8"/>
    <w:rsid w:val="00FE70DA"/>
    <w:rsid w:val="00FF1924"/>
    <w:rsid w:val="00FF2EF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5:docId w15:val="{FE1FB16B-2B9C-47B8-80F9-92B6DE2C7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BF5"/>
    <w:pPr>
      <w:suppressAutoHyphens/>
    </w:pPr>
    <w:rPr>
      <w:lang w:val="en-GB" w:eastAsia="ar-SA"/>
    </w:rPr>
  </w:style>
  <w:style w:type="paragraph" w:styleId="Heading1">
    <w:name w:val="heading 1"/>
    <w:basedOn w:val="Normal"/>
    <w:next w:val="Normal"/>
    <w:qFormat/>
    <w:rsid w:val="00EA45D9"/>
    <w:pPr>
      <w:keepNext/>
      <w:numPr>
        <w:numId w:val="1"/>
      </w:numPr>
      <w:jc w:val="both"/>
      <w:outlineLvl w:val="0"/>
    </w:pPr>
    <w:rPr>
      <w:i/>
      <w:sz w:val="23"/>
    </w:rPr>
  </w:style>
  <w:style w:type="paragraph" w:styleId="Heading2">
    <w:name w:val="heading 2"/>
    <w:basedOn w:val="Normal"/>
    <w:next w:val="Normal"/>
    <w:qFormat/>
    <w:rsid w:val="00EA45D9"/>
    <w:pPr>
      <w:keepNext/>
      <w:numPr>
        <w:ilvl w:val="1"/>
        <w:numId w:val="1"/>
      </w:numPr>
      <w:jc w:val="both"/>
      <w:outlineLvl w:val="1"/>
    </w:pPr>
    <w:rPr>
      <w:b/>
      <w:i/>
    </w:rPr>
  </w:style>
  <w:style w:type="paragraph" w:styleId="Heading3">
    <w:name w:val="heading 3"/>
    <w:basedOn w:val="Normal"/>
    <w:next w:val="Normal"/>
    <w:qFormat/>
    <w:rsid w:val="00EA45D9"/>
    <w:pPr>
      <w:keepNext/>
      <w:numPr>
        <w:ilvl w:val="2"/>
        <w:numId w:val="1"/>
      </w:numPr>
      <w:jc w:val="right"/>
      <w:outlineLvl w:val="2"/>
    </w:pPr>
    <w:rPr>
      <w:b/>
    </w:rPr>
  </w:style>
  <w:style w:type="paragraph" w:styleId="Heading4">
    <w:name w:val="heading 4"/>
    <w:basedOn w:val="Normal"/>
    <w:next w:val="Normal"/>
    <w:qFormat/>
    <w:rsid w:val="00EA45D9"/>
    <w:pPr>
      <w:keepNext/>
      <w:numPr>
        <w:ilvl w:val="3"/>
        <w:numId w:val="1"/>
      </w:numPr>
      <w:jc w:val="right"/>
      <w:outlineLvl w:val="3"/>
    </w:pPr>
    <w:rPr>
      <w:rFonts w:ascii="Book Antiqua" w:hAnsi="Book Antiqua"/>
      <w:b/>
      <w:i/>
      <w:sz w:val="32"/>
    </w:rPr>
  </w:style>
  <w:style w:type="paragraph" w:styleId="Heading5">
    <w:name w:val="heading 5"/>
    <w:basedOn w:val="Normal"/>
    <w:next w:val="Normal"/>
    <w:qFormat/>
    <w:rsid w:val="00EA45D9"/>
    <w:pPr>
      <w:keepNext/>
      <w:numPr>
        <w:ilvl w:val="4"/>
        <w:numId w:val="1"/>
      </w:numPr>
      <w:spacing w:after="120"/>
      <w:jc w:val="both"/>
      <w:outlineLvl w:val="4"/>
    </w:pPr>
    <w:rPr>
      <w:b/>
      <w:bCs/>
      <w:sz w:val="22"/>
    </w:rPr>
  </w:style>
  <w:style w:type="paragraph" w:styleId="Heading6">
    <w:name w:val="heading 6"/>
    <w:basedOn w:val="Normal"/>
    <w:next w:val="Normal"/>
    <w:qFormat/>
    <w:rsid w:val="00EA45D9"/>
    <w:pPr>
      <w:keepNext/>
      <w:numPr>
        <w:ilvl w:val="5"/>
        <w:numId w:val="1"/>
      </w:numPr>
      <w:spacing w:after="120"/>
      <w:jc w:val="both"/>
      <w:outlineLvl w:val="5"/>
    </w:pPr>
    <w:rPr>
      <w:b/>
      <w:bCs/>
      <w:i/>
      <w:iCs/>
      <w:sz w:val="22"/>
    </w:rPr>
  </w:style>
  <w:style w:type="paragraph" w:styleId="Heading7">
    <w:name w:val="heading 7"/>
    <w:basedOn w:val="Normal"/>
    <w:next w:val="Normal"/>
    <w:qFormat/>
    <w:rsid w:val="00EA45D9"/>
    <w:pPr>
      <w:keepNext/>
      <w:numPr>
        <w:ilvl w:val="6"/>
        <w:numId w:val="1"/>
      </w:numPr>
      <w:spacing w:after="120"/>
      <w:jc w:val="both"/>
      <w:outlineLvl w:val="6"/>
    </w:pPr>
    <w:rPr>
      <w:b/>
      <w:sz w:val="22"/>
      <w:u w:val="single"/>
    </w:rPr>
  </w:style>
  <w:style w:type="paragraph" w:styleId="Heading8">
    <w:name w:val="heading 8"/>
    <w:basedOn w:val="Normal"/>
    <w:next w:val="Normal"/>
    <w:qFormat/>
    <w:rsid w:val="00EA45D9"/>
    <w:pPr>
      <w:keepNext/>
      <w:numPr>
        <w:ilvl w:val="7"/>
        <w:numId w:val="1"/>
      </w:numPr>
      <w:jc w:val="center"/>
      <w:outlineLvl w:val="7"/>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EA45D9"/>
    <w:rPr>
      <w:rFonts w:ascii="Symbol" w:hAnsi="Symbol"/>
    </w:rPr>
  </w:style>
  <w:style w:type="character" w:customStyle="1" w:styleId="WW8Num3z0">
    <w:name w:val="WW8Num3z0"/>
    <w:rsid w:val="00EA45D9"/>
    <w:rPr>
      <w:rFonts w:ascii="Symbol" w:hAnsi="Symbol"/>
    </w:rPr>
  </w:style>
  <w:style w:type="character" w:customStyle="1" w:styleId="WW8Num4z0">
    <w:name w:val="WW8Num4z0"/>
    <w:rsid w:val="00EA45D9"/>
    <w:rPr>
      <w:rFonts w:ascii="Symbol" w:hAnsi="Symbol"/>
    </w:rPr>
  </w:style>
  <w:style w:type="character" w:customStyle="1" w:styleId="WW8Num3z1">
    <w:name w:val="WW8Num3z1"/>
    <w:rsid w:val="00EA45D9"/>
    <w:rPr>
      <w:rFonts w:ascii="Courier New" w:hAnsi="Courier New"/>
    </w:rPr>
  </w:style>
  <w:style w:type="character" w:customStyle="1" w:styleId="WW8Num3z2">
    <w:name w:val="WW8Num3z2"/>
    <w:rsid w:val="00EA45D9"/>
    <w:rPr>
      <w:rFonts w:ascii="Wingdings" w:hAnsi="Wingdings"/>
    </w:rPr>
  </w:style>
  <w:style w:type="character" w:customStyle="1" w:styleId="WW8Num4z1">
    <w:name w:val="WW8Num4z1"/>
    <w:rsid w:val="00EA45D9"/>
    <w:rPr>
      <w:rFonts w:ascii="Courier New" w:hAnsi="Courier New"/>
    </w:rPr>
  </w:style>
  <w:style w:type="character" w:customStyle="1" w:styleId="WW8Num4z2">
    <w:name w:val="WW8Num4z2"/>
    <w:rsid w:val="00EA45D9"/>
    <w:rPr>
      <w:rFonts w:ascii="Wingdings" w:hAnsi="Wingdings"/>
    </w:rPr>
  </w:style>
  <w:style w:type="character" w:customStyle="1" w:styleId="WW8Num7z0">
    <w:name w:val="WW8Num7z0"/>
    <w:rsid w:val="00EA45D9"/>
    <w:rPr>
      <w:rFonts w:ascii="Symbol" w:hAnsi="Symbol"/>
    </w:rPr>
  </w:style>
  <w:style w:type="character" w:customStyle="1" w:styleId="WW8Num7z1">
    <w:name w:val="WW8Num7z1"/>
    <w:rsid w:val="00EA45D9"/>
    <w:rPr>
      <w:rFonts w:ascii="Courier New" w:hAnsi="Courier New"/>
    </w:rPr>
  </w:style>
  <w:style w:type="character" w:customStyle="1" w:styleId="WW8Num7z2">
    <w:name w:val="WW8Num7z2"/>
    <w:rsid w:val="00EA45D9"/>
    <w:rPr>
      <w:rFonts w:ascii="Wingdings" w:hAnsi="Wingdings"/>
    </w:rPr>
  </w:style>
  <w:style w:type="character" w:customStyle="1" w:styleId="WW8Num8z0">
    <w:name w:val="WW8Num8z0"/>
    <w:rsid w:val="00EA45D9"/>
    <w:rPr>
      <w:rFonts w:ascii="Symbol" w:hAnsi="Symbol"/>
    </w:rPr>
  </w:style>
  <w:style w:type="character" w:customStyle="1" w:styleId="WW8Num8z1">
    <w:name w:val="WW8Num8z1"/>
    <w:rsid w:val="00EA45D9"/>
    <w:rPr>
      <w:rFonts w:ascii="Courier New" w:hAnsi="Courier New"/>
    </w:rPr>
  </w:style>
  <w:style w:type="character" w:customStyle="1" w:styleId="WW8Num8z2">
    <w:name w:val="WW8Num8z2"/>
    <w:rsid w:val="00EA45D9"/>
    <w:rPr>
      <w:rFonts w:ascii="Wingdings" w:hAnsi="Wingdings"/>
    </w:rPr>
  </w:style>
  <w:style w:type="character" w:customStyle="1" w:styleId="WW8Num9z0">
    <w:name w:val="WW8Num9z0"/>
    <w:rsid w:val="00EA45D9"/>
    <w:rPr>
      <w:rFonts w:ascii="Symbol" w:hAnsi="Symbol"/>
    </w:rPr>
  </w:style>
  <w:style w:type="character" w:customStyle="1" w:styleId="WW8Num9z1">
    <w:name w:val="WW8Num9z1"/>
    <w:rsid w:val="00EA45D9"/>
    <w:rPr>
      <w:rFonts w:ascii="Courier New" w:hAnsi="Courier New"/>
    </w:rPr>
  </w:style>
  <w:style w:type="character" w:customStyle="1" w:styleId="WW8Num9z2">
    <w:name w:val="WW8Num9z2"/>
    <w:rsid w:val="00EA45D9"/>
    <w:rPr>
      <w:rFonts w:ascii="Wingdings" w:hAnsi="Wingdings"/>
    </w:rPr>
  </w:style>
  <w:style w:type="character" w:customStyle="1" w:styleId="WW8Num10z0">
    <w:name w:val="WW8Num10z0"/>
    <w:rsid w:val="00EA45D9"/>
    <w:rPr>
      <w:rFonts w:ascii="Symbol" w:hAnsi="Symbol"/>
    </w:rPr>
  </w:style>
  <w:style w:type="character" w:customStyle="1" w:styleId="WW8Num11z0">
    <w:name w:val="WW8Num11z0"/>
    <w:rsid w:val="00EA45D9"/>
    <w:rPr>
      <w:rFonts w:ascii="Symbol" w:hAnsi="Symbol"/>
    </w:rPr>
  </w:style>
  <w:style w:type="character" w:customStyle="1" w:styleId="WW8Num11z1">
    <w:name w:val="WW8Num11z1"/>
    <w:rsid w:val="00EA45D9"/>
    <w:rPr>
      <w:rFonts w:ascii="Courier New" w:hAnsi="Courier New"/>
    </w:rPr>
  </w:style>
  <w:style w:type="character" w:customStyle="1" w:styleId="WW8Num11z2">
    <w:name w:val="WW8Num11z2"/>
    <w:rsid w:val="00EA45D9"/>
    <w:rPr>
      <w:rFonts w:ascii="Wingdings" w:hAnsi="Wingdings"/>
    </w:rPr>
  </w:style>
  <w:style w:type="character" w:customStyle="1" w:styleId="WW8Num12z0">
    <w:name w:val="WW8Num12z0"/>
    <w:rsid w:val="00EA45D9"/>
    <w:rPr>
      <w:rFonts w:ascii="Symbol" w:hAnsi="Symbol"/>
    </w:rPr>
  </w:style>
  <w:style w:type="character" w:customStyle="1" w:styleId="WW8Num13z0">
    <w:name w:val="WW8Num13z0"/>
    <w:rsid w:val="00EA45D9"/>
    <w:rPr>
      <w:rFonts w:ascii="Symbol" w:hAnsi="Symbol"/>
    </w:rPr>
  </w:style>
  <w:style w:type="character" w:customStyle="1" w:styleId="WW8Num13z1">
    <w:name w:val="WW8Num13z1"/>
    <w:rsid w:val="00EA45D9"/>
    <w:rPr>
      <w:rFonts w:ascii="Courier New" w:hAnsi="Courier New"/>
    </w:rPr>
  </w:style>
  <w:style w:type="character" w:customStyle="1" w:styleId="WW8Num13z2">
    <w:name w:val="WW8Num13z2"/>
    <w:rsid w:val="00EA45D9"/>
    <w:rPr>
      <w:rFonts w:ascii="Wingdings" w:hAnsi="Wingdings"/>
    </w:rPr>
  </w:style>
  <w:style w:type="character" w:customStyle="1" w:styleId="WW8Num14z0">
    <w:name w:val="WW8Num14z0"/>
    <w:rsid w:val="00EA45D9"/>
    <w:rPr>
      <w:rFonts w:ascii="Times New Roman" w:eastAsia="Times New Roman" w:hAnsi="Times New Roman" w:cs="Times New Roman"/>
    </w:rPr>
  </w:style>
  <w:style w:type="character" w:customStyle="1" w:styleId="WW8Num14z1">
    <w:name w:val="WW8Num14z1"/>
    <w:rsid w:val="00EA45D9"/>
    <w:rPr>
      <w:rFonts w:ascii="Courier New" w:hAnsi="Courier New"/>
    </w:rPr>
  </w:style>
  <w:style w:type="character" w:customStyle="1" w:styleId="WW8Num14z2">
    <w:name w:val="WW8Num14z2"/>
    <w:rsid w:val="00EA45D9"/>
    <w:rPr>
      <w:rFonts w:ascii="Wingdings" w:hAnsi="Wingdings"/>
    </w:rPr>
  </w:style>
  <w:style w:type="character" w:customStyle="1" w:styleId="WW8Num14z3">
    <w:name w:val="WW8Num14z3"/>
    <w:rsid w:val="00EA45D9"/>
    <w:rPr>
      <w:rFonts w:ascii="Symbol" w:hAnsi="Symbol"/>
    </w:rPr>
  </w:style>
  <w:style w:type="character" w:customStyle="1" w:styleId="WW8Num15z0">
    <w:name w:val="WW8Num15z0"/>
    <w:rsid w:val="00EA45D9"/>
    <w:rPr>
      <w:rFonts w:ascii="Symbol" w:hAnsi="Symbol"/>
    </w:rPr>
  </w:style>
  <w:style w:type="character" w:customStyle="1" w:styleId="WW8Num15z1">
    <w:name w:val="WW8Num15z1"/>
    <w:rsid w:val="00EA45D9"/>
    <w:rPr>
      <w:rFonts w:ascii="Courier New" w:hAnsi="Courier New"/>
    </w:rPr>
  </w:style>
  <w:style w:type="character" w:customStyle="1" w:styleId="WW8Num15z2">
    <w:name w:val="WW8Num15z2"/>
    <w:rsid w:val="00EA45D9"/>
    <w:rPr>
      <w:rFonts w:ascii="Wingdings" w:hAnsi="Wingdings"/>
    </w:rPr>
  </w:style>
  <w:style w:type="character" w:customStyle="1" w:styleId="WW8Num16z0">
    <w:name w:val="WW8Num16z0"/>
    <w:rsid w:val="00EA45D9"/>
    <w:rPr>
      <w:rFonts w:ascii="Symbol" w:hAnsi="Symbol"/>
    </w:rPr>
  </w:style>
  <w:style w:type="character" w:customStyle="1" w:styleId="WW8Num17z0">
    <w:name w:val="WW8Num17z0"/>
    <w:rsid w:val="00EA45D9"/>
    <w:rPr>
      <w:rFonts w:ascii="Symbol" w:hAnsi="Symbol"/>
    </w:rPr>
  </w:style>
  <w:style w:type="character" w:customStyle="1" w:styleId="WW8Num17z1">
    <w:name w:val="WW8Num17z1"/>
    <w:rsid w:val="00EA45D9"/>
    <w:rPr>
      <w:rFonts w:ascii="Courier New" w:hAnsi="Courier New"/>
    </w:rPr>
  </w:style>
  <w:style w:type="character" w:customStyle="1" w:styleId="WW8Num17z2">
    <w:name w:val="WW8Num17z2"/>
    <w:rsid w:val="00EA45D9"/>
    <w:rPr>
      <w:rFonts w:ascii="Wingdings" w:hAnsi="Wingdings"/>
    </w:rPr>
  </w:style>
  <w:style w:type="character" w:customStyle="1" w:styleId="WW8Num19z0">
    <w:name w:val="WW8Num19z0"/>
    <w:rsid w:val="00EA45D9"/>
    <w:rPr>
      <w:rFonts w:ascii="Symbol" w:hAnsi="Symbol"/>
    </w:rPr>
  </w:style>
  <w:style w:type="character" w:customStyle="1" w:styleId="WW8Num20z0">
    <w:name w:val="WW8Num20z0"/>
    <w:rsid w:val="00EA45D9"/>
    <w:rPr>
      <w:rFonts w:ascii="Symbol" w:hAnsi="Symbol"/>
    </w:rPr>
  </w:style>
  <w:style w:type="character" w:customStyle="1" w:styleId="WW8Num20z1">
    <w:name w:val="WW8Num20z1"/>
    <w:rsid w:val="00EA45D9"/>
    <w:rPr>
      <w:rFonts w:ascii="Courier New" w:hAnsi="Courier New"/>
    </w:rPr>
  </w:style>
  <w:style w:type="character" w:customStyle="1" w:styleId="WW8Num20z2">
    <w:name w:val="WW8Num20z2"/>
    <w:rsid w:val="00EA45D9"/>
    <w:rPr>
      <w:rFonts w:ascii="Wingdings" w:hAnsi="Wingdings"/>
    </w:rPr>
  </w:style>
  <w:style w:type="character" w:customStyle="1" w:styleId="WW8Num21z0">
    <w:name w:val="WW8Num21z0"/>
    <w:rsid w:val="00EA45D9"/>
    <w:rPr>
      <w:rFonts w:ascii="Symbol" w:hAnsi="Symbol"/>
    </w:rPr>
  </w:style>
  <w:style w:type="character" w:customStyle="1" w:styleId="WW8NumSt5z0">
    <w:name w:val="WW8NumSt5z0"/>
    <w:rsid w:val="00EA45D9"/>
    <w:rPr>
      <w:rFonts w:ascii="Symbol" w:hAnsi="Symbol"/>
    </w:rPr>
  </w:style>
  <w:style w:type="character" w:customStyle="1" w:styleId="WW8NumSt10z0">
    <w:name w:val="WW8NumSt10z0"/>
    <w:rsid w:val="00EA45D9"/>
    <w:rPr>
      <w:rFonts w:ascii="Symbol" w:hAnsi="Symbol"/>
    </w:rPr>
  </w:style>
  <w:style w:type="character" w:customStyle="1" w:styleId="WW-DefaultParagraphFont">
    <w:name w:val="WW-Default Paragraph Font"/>
    <w:rsid w:val="00EA45D9"/>
  </w:style>
  <w:style w:type="character" w:customStyle="1" w:styleId="FootnoteCharacters">
    <w:name w:val="Footnote Characters"/>
    <w:rsid w:val="00EA45D9"/>
    <w:rPr>
      <w:vertAlign w:val="superscript"/>
    </w:rPr>
  </w:style>
  <w:style w:type="paragraph" w:customStyle="1" w:styleId="Heading">
    <w:name w:val="Heading"/>
    <w:basedOn w:val="Normal"/>
    <w:next w:val="BodyText"/>
    <w:rsid w:val="00EA45D9"/>
    <w:pPr>
      <w:keepNext/>
      <w:spacing w:before="240" w:after="120"/>
    </w:pPr>
    <w:rPr>
      <w:rFonts w:ascii="Arial" w:eastAsia="Lucida Sans Unicode" w:hAnsi="Arial" w:cs="Tahoma"/>
      <w:sz w:val="28"/>
      <w:szCs w:val="28"/>
    </w:rPr>
  </w:style>
  <w:style w:type="paragraph" w:styleId="BodyText">
    <w:name w:val="Body Text"/>
    <w:basedOn w:val="Normal"/>
    <w:rsid w:val="00EA45D9"/>
    <w:pPr>
      <w:jc w:val="both"/>
    </w:pPr>
    <w:rPr>
      <w:sz w:val="24"/>
    </w:rPr>
  </w:style>
  <w:style w:type="paragraph" w:styleId="List">
    <w:name w:val="List"/>
    <w:basedOn w:val="BodyText"/>
    <w:rsid w:val="00EA45D9"/>
    <w:rPr>
      <w:rFonts w:cs="Tahoma"/>
    </w:rPr>
  </w:style>
  <w:style w:type="paragraph" w:styleId="Caption">
    <w:name w:val="caption"/>
    <w:basedOn w:val="Normal"/>
    <w:uiPriority w:val="35"/>
    <w:qFormat/>
    <w:rsid w:val="00EA45D9"/>
    <w:pPr>
      <w:suppressLineNumbers/>
      <w:spacing w:before="120" w:after="120"/>
    </w:pPr>
    <w:rPr>
      <w:rFonts w:cs="Tahoma"/>
      <w:i/>
      <w:iCs/>
      <w:sz w:val="24"/>
      <w:szCs w:val="24"/>
    </w:rPr>
  </w:style>
  <w:style w:type="paragraph" w:customStyle="1" w:styleId="Index">
    <w:name w:val="Index"/>
    <w:basedOn w:val="Normal"/>
    <w:rsid w:val="00EA45D9"/>
    <w:pPr>
      <w:suppressLineNumbers/>
    </w:pPr>
    <w:rPr>
      <w:rFonts w:cs="Tahoma"/>
    </w:rPr>
  </w:style>
  <w:style w:type="paragraph" w:styleId="Header">
    <w:name w:val="header"/>
    <w:basedOn w:val="Normal"/>
    <w:rsid w:val="00EA45D9"/>
    <w:pPr>
      <w:tabs>
        <w:tab w:val="center" w:pos="4153"/>
        <w:tab w:val="right" w:pos="8306"/>
      </w:tabs>
    </w:pPr>
  </w:style>
  <w:style w:type="paragraph" w:styleId="Footer">
    <w:name w:val="footer"/>
    <w:basedOn w:val="Normal"/>
    <w:link w:val="FooterChar"/>
    <w:uiPriority w:val="99"/>
    <w:rsid w:val="00EA45D9"/>
    <w:pPr>
      <w:tabs>
        <w:tab w:val="center" w:pos="4153"/>
        <w:tab w:val="right" w:pos="8306"/>
      </w:tabs>
    </w:pPr>
  </w:style>
  <w:style w:type="paragraph" w:styleId="BodyTextIndent">
    <w:name w:val="Body Text Indent"/>
    <w:basedOn w:val="Normal"/>
    <w:rsid w:val="00EA45D9"/>
    <w:pPr>
      <w:ind w:left="284" w:hanging="1"/>
      <w:jc w:val="both"/>
    </w:pPr>
    <w:rPr>
      <w:i/>
    </w:rPr>
  </w:style>
  <w:style w:type="paragraph" w:styleId="BodyTextIndent2">
    <w:name w:val="Body Text Indent 2"/>
    <w:basedOn w:val="Normal"/>
    <w:rsid w:val="00EA45D9"/>
    <w:pPr>
      <w:ind w:left="283" w:hanging="283"/>
      <w:jc w:val="both"/>
    </w:pPr>
    <w:rPr>
      <w:sz w:val="24"/>
    </w:rPr>
  </w:style>
  <w:style w:type="paragraph" w:styleId="FootnoteText">
    <w:name w:val="footnote text"/>
    <w:basedOn w:val="Normal"/>
    <w:link w:val="FootnoteTextChar"/>
    <w:uiPriority w:val="99"/>
    <w:rsid w:val="00EA45D9"/>
  </w:style>
  <w:style w:type="paragraph" w:styleId="BodyText2">
    <w:name w:val="Body Text 2"/>
    <w:basedOn w:val="Normal"/>
    <w:rsid w:val="00EA45D9"/>
    <w:pPr>
      <w:jc w:val="both"/>
    </w:pPr>
    <w:rPr>
      <w:sz w:val="22"/>
    </w:rPr>
  </w:style>
  <w:style w:type="paragraph" w:styleId="BodyTextIndent3">
    <w:name w:val="Body Text Indent 3"/>
    <w:basedOn w:val="Normal"/>
    <w:rsid w:val="00EA45D9"/>
    <w:pPr>
      <w:spacing w:after="120"/>
      <w:ind w:left="284"/>
      <w:jc w:val="both"/>
    </w:pPr>
    <w:rPr>
      <w:sz w:val="24"/>
    </w:rPr>
  </w:style>
  <w:style w:type="paragraph" w:styleId="BodyText3">
    <w:name w:val="Body Text 3"/>
    <w:basedOn w:val="Normal"/>
    <w:rsid w:val="00EA45D9"/>
    <w:pPr>
      <w:spacing w:after="120"/>
      <w:jc w:val="both"/>
    </w:pPr>
  </w:style>
  <w:style w:type="paragraph" w:customStyle="1" w:styleId="Framecontents">
    <w:name w:val="Frame contents"/>
    <w:basedOn w:val="BodyText"/>
    <w:rsid w:val="00EA45D9"/>
  </w:style>
  <w:style w:type="paragraph" w:customStyle="1" w:styleId="TableContents">
    <w:name w:val="Table Contents"/>
    <w:basedOn w:val="Normal"/>
    <w:rsid w:val="00EA45D9"/>
    <w:pPr>
      <w:suppressLineNumbers/>
    </w:pPr>
  </w:style>
  <w:style w:type="paragraph" w:customStyle="1" w:styleId="TableHeading">
    <w:name w:val="Table Heading"/>
    <w:basedOn w:val="TableContents"/>
    <w:rsid w:val="00EA45D9"/>
    <w:pPr>
      <w:jc w:val="center"/>
    </w:pPr>
    <w:rPr>
      <w:b/>
      <w:bCs/>
      <w:i/>
      <w:iCs/>
    </w:rPr>
  </w:style>
  <w:style w:type="paragraph" w:customStyle="1" w:styleId="Level1">
    <w:name w:val="Level 1"/>
    <w:basedOn w:val="Normal"/>
    <w:rsid w:val="00B026EC"/>
    <w:pPr>
      <w:widowControl w:val="0"/>
    </w:pPr>
    <w:rPr>
      <w:sz w:val="24"/>
      <w:lang w:val="en-US"/>
    </w:rPr>
  </w:style>
  <w:style w:type="character" w:styleId="FootnoteReference">
    <w:name w:val="footnote reference"/>
    <w:uiPriority w:val="99"/>
    <w:rsid w:val="00564358"/>
    <w:rPr>
      <w:vertAlign w:val="superscript"/>
    </w:rPr>
  </w:style>
  <w:style w:type="character" w:styleId="Hyperlink">
    <w:name w:val="Hyperlink"/>
    <w:rsid w:val="004B52FE"/>
    <w:rPr>
      <w:color w:val="0000FF"/>
      <w:u w:val="single"/>
    </w:rPr>
  </w:style>
  <w:style w:type="character" w:styleId="Emphasis">
    <w:name w:val="Emphasis"/>
    <w:qFormat/>
    <w:rsid w:val="00854EEF"/>
    <w:rPr>
      <w:i/>
      <w:iCs/>
    </w:rPr>
  </w:style>
  <w:style w:type="character" w:styleId="CommentReference">
    <w:name w:val="annotation reference"/>
    <w:semiHidden/>
    <w:rsid w:val="00DF2C31"/>
    <w:rPr>
      <w:sz w:val="16"/>
      <w:szCs w:val="16"/>
    </w:rPr>
  </w:style>
  <w:style w:type="paragraph" w:styleId="CommentText">
    <w:name w:val="annotation text"/>
    <w:basedOn w:val="Normal"/>
    <w:semiHidden/>
    <w:rsid w:val="00DF2C31"/>
  </w:style>
  <w:style w:type="paragraph" w:styleId="CommentSubject">
    <w:name w:val="annotation subject"/>
    <w:basedOn w:val="CommentText"/>
    <w:next w:val="CommentText"/>
    <w:semiHidden/>
    <w:rsid w:val="00DF2C31"/>
    <w:rPr>
      <w:b/>
      <w:bCs/>
    </w:rPr>
  </w:style>
  <w:style w:type="paragraph" w:styleId="BalloonText">
    <w:name w:val="Balloon Text"/>
    <w:basedOn w:val="Normal"/>
    <w:semiHidden/>
    <w:rsid w:val="00DF2C31"/>
    <w:rPr>
      <w:rFonts w:ascii="Tahoma" w:hAnsi="Tahoma" w:cs="Tahoma"/>
      <w:sz w:val="16"/>
      <w:szCs w:val="16"/>
    </w:rPr>
  </w:style>
  <w:style w:type="paragraph" w:styleId="NormalWeb">
    <w:name w:val="Normal (Web)"/>
    <w:basedOn w:val="Normal"/>
    <w:rsid w:val="006A129F"/>
    <w:pPr>
      <w:suppressAutoHyphens w:val="0"/>
      <w:spacing w:before="100" w:beforeAutospacing="1" w:after="100" w:afterAutospacing="1"/>
    </w:pPr>
    <w:rPr>
      <w:sz w:val="24"/>
      <w:szCs w:val="24"/>
      <w:lang w:val="en-US" w:eastAsia="en-US"/>
    </w:rPr>
  </w:style>
  <w:style w:type="paragraph" w:customStyle="1" w:styleId="Style1">
    <w:name w:val="Style1"/>
    <w:basedOn w:val="Normal"/>
    <w:rsid w:val="007D0F29"/>
    <w:pPr>
      <w:numPr>
        <w:numId w:val="2"/>
      </w:numPr>
    </w:pPr>
  </w:style>
  <w:style w:type="paragraph" w:customStyle="1" w:styleId="MediumGrid1-Accent21">
    <w:name w:val="Medium Grid 1 - Accent 21"/>
    <w:basedOn w:val="Normal"/>
    <w:uiPriority w:val="34"/>
    <w:qFormat/>
    <w:rsid w:val="0007103B"/>
    <w:pPr>
      <w:suppressAutoHyphens w:val="0"/>
      <w:ind w:left="720"/>
    </w:pPr>
    <w:rPr>
      <w:rFonts w:ascii="Calibri" w:eastAsia="Calibri" w:hAnsi="Calibri"/>
      <w:sz w:val="22"/>
      <w:szCs w:val="22"/>
      <w:lang w:val="en-AU" w:eastAsia="en-AU"/>
    </w:rPr>
  </w:style>
  <w:style w:type="table" w:styleId="TableGrid">
    <w:name w:val="Table Grid"/>
    <w:basedOn w:val="TableNormal"/>
    <w:uiPriority w:val="59"/>
    <w:rsid w:val="00AE2C9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noteTextChar">
    <w:name w:val="Footnote Text Char"/>
    <w:link w:val="FootnoteText"/>
    <w:uiPriority w:val="99"/>
    <w:rsid w:val="003A57CD"/>
    <w:rPr>
      <w:lang w:val="en-GB" w:eastAsia="ar-SA"/>
    </w:rPr>
  </w:style>
  <w:style w:type="character" w:customStyle="1" w:styleId="FooterChar">
    <w:name w:val="Footer Char"/>
    <w:basedOn w:val="DefaultParagraphFont"/>
    <w:link w:val="Footer"/>
    <w:uiPriority w:val="99"/>
    <w:rsid w:val="00403ABC"/>
    <w:rPr>
      <w:lang w:val="en-GB" w:eastAsia="ar-SA"/>
    </w:rPr>
  </w:style>
  <w:style w:type="paragraph" w:styleId="DocumentMap">
    <w:name w:val="Document Map"/>
    <w:basedOn w:val="Normal"/>
    <w:link w:val="DocumentMapChar"/>
    <w:rsid w:val="00810464"/>
    <w:rPr>
      <w:rFonts w:ascii="Tahoma" w:hAnsi="Tahoma" w:cs="Tahoma"/>
      <w:sz w:val="16"/>
      <w:szCs w:val="16"/>
    </w:rPr>
  </w:style>
  <w:style w:type="character" w:customStyle="1" w:styleId="DocumentMapChar">
    <w:name w:val="Document Map Char"/>
    <w:basedOn w:val="DefaultParagraphFont"/>
    <w:link w:val="DocumentMap"/>
    <w:rsid w:val="00810464"/>
    <w:rPr>
      <w:rFonts w:ascii="Tahoma" w:hAnsi="Tahoma" w:cs="Tahoma"/>
      <w:sz w:val="16"/>
      <w:szCs w:val="16"/>
      <w:lang w:val="en-GB" w:eastAsia="ar-SA"/>
    </w:rPr>
  </w:style>
  <w:style w:type="paragraph" w:customStyle="1" w:styleId="BasicStyle1">
    <w:name w:val="Basic Style1"/>
    <w:basedOn w:val="Normal"/>
    <w:link w:val="BasicStyle1CharChar"/>
    <w:autoRedefine/>
    <w:rsid w:val="001A2AC7"/>
    <w:pPr>
      <w:spacing w:after="120" w:line="360" w:lineRule="auto"/>
      <w:jc w:val="both"/>
    </w:pPr>
    <w:rPr>
      <w:rFonts w:ascii="Arial" w:hAnsi="Arial"/>
      <w:sz w:val="22"/>
      <w:lang w:val="en-AU"/>
    </w:rPr>
  </w:style>
  <w:style w:type="character" w:customStyle="1" w:styleId="BasicStyle1CharChar">
    <w:name w:val="Basic Style1 Char Char"/>
    <w:basedOn w:val="DefaultParagraphFont"/>
    <w:link w:val="BasicStyle1"/>
    <w:rsid w:val="001A2AC7"/>
    <w:rPr>
      <w:rFonts w:ascii="Arial" w:hAnsi="Arial"/>
      <w:sz w:val="22"/>
      <w:lang w:eastAsia="ar-SA"/>
    </w:rPr>
  </w:style>
  <w:style w:type="paragraph" w:customStyle="1" w:styleId="Bibliography1">
    <w:name w:val="Bibliography1"/>
    <w:basedOn w:val="Normal"/>
    <w:rsid w:val="001664E6"/>
    <w:pPr>
      <w:suppressAutoHyphens w:val="0"/>
      <w:spacing w:after="120" w:line="360" w:lineRule="auto"/>
      <w:ind w:left="720" w:hanging="720"/>
      <w:jc w:val="both"/>
    </w:pPr>
    <w:rPr>
      <w:rFonts w:ascii="Arial Narrow" w:hAnsi="Arial Narrow"/>
      <w:sz w:val="22"/>
      <w:szCs w:val="24"/>
      <w:lang w:val="en-AU" w:eastAsia="en-US"/>
    </w:rPr>
  </w:style>
  <w:style w:type="paragraph" w:styleId="ListParagraph">
    <w:name w:val="List Paragraph"/>
    <w:basedOn w:val="Normal"/>
    <w:uiPriority w:val="34"/>
    <w:qFormat/>
    <w:rsid w:val="00333024"/>
    <w:pPr>
      <w:suppressAutoHyphens w:val="0"/>
      <w:spacing w:after="120" w:line="360" w:lineRule="auto"/>
      <w:ind w:left="720"/>
      <w:contextualSpacing/>
      <w:jc w:val="both"/>
    </w:pPr>
    <w:rPr>
      <w:rFonts w:ascii="Arial" w:hAnsi="Arial"/>
      <w:sz w:val="22"/>
      <w:szCs w:val="24"/>
      <w:lang w:val="en-AU" w:eastAsia="en-US"/>
    </w:rPr>
  </w:style>
  <w:style w:type="paragraph" w:styleId="Revision">
    <w:name w:val="Revision"/>
    <w:hidden/>
    <w:uiPriority w:val="99"/>
    <w:semiHidden/>
    <w:rsid w:val="00BE1A5B"/>
    <w:rPr>
      <w:lang w:val="en-GB" w:eastAsia="ar-SA"/>
    </w:rPr>
  </w:style>
  <w:style w:type="character" w:customStyle="1" w:styleId="exldetailsdisplayval">
    <w:name w:val="exldetailsdisplayval"/>
    <w:basedOn w:val="DefaultParagraphFont"/>
    <w:rsid w:val="00526153"/>
  </w:style>
  <w:style w:type="character" w:customStyle="1" w:styleId="italic">
    <w:name w:val="italic"/>
    <w:basedOn w:val="DefaultParagraphFont"/>
    <w:rsid w:val="00AC72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7834">
      <w:bodyDiv w:val="1"/>
      <w:marLeft w:val="0"/>
      <w:marRight w:val="0"/>
      <w:marTop w:val="0"/>
      <w:marBottom w:val="0"/>
      <w:divBdr>
        <w:top w:val="none" w:sz="0" w:space="0" w:color="auto"/>
        <w:left w:val="none" w:sz="0" w:space="0" w:color="auto"/>
        <w:bottom w:val="none" w:sz="0" w:space="0" w:color="auto"/>
        <w:right w:val="none" w:sz="0" w:space="0" w:color="auto"/>
      </w:divBdr>
    </w:div>
    <w:div w:id="296616390">
      <w:bodyDiv w:val="1"/>
      <w:marLeft w:val="0"/>
      <w:marRight w:val="0"/>
      <w:marTop w:val="0"/>
      <w:marBottom w:val="0"/>
      <w:divBdr>
        <w:top w:val="none" w:sz="0" w:space="0" w:color="auto"/>
        <w:left w:val="none" w:sz="0" w:space="0" w:color="auto"/>
        <w:bottom w:val="none" w:sz="0" w:space="0" w:color="auto"/>
        <w:right w:val="none" w:sz="0" w:space="0" w:color="auto"/>
      </w:divBdr>
    </w:div>
    <w:div w:id="655260531">
      <w:bodyDiv w:val="1"/>
      <w:marLeft w:val="0"/>
      <w:marRight w:val="0"/>
      <w:marTop w:val="0"/>
      <w:marBottom w:val="0"/>
      <w:divBdr>
        <w:top w:val="none" w:sz="0" w:space="0" w:color="auto"/>
        <w:left w:val="none" w:sz="0" w:space="0" w:color="auto"/>
        <w:bottom w:val="none" w:sz="0" w:space="0" w:color="auto"/>
        <w:right w:val="none" w:sz="0" w:space="0" w:color="auto"/>
      </w:divBdr>
    </w:div>
    <w:div w:id="839540186">
      <w:bodyDiv w:val="1"/>
      <w:marLeft w:val="0"/>
      <w:marRight w:val="0"/>
      <w:marTop w:val="0"/>
      <w:marBottom w:val="0"/>
      <w:divBdr>
        <w:top w:val="none" w:sz="0" w:space="0" w:color="auto"/>
        <w:left w:val="none" w:sz="0" w:space="0" w:color="auto"/>
        <w:bottom w:val="none" w:sz="0" w:space="0" w:color="auto"/>
        <w:right w:val="none" w:sz="0" w:space="0" w:color="auto"/>
      </w:divBdr>
    </w:div>
    <w:div w:id="985233487">
      <w:bodyDiv w:val="1"/>
      <w:marLeft w:val="0"/>
      <w:marRight w:val="0"/>
      <w:marTop w:val="0"/>
      <w:marBottom w:val="0"/>
      <w:divBdr>
        <w:top w:val="none" w:sz="0" w:space="0" w:color="auto"/>
        <w:left w:val="none" w:sz="0" w:space="0" w:color="auto"/>
        <w:bottom w:val="none" w:sz="0" w:space="0" w:color="auto"/>
        <w:right w:val="none" w:sz="0" w:space="0" w:color="auto"/>
      </w:divBdr>
    </w:div>
    <w:div w:id="1065179396">
      <w:bodyDiv w:val="1"/>
      <w:marLeft w:val="0"/>
      <w:marRight w:val="0"/>
      <w:marTop w:val="0"/>
      <w:marBottom w:val="0"/>
      <w:divBdr>
        <w:top w:val="none" w:sz="0" w:space="0" w:color="auto"/>
        <w:left w:val="none" w:sz="0" w:space="0" w:color="auto"/>
        <w:bottom w:val="none" w:sz="0" w:space="0" w:color="auto"/>
        <w:right w:val="none" w:sz="0" w:space="0" w:color="auto"/>
      </w:divBdr>
    </w:div>
    <w:div w:id="1099332093">
      <w:bodyDiv w:val="1"/>
      <w:marLeft w:val="0"/>
      <w:marRight w:val="0"/>
      <w:marTop w:val="0"/>
      <w:marBottom w:val="0"/>
      <w:divBdr>
        <w:top w:val="none" w:sz="0" w:space="0" w:color="auto"/>
        <w:left w:val="none" w:sz="0" w:space="0" w:color="auto"/>
        <w:bottom w:val="none" w:sz="0" w:space="0" w:color="auto"/>
        <w:right w:val="none" w:sz="0" w:space="0" w:color="auto"/>
      </w:divBdr>
    </w:div>
    <w:div w:id="1101729408">
      <w:bodyDiv w:val="1"/>
      <w:marLeft w:val="0"/>
      <w:marRight w:val="0"/>
      <w:marTop w:val="0"/>
      <w:marBottom w:val="0"/>
      <w:divBdr>
        <w:top w:val="none" w:sz="0" w:space="0" w:color="auto"/>
        <w:left w:val="none" w:sz="0" w:space="0" w:color="auto"/>
        <w:bottom w:val="none" w:sz="0" w:space="0" w:color="auto"/>
        <w:right w:val="none" w:sz="0" w:space="0" w:color="auto"/>
      </w:divBdr>
    </w:div>
    <w:div w:id="1270620394">
      <w:bodyDiv w:val="1"/>
      <w:marLeft w:val="0"/>
      <w:marRight w:val="0"/>
      <w:marTop w:val="0"/>
      <w:marBottom w:val="0"/>
      <w:divBdr>
        <w:top w:val="none" w:sz="0" w:space="0" w:color="auto"/>
        <w:left w:val="none" w:sz="0" w:space="0" w:color="auto"/>
        <w:bottom w:val="none" w:sz="0" w:space="0" w:color="auto"/>
        <w:right w:val="none" w:sz="0" w:space="0" w:color="auto"/>
      </w:divBdr>
    </w:div>
    <w:div w:id="1283654663">
      <w:bodyDiv w:val="1"/>
      <w:marLeft w:val="0"/>
      <w:marRight w:val="0"/>
      <w:marTop w:val="0"/>
      <w:marBottom w:val="0"/>
      <w:divBdr>
        <w:top w:val="none" w:sz="0" w:space="0" w:color="auto"/>
        <w:left w:val="none" w:sz="0" w:space="0" w:color="auto"/>
        <w:bottom w:val="none" w:sz="0" w:space="0" w:color="auto"/>
        <w:right w:val="none" w:sz="0" w:space="0" w:color="auto"/>
      </w:divBdr>
    </w:div>
    <w:div w:id="1432049575">
      <w:bodyDiv w:val="1"/>
      <w:marLeft w:val="0"/>
      <w:marRight w:val="0"/>
      <w:marTop w:val="0"/>
      <w:marBottom w:val="0"/>
      <w:divBdr>
        <w:top w:val="none" w:sz="0" w:space="0" w:color="auto"/>
        <w:left w:val="none" w:sz="0" w:space="0" w:color="auto"/>
        <w:bottom w:val="none" w:sz="0" w:space="0" w:color="auto"/>
        <w:right w:val="none" w:sz="0" w:space="0" w:color="auto"/>
      </w:divBdr>
    </w:div>
    <w:div w:id="1749110638">
      <w:bodyDiv w:val="1"/>
      <w:marLeft w:val="0"/>
      <w:marRight w:val="0"/>
      <w:marTop w:val="0"/>
      <w:marBottom w:val="0"/>
      <w:divBdr>
        <w:top w:val="none" w:sz="0" w:space="0" w:color="auto"/>
        <w:left w:val="none" w:sz="0" w:space="0" w:color="auto"/>
        <w:bottom w:val="none" w:sz="0" w:space="0" w:color="auto"/>
        <w:right w:val="none" w:sz="0" w:space="0" w:color="auto"/>
      </w:divBdr>
      <w:divsChild>
        <w:div w:id="507983295">
          <w:marLeft w:val="0"/>
          <w:marRight w:val="0"/>
          <w:marTop w:val="0"/>
          <w:marBottom w:val="0"/>
          <w:divBdr>
            <w:top w:val="none" w:sz="0" w:space="0" w:color="auto"/>
            <w:left w:val="none" w:sz="0" w:space="0" w:color="auto"/>
            <w:bottom w:val="none" w:sz="0" w:space="0" w:color="auto"/>
            <w:right w:val="none" w:sz="0" w:space="0" w:color="auto"/>
          </w:divBdr>
        </w:div>
        <w:div w:id="2132043941">
          <w:marLeft w:val="0"/>
          <w:marRight w:val="0"/>
          <w:marTop w:val="0"/>
          <w:marBottom w:val="0"/>
          <w:divBdr>
            <w:top w:val="none" w:sz="0" w:space="0" w:color="auto"/>
            <w:left w:val="none" w:sz="0" w:space="0" w:color="auto"/>
            <w:bottom w:val="none" w:sz="0" w:space="0" w:color="auto"/>
            <w:right w:val="none" w:sz="0" w:space="0" w:color="auto"/>
          </w:divBdr>
        </w:div>
      </w:divsChild>
    </w:div>
    <w:div w:id="2105370470">
      <w:bodyDiv w:val="1"/>
      <w:marLeft w:val="0"/>
      <w:marRight w:val="0"/>
      <w:marTop w:val="0"/>
      <w:marBottom w:val="0"/>
      <w:divBdr>
        <w:top w:val="none" w:sz="0" w:space="0" w:color="auto"/>
        <w:left w:val="none" w:sz="0" w:space="0" w:color="auto"/>
        <w:bottom w:val="none" w:sz="0" w:space="0" w:color="auto"/>
        <w:right w:val="none" w:sz="0" w:space="0" w:color="auto"/>
      </w:divBdr>
      <w:divsChild>
        <w:div w:id="8026099">
          <w:marLeft w:val="0"/>
          <w:marRight w:val="0"/>
          <w:marTop w:val="0"/>
          <w:marBottom w:val="0"/>
          <w:divBdr>
            <w:top w:val="none" w:sz="0" w:space="0" w:color="auto"/>
            <w:left w:val="none" w:sz="0" w:space="0" w:color="auto"/>
            <w:bottom w:val="none" w:sz="0" w:space="0" w:color="auto"/>
            <w:right w:val="none" w:sz="0" w:space="0" w:color="auto"/>
          </w:divBdr>
        </w:div>
        <w:div w:id="343678969">
          <w:marLeft w:val="0"/>
          <w:marRight w:val="0"/>
          <w:marTop w:val="0"/>
          <w:marBottom w:val="0"/>
          <w:divBdr>
            <w:top w:val="none" w:sz="0" w:space="0" w:color="auto"/>
            <w:left w:val="none" w:sz="0" w:space="0" w:color="auto"/>
            <w:bottom w:val="none" w:sz="0" w:space="0" w:color="auto"/>
            <w:right w:val="none" w:sz="0" w:space="0" w:color="auto"/>
          </w:divBdr>
        </w:div>
        <w:div w:id="402995467">
          <w:marLeft w:val="0"/>
          <w:marRight w:val="0"/>
          <w:marTop w:val="0"/>
          <w:marBottom w:val="0"/>
          <w:divBdr>
            <w:top w:val="none" w:sz="0" w:space="0" w:color="auto"/>
            <w:left w:val="none" w:sz="0" w:space="0" w:color="auto"/>
            <w:bottom w:val="none" w:sz="0" w:space="0" w:color="auto"/>
            <w:right w:val="none" w:sz="0" w:space="0" w:color="auto"/>
          </w:divBdr>
        </w:div>
        <w:div w:id="561605039">
          <w:marLeft w:val="0"/>
          <w:marRight w:val="0"/>
          <w:marTop w:val="0"/>
          <w:marBottom w:val="0"/>
          <w:divBdr>
            <w:top w:val="none" w:sz="0" w:space="0" w:color="auto"/>
            <w:left w:val="none" w:sz="0" w:space="0" w:color="auto"/>
            <w:bottom w:val="none" w:sz="0" w:space="0" w:color="auto"/>
            <w:right w:val="none" w:sz="0" w:space="0" w:color="auto"/>
          </w:divBdr>
        </w:div>
        <w:div w:id="1027561612">
          <w:marLeft w:val="0"/>
          <w:marRight w:val="0"/>
          <w:marTop w:val="0"/>
          <w:marBottom w:val="0"/>
          <w:divBdr>
            <w:top w:val="none" w:sz="0" w:space="0" w:color="auto"/>
            <w:left w:val="none" w:sz="0" w:space="0" w:color="auto"/>
            <w:bottom w:val="none" w:sz="0" w:space="0" w:color="auto"/>
            <w:right w:val="none" w:sz="0" w:space="0" w:color="auto"/>
          </w:divBdr>
        </w:div>
        <w:div w:id="1029717018">
          <w:marLeft w:val="0"/>
          <w:marRight w:val="0"/>
          <w:marTop w:val="0"/>
          <w:marBottom w:val="0"/>
          <w:divBdr>
            <w:top w:val="none" w:sz="0" w:space="0" w:color="auto"/>
            <w:left w:val="none" w:sz="0" w:space="0" w:color="auto"/>
            <w:bottom w:val="none" w:sz="0" w:space="0" w:color="auto"/>
            <w:right w:val="none" w:sz="0" w:space="0" w:color="auto"/>
          </w:divBdr>
        </w:div>
        <w:div w:id="1320117767">
          <w:marLeft w:val="0"/>
          <w:marRight w:val="0"/>
          <w:marTop w:val="0"/>
          <w:marBottom w:val="0"/>
          <w:divBdr>
            <w:top w:val="none" w:sz="0" w:space="0" w:color="auto"/>
            <w:left w:val="none" w:sz="0" w:space="0" w:color="auto"/>
            <w:bottom w:val="none" w:sz="0" w:space="0" w:color="auto"/>
            <w:right w:val="none" w:sz="0" w:space="0" w:color="auto"/>
          </w:divBdr>
        </w:div>
        <w:div w:id="1868058223">
          <w:marLeft w:val="0"/>
          <w:marRight w:val="0"/>
          <w:marTop w:val="0"/>
          <w:marBottom w:val="0"/>
          <w:divBdr>
            <w:top w:val="none" w:sz="0" w:space="0" w:color="auto"/>
            <w:left w:val="none" w:sz="0" w:space="0" w:color="auto"/>
            <w:bottom w:val="none" w:sz="0" w:space="0" w:color="auto"/>
            <w:right w:val="none" w:sz="0" w:space="0" w:color="auto"/>
          </w:divBdr>
        </w:div>
        <w:div w:id="21374814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E0DEAD-C036-40F0-AE63-C08A723E1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13</Pages>
  <Words>3101</Words>
  <Characters>17676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OI Proposal</vt:lpstr>
    </vt:vector>
  </TitlesOfParts>
  <Company>Ochre Imprints</Company>
  <LinksUpToDate>false</LinksUpToDate>
  <CharactersWithSpaces>20736</CharactersWithSpaces>
  <SharedDoc>false</SharedDoc>
  <HLinks>
    <vt:vector size="6" baseType="variant">
      <vt:variant>
        <vt:i4>93</vt:i4>
      </vt:variant>
      <vt:variant>
        <vt:i4>0</vt:i4>
      </vt:variant>
      <vt:variant>
        <vt:i4>0</vt:i4>
      </vt:variant>
      <vt:variant>
        <vt:i4>5</vt:i4>
      </vt:variant>
      <vt:variant>
        <vt:lpwstr>http://services.land.vic.gov.au/vicnames/place.html?method=edit&amp;id=18086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OI Proposal</dc:title>
  <dc:creator>P. Schell</dc:creator>
  <cp:lastModifiedBy>Meg Goulding</cp:lastModifiedBy>
  <cp:revision>7</cp:revision>
  <cp:lastPrinted>2015-03-24T04:51:00Z</cp:lastPrinted>
  <dcterms:created xsi:type="dcterms:W3CDTF">2015-03-23T23:44:00Z</dcterms:created>
  <dcterms:modified xsi:type="dcterms:W3CDTF">2015-12-08T23:58:00Z</dcterms:modified>
</cp:coreProperties>
</file>