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47" w:rsidRPr="00F21E47" w:rsidRDefault="00035DCF" w:rsidP="00F21E47">
      <w:pPr>
        <w:spacing w:before="120"/>
        <w:jc w:val="center"/>
        <w:rPr>
          <w:rFonts w:ascii="Arial" w:hAnsi="Arial" w:cs="Arial"/>
          <w:i/>
          <w:iCs/>
        </w:rPr>
      </w:pPr>
      <w:r w:rsidRPr="00F21E47">
        <w:rPr>
          <w:rFonts w:ascii="Arial" w:hAnsi="Arial" w:cs="Arial"/>
          <w:i/>
          <w:iCs/>
        </w:rPr>
        <w:t>Planning and Environment Act 1987</w:t>
      </w:r>
    </w:p>
    <w:p w:rsidR="00F21E47" w:rsidRPr="00F21E47" w:rsidRDefault="00035DCF" w:rsidP="00F21E47">
      <w:pPr>
        <w:keepNext/>
        <w:keepLines/>
        <w:spacing w:before="240"/>
        <w:jc w:val="center"/>
        <w:outlineLvl w:val="0"/>
        <w:rPr>
          <w:rFonts w:ascii="Arial" w:hAnsi="Arial" w:cs="Arial"/>
          <w:b/>
          <w:bCs/>
          <w:caps/>
          <w:sz w:val="28"/>
          <w:szCs w:val="28"/>
        </w:rPr>
      </w:pPr>
      <w:r w:rsidRPr="00F21E47">
        <w:rPr>
          <w:rFonts w:ascii="Arial" w:hAnsi="Arial" w:cs="Arial"/>
          <w:b/>
          <w:bCs/>
          <w:caps/>
          <w:color w:val="000000"/>
          <w:sz w:val="28"/>
          <w:szCs w:val="28"/>
        </w:rPr>
        <w:t>GREATER GEELONG</w:t>
      </w:r>
      <w:r w:rsidRPr="00F21E47">
        <w:rPr>
          <w:rFonts w:ascii="Arial" w:hAnsi="Arial" w:cs="Arial"/>
          <w:b/>
          <w:bCs/>
          <w:caps/>
          <w:sz w:val="28"/>
          <w:szCs w:val="28"/>
        </w:rPr>
        <w:t xml:space="preserve"> PLANNING SCHEME</w:t>
      </w:r>
    </w:p>
    <w:p w:rsidR="00F21E47" w:rsidRPr="00F21E47" w:rsidRDefault="00E108B6" w:rsidP="00F21E47">
      <w:pPr>
        <w:keepNext/>
        <w:keepLines/>
        <w:spacing w:before="240"/>
        <w:jc w:val="center"/>
        <w:outlineLvl w:val="0"/>
        <w:rPr>
          <w:rFonts w:ascii="Arial" w:hAnsi="Arial" w:cs="Arial"/>
          <w:b/>
          <w:bCs/>
          <w:caps/>
          <w:sz w:val="28"/>
          <w:szCs w:val="28"/>
        </w:rPr>
      </w:pPr>
      <w:r>
        <w:rPr>
          <w:rFonts w:ascii="Arial" w:hAnsi="Arial" w:cs="Arial"/>
          <w:b/>
          <w:bCs/>
          <w:caps/>
          <w:sz w:val="28"/>
          <w:szCs w:val="28"/>
        </w:rPr>
        <w:t xml:space="preserve">AMENDMENT </w:t>
      </w:r>
      <w:r w:rsidR="00035DCF">
        <w:rPr>
          <w:rFonts w:ascii="Arial" w:hAnsi="Arial" w:cs="Arial"/>
          <w:b/>
          <w:bCs/>
          <w:caps/>
          <w:sz w:val="28"/>
          <w:szCs w:val="28"/>
        </w:rPr>
        <w:t>352</w:t>
      </w:r>
    </w:p>
    <w:p w:rsidR="00F21E47" w:rsidRPr="00F21E47" w:rsidRDefault="00035DCF" w:rsidP="00F21E47">
      <w:pPr>
        <w:keepNext/>
        <w:keepLines/>
        <w:spacing w:before="240"/>
        <w:jc w:val="center"/>
        <w:outlineLvl w:val="0"/>
        <w:rPr>
          <w:rFonts w:ascii="Arial" w:hAnsi="Arial" w:cs="Arial"/>
          <w:b/>
          <w:bCs/>
          <w:caps/>
          <w:sz w:val="24"/>
          <w:szCs w:val="24"/>
        </w:rPr>
      </w:pPr>
      <w:r w:rsidRPr="00F21E47">
        <w:rPr>
          <w:rFonts w:ascii="Arial" w:hAnsi="Arial" w:cs="Arial"/>
          <w:b/>
          <w:bCs/>
          <w:caps/>
          <w:sz w:val="24"/>
          <w:szCs w:val="24"/>
        </w:rPr>
        <w:t>EXPLANATORY REPORT</w:t>
      </w:r>
    </w:p>
    <w:p w:rsidR="00E108B6" w:rsidRPr="00F21E47" w:rsidRDefault="00E108B6" w:rsidP="00E108B6">
      <w:pPr>
        <w:spacing w:before="360"/>
        <w:jc w:val="both"/>
        <w:outlineLvl w:val="1"/>
        <w:rPr>
          <w:rFonts w:ascii="Arial" w:hAnsi="Arial" w:cs="Arial"/>
          <w:b/>
          <w:bCs/>
          <w:sz w:val="24"/>
        </w:rPr>
      </w:pPr>
      <w:r w:rsidRPr="00F21E47">
        <w:rPr>
          <w:rFonts w:ascii="Arial" w:hAnsi="Arial" w:cs="Arial"/>
          <w:b/>
          <w:bCs/>
          <w:sz w:val="24"/>
        </w:rPr>
        <w:t>Who is the planning authority?</w:t>
      </w:r>
    </w:p>
    <w:p w:rsidR="00E108B6" w:rsidRPr="00F21E47" w:rsidRDefault="00E108B6" w:rsidP="00E108B6">
      <w:pPr>
        <w:spacing w:before="120"/>
        <w:jc w:val="both"/>
        <w:rPr>
          <w:rFonts w:ascii="Arial" w:hAnsi="Arial" w:cs="Arial"/>
          <w:sz w:val="22"/>
          <w:szCs w:val="22"/>
        </w:rPr>
      </w:pPr>
      <w:r w:rsidRPr="00F21E47">
        <w:rPr>
          <w:rFonts w:ascii="Arial" w:hAnsi="Arial" w:cs="Arial"/>
          <w:sz w:val="22"/>
          <w:szCs w:val="22"/>
        </w:rPr>
        <w:t>This amendment has been prepared by the</w:t>
      </w:r>
      <w:r w:rsidRPr="00F21E47">
        <w:rPr>
          <w:rFonts w:ascii="Arial" w:hAnsi="Arial" w:cs="Arial"/>
          <w:color w:val="FF0000"/>
          <w:sz w:val="22"/>
          <w:szCs w:val="22"/>
        </w:rPr>
        <w:t xml:space="preserve"> </w:t>
      </w:r>
      <w:r>
        <w:rPr>
          <w:rFonts w:ascii="Arial" w:hAnsi="Arial" w:cs="Arial"/>
          <w:color w:val="000000"/>
          <w:sz w:val="22"/>
          <w:szCs w:val="22"/>
        </w:rPr>
        <w:t>Greater Geelong City Council</w:t>
      </w:r>
      <w:r w:rsidRPr="00F21E47">
        <w:rPr>
          <w:rFonts w:ascii="Arial" w:hAnsi="Arial" w:cs="Arial"/>
          <w:sz w:val="22"/>
          <w:szCs w:val="22"/>
        </w:rPr>
        <w:t xml:space="preserve"> is the planning authority for this amendment.</w:t>
      </w:r>
    </w:p>
    <w:p w:rsidR="00E108B6" w:rsidRPr="00F21E47" w:rsidRDefault="00E108B6" w:rsidP="00E108B6">
      <w:pPr>
        <w:spacing w:before="120"/>
        <w:jc w:val="both"/>
        <w:rPr>
          <w:rFonts w:ascii="Arial" w:hAnsi="Arial" w:cs="Arial"/>
          <w:sz w:val="22"/>
          <w:szCs w:val="22"/>
        </w:rPr>
      </w:pPr>
      <w:r w:rsidRPr="00F21E47">
        <w:rPr>
          <w:rFonts w:ascii="Arial" w:hAnsi="Arial" w:cs="Arial"/>
          <w:sz w:val="22"/>
          <w:szCs w:val="22"/>
        </w:rPr>
        <w:t xml:space="preserve">The amendment has been made at the request </w:t>
      </w:r>
      <w:r w:rsidRPr="00F21E47">
        <w:rPr>
          <w:rFonts w:ascii="Arial" w:hAnsi="Arial" w:cs="Arial"/>
          <w:color w:val="000000"/>
          <w:sz w:val="22"/>
          <w:szCs w:val="22"/>
        </w:rPr>
        <w:t>of</w:t>
      </w:r>
      <w:r>
        <w:rPr>
          <w:rFonts w:ascii="Arial" w:hAnsi="Arial" w:cs="Arial"/>
          <w:color w:val="000000"/>
          <w:sz w:val="22"/>
          <w:szCs w:val="22"/>
        </w:rPr>
        <w:t xml:space="preserve"> </w:t>
      </w:r>
      <w:r w:rsidRPr="00F76D10">
        <w:rPr>
          <w:rFonts w:ascii="Arial" w:hAnsi="Arial" w:cs="Arial"/>
          <w:sz w:val="22"/>
          <w:szCs w:val="22"/>
        </w:rPr>
        <w:t>the City of Greater Geelong Council</w:t>
      </w:r>
      <w:r>
        <w:rPr>
          <w:rFonts w:ascii="Arial" w:hAnsi="Arial" w:cs="Arial"/>
          <w:color w:val="000000"/>
          <w:sz w:val="22"/>
          <w:szCs w:val="22"/>
        </w:rPr>
        <w:t>.</w:t>
      </w:r>
    </w:p>
    <w:p w:rsidR="00E108B6" w:rsidRPr="00F21E47" w:rsidRDefault="00E108B6" w:rsidP="00E108B6">
      <w:pPr>
        <w:spacing w:before="360"/>
        <w:jc w:val="both"/>
        <w:outlineLvl w:val="1"/>
        <w:rPr>
          <w:rFonts w:ascii="Arial" w:hAnsi="Arial" w:cs="Arial"/>
          <w:b/>
          <w:bCs/>
          <w:sz w:val="24"/>
        </w:rPr>
      </w:pPr>
      <w:r w:rsidRPr="00F21E47">
        <w:rPr>
          <w:rFonts w:ascii="Arial" w:hAnsi="Arial" w:cs="Arial"/>
          <w:b/>
          <w:bCs/>
          <w:sz w:val="24"/>
        </w:rPr>
        <w:t>Land affected by the amendment</w:t>
      </w:r>
    </w:p>
    <w:p w:rsidR="00E108B6" w:rsidRDefault="00E108B6" w:rsidP="00E108B6">
      <w:pPr>
        <w:spacing w:before="120"/>
        <w:jc w:val="both"/>
        <w:rPr>
          <w:rFonts w:ascii="Arial" w:hAnsi="Arial" w:cs="Arial"/>
          <w:sz w:val="22"/>
          <w:szCs w:val="22"/>
        </w:rPr>
      </w:pPr>
      <w:r w:rsidRPr="00F21E47">
        <w:rPr>
          <w:rFonts w:ascii="Arial" w:hAnsi="Arial" w:cs="Arial"/>
          <w:sz w:val="22"/>
          <w:szCs w:val="22"/>
        </w:rPr>
        <w:t xml:space="preserve">The amendment applies to </w:t>
      </w:r>
      <w:r>
        <w:rPr>
          <w:rFonts w:ascii="Arial" w:hAnsi="Arial" w:cs="Arial"/>
          <w:sz w:val="22"/>
          <w:szCs w:val="22"/>
        </w:rPr>
        <w:t>the towns of Portarlington &amp; Indented Head.</w:t>
      </w:r>
    </w:p>
    <w:p w:rsidR="00E108B6" w:rsidRPr="00F21E47" w:rsidRDefault="00E108B6" w:rsidP="00E108B6">
      <w:pPr>
        <w:spacing w:before="360"/>
        <w:jc w:val="both"/>
        <w:outlineLvl w:val="1"/>
        <w:rPr>
          <w:rFonts w:ascii="Arial" w:hAnsi="Arial" w:cs="Arial"/>
          <w:b/>
          <w:bCs/>
          <w:sz w:val="24"/>
        </w:rPr>
      </w:pPr>
      <w:r w:rsidRPr="00F21E47">
        <w:rPr>
          <w:rFonts w:ascii="Arial" w:hAnsi="Arial" w:cs="Arial"/>
          <w:b/>
          <w:bCs/>
          <w:sz w:val="24"/>
        </w:rPr>
        <w:t>What the amendment does</w:t>
      </w:r>
    </w:p>
    <w:p w:rsidR="00E108B6" w:rsidRPr="006D0A06" w:rsidRDefault="00E108B6" w:rsidP="00E108B6">
      <w:pPr>
        <w:spacing w:before="120"/>
        <w:jc w:val="both"/>
        <w:rPr>
          <w:rFonts w:ascii="Arial" w:hAnsi="Arial" w:cs="Arial"/>
          <w:sz w:val="22"/>
          <w:szCs w:val="22"/>
        </w:rPr>
      </w:pPr>
      <w:r w:rsidRPr="006D0A06">
        <w:rPr>
          <w:rFonts w:ascii="Arial" w:hAnsi="Arial" w:cs="Arial"/>
          <w:sz w:val="22"/>
          <w:szCs w:val="22"/>
        </w:rPr>
        <w:t>T</w:t>
      </w:r>
      <w:r>
        <w:rPr>
          <w:rFonts w:ascii="Arial" w:hAnsi="Arial" w:cs="Arial"/>
          <w:sz w:val="22"/>
          <w:szCs w:val="22"/>
        </w:rPr>
        <w:t>he Amendment seeks to implement</w:t>
      </w:r>
      <w:r w:rsidRPr="006D0A06">
        <w:rPr>
          <w:rFonts w:ascii="Arial" w:hAnsi="Arial" w:cs="Arial"/>
          <w:sz w:val="22"/>
          <w:szCs w:val="22"/>
        </w:rPr>
        <w:t xml:space="preserve"> into the Greater Geelong Planning Scheme the findings of the following d</w:t>
      </w:r>
      <w:r w:rsidR="00D41C0A">
        <w:rPr>
          <w:rFonts w:ascii="Arial" w:hAnsi="Arial" w:cs="Arial"/>
          <w:sz w:val="22"/>
          <w:szCs w:val="22"/>
        </w:rPr>
        <w:t>ocuments, adopted by Council in</w:t>
      </w:r>
      <w:r w:rsidRPr="006D0A06">
        <w:rPr>
          <w:rFonts w:ascii="Arial" w:hAnsi="Arial" w:cs="Arial"/>
          <w:sz w:val="22"/>
          <w:szCs w:val="22"/>
        </w:rPr>
        <w:t xml:space="preserve"> 2016:</w:t>
      </w:r>
    </w:p>
    <w:p w:rsidR="00E108B6" w:rsidRPr="006D0A06" w:rsidRDefault="00E108B6" w:rsidP="00E108B6">
      <w:pPr>
        <w:numPr>
          <w:ilvl w:val="0"/>
          <w:numId w:val="9"/>
        </w:numPr>
        <w:spacing w:before="120"/>
        <w:jc w:val="both"/>
        <w:rPr>
          <w:rFonts w:ascii="Arial" w:hAnsi="Arial" w:cs="Arial"/>
          <w:sz w:val="22"/>
          <w:szCs w:val="22"/>
        </w:rPr>
      </w:pPr>
      <w:r w:rsidRPr="006D0A06">
        <w:rPr>
          <w:rFonts w:ascii="Arial" w:hAnsi="Arial" w:cs="Arial"/>
          <w:sz w:val="22"/>
          <w:szCs w:val="22"/>
        </w:rPr>
        <w:t>the Portarlington Structure Plan</w:t>
      </w:r>
      <w:r w:rsidR="00E73122">
        <w:rPr>
          <w:rFonts w:ascii="Arial" w:hAnsi="Arial" w:cs="Arial"/>
          <w:sz w:val="22"/>
          <w:szCs w:val="22"/>
        </w:rPr>
        <w:t>,</w:t>
      </w:r>
      <w:r w:rsidRPr="006D0A06">
        <w:rPr>
          <w:rFonts w:ascii="Arial" w:hAnsi="Arial" w:cs="Arial"/>
          <w:sz w:val="22"/>
          <w:szCs w:val="22"/>
        </w:rPr>
        <w:t xml:space="preserve"> </w:t>
      </w:r>
      <w:r w:rsidR="00E73122">
        <w:rPr>
          <w:rFonts w:ascii="Arial" w:hAnsi="Arial" w:cs="Arial"/>
          <w:sz w:val="22"/>
          <w:szCs w:val="22"/>
        </w:rPr>
        <w:t xml:space="preserve">September </w:t>
      </w:r>
      <w:r w:rsidRPr="006D0A06">
        <w:rPr>
          <w:rFonts w:ascii="Arial" w:hAnsi="Arial" w:cs="Arial"/>
          <w:sz w:val="22"/>
          <w:szCs w:val="22"/>
        </w:rPr>
        <w:t>2016; and</w:t>
      </w:r>
    </w:p>
    <w:p w:rsidR="00E108B6" w:rsidRPr="006D0A06" w:rsidRDefault="00E108B6" w:rsidP="00E108B6">
      <w:pPr>
        <w:numPr>
          <w:ilvl w:val="0"/>
          <w:numId w:val="9"/>
        </w:numPr>
        <w:spacing w:before="120"/>
        <w:jc w:val="both"/>
        <w:rPr>
          <w:rFonts w:ascii="Arial" w:hAnsi="Arial" w:cs="Arial"/>
          <w:sz w:val="22"/>
          <w:szCs w:val="22"/>
        </w:rPr>
      </w:pPr>
      <w:r w:rsidRPr="006D0A06">
        <w:rPr>
          <w:rFonts w:ascii="Arial" w:hAnsi="Arial" w:cs="Arial"/>
          <w:sz w:val="22"/>
          <w:szCs w:val="22"/>
        </w:rPr>
        <w:t xml:space="preserve">the Indented Head Structure Plan, </w:t>
      </w:r>
      <w:r w:rsidR="00E73122">
        <w:rPr>
          <w:rFonts w:ascii="Arial" w:hAnsi="Arial" w:cs="Arial"/>
          <w:sz w:val="22"/>
          <w:szCs w:val="22"/>
        </w:rPr>
        <w:t xml:space="preserve">May </w:t>
      </w:r>
      <w:r w:rsidRPr="006D0A06">
        <w:rPr>
          <w:rFonts w:ascii="Arial" w:hAnsi="Arial" w:cs="Arial"/>
          <w:sz w:val="22"/>
          <w:szCs w:val="22"/>
        </w:rPr>
        <w:t xml:space="preserve">2016. </w:t>
      </w:r>
    </w:p>
    <w:p w:rsidR="00E108B6" w:rsidRPr="006D0A06" w:rsidRDefault="00E108B6" w:rsidP="00E108B6">
      <w:pPr>
        <w:spacing w:before="120"/>
        <w:jc w:val="both"/>
        <w:rPr>
          <w:rFonts w:ascii="Arial" w:hAnsi="Arial" w:cs="Arial"/>
          <w:sz w:val="22"/>
          <w:szCs w:val="22"/>
        </w:rPr>
      </w:pPr>
      <w:r w:rsidRPr="006D0A06">
        <w:rPr>
          <w:rFonts w:ascii="Arial" w:hAnsi="Arial" w:cs="Arial"/>
          <w:sz w:val="22"/>
          <w:szCs w:val="22"/>
        </w:rPr>
        <w:t>The Amendment will:</w:t>
      </w:r>
    </w:p>
    <w:p w:rsidR="00E108B6" w:rsidRPr="006D0A06" w:rsidRDefault="00E108B6" w:rsidP="00E108B6">
      <w:pPr>
        <w:numPr>
          <w:ilvl w:val="0"/>
          <w:numId w:val="8"/>
        </w:numPr>
        <w:tabs>
          <w:tab w:val="left" w:pos="567"/>
        </w:tabs>
        <w:spacing w:before="120"/>
        <w:ind w:left="567" w:hanging="207"/>
        <w:jc w:val="both"/>
        <w:rPr>
          <w:rFonts w:ascii="Arial" w:hAnsi="Arial" w:cs="Arial"/>
          <w:sz w:val="22"/>
          <w:szCs w:val="22"/>
        </w:rPr>
      </w:pPr>
      <w:r w:rsidRPr="006D0A06">
        <w:rPr>
          <w:rFonts w:ascii="Arial" w:hAnsi="Arial" w:cs="Arial"/>
          <w:sz w:val="22"/>
          <w:szCs w:val="22"/>
        </w:rPr>
        <w:t>Amend Clause 21.14 Bellarine Peninsula to:</w:t>
      </w:r>
    </w:p>
    <w:p w:rsidR="00E108B6" w:rsidRPr="006D0A06" w:rsidRDefault="00E108B6" w:rsidP="00E108B6">
      <w:pPr>
        <w:numPr>
          <w:ilvl w:val="1"/>
          <w:numId w:val="8"/>
        </w:numPr>
        <w:tabs>
          <w:tab w:val="left" w:pos="851"/>
        </w:tabs>
        <w:spacing w:before="120"/>
        <w:ind w:left="851"/>
        <w:jc w:val="both"/>
        <w:rPr>
          <w:rFonts w:ascii="Arial" w:hAnsi="Arial" w:cs="Arial"/>
          <w:sz w:val="22"/>
          <w:szCs w:val="22"/>
        </w:rPr>
      </w:pPr>
      <w:r w:rsidRPr="006D0A06">
        <w:rPr>
          <w:rFonts w:ascii="Arial" w:hAnsi="Arial" w:cs="Arial"/>
          <w:sz w:val="22"/>
          <w:szCs w:val="22"/>
        </w:rPr>
        <w:t xml:space="preserve">include revised strategies </w:t>
      </w:r>
      <w:r w:rsidR="00E901AE">
        <w:rPr>
          <w:rFonts w:ascii="Arial" w:hAnsi="Arial" w:cs="Arial"/>
          <w:sz w:val="22"/>
          <w:szCs w:val="22"/>
        </w:rPr>
        <w:t xml:space="preserve">and maps </w:t>
      </w:r>
      <w:r w:rsidRPr="006D0A06">
        <w:rPr>
          <w:rFonts w:ascii="Arial" w:hAnsi="Arial" w:cs="Arial"/>
          <w:sz w:val="22"/>
          <w:szCs w:val="22"/>
        </w:rPr>
        <w:t>in relation to Portarlington and Indented Head, consistent with the Portarlington Structure Plan, 2016 and the Indented Head Structure Plan, 2016.</w:t>
      </w:r>
    </w:p>
    <w:p w:rsidR="00E108B6" w:rsidRPr="006D0A06" w:rsidRDefault="00E108B6" w:rsidP="00E108B6">
      <w:pPr>
        <w:numPr>
          <w:ilvl w:val="1"/>
          <w:numId w:val="8"/>
        </w:numPr>
        <w:tabs>
          <w:tab w:val="left" w:pos="851"/>
        </w:tabs>
        <w:spacing w:before="120"/>
        <w:ind w:left="851"/>
        <w:jc w:val="both"/>
        <w:rPr>
          <w:rFonts w:ascii="Arial" w:hAnsi="Arial" w:cs="Arial"/>
          <w:sz w:val="22"/>
          <w:szCs w:val="22"/>
        </w:rPr>
      </w:pPr>
      <w:r w:rsidRPr="006D0A06">
        <w:rPr>
          <w:rFonts w:ascii="Arial" w:hAnsi="Arial" w:cs="Arial"/>
          <w:sz w:val="22"/>
          <w:szCs w:val="22"/>
        </w:rPr>
        <w:t>i</w:t>
      </w:r>
      <w:r>
        <w:rPr>
          <w:rFonts w:ascii="Arial" w:hAnsi="Arial" w:cs="Arial"/>
          <w:sz w:val="22"/>
          <w:szCs w:val="22"/>
        </w:rPr>
        <w:t>n</w:t>
      </w:r>
      <w:r w:rsidRPr="006D0A06">
        <w:rPr>
          <w:rFonts w:ascii="Arial" w:hAnsi="Arial" w:cs="Arial"/>
          <w:sz w:val="22"/>
          <w:szCs w:val="22"/>
        </w:rPr>
        <w:t xml:space="preserve">clude </w:t>
      </w:r>
      <w:r>
        <w:rPr>
          <w:rFonts w:ascii="Arial" w:hAnsi="Arial" w:cs="Arial"/>
          <w:sz w:val="22"/>
          <w:szCs w:val="22"/>
        </w:rPr>
        <w:t>i</w:t>
      </w:r>
      <w:r w:rsidRPr="006D0A06">
        <w:rPr>
          <w:rFonts w:ascii="Arial" w:hAnsi="Arial" w:cs="Arial"/>
          <w:sz w:val="22"/>
          <w:szCs w:val="22"/>
        </w:rPr>
        <w:t xml:space="preserve">n ‘Further Work’, an additional requirement to “Undertake a strategic assessment to identify aged care needs across the Bellarine Peninsula, identifying design options and guidance to encourage older people to remain in their homes as long as possible through adaptable housing design.” </w:t>
      </w:r>
    </w:p>
    <w:p w:rsidR="00E108B6" w:rsidRPr="006D0A06" w:rsidRDefault="00E108B6" w:rsidP="00E108B6">
      <w:pPr>
        <w:numPr>
          <w:ilvl w:val="1"/>
          <w:numId w:val="8"/>
        </w:numPr>
        <w:tabs>
          <w:tab w:val="left" w:pos="851"/>
        </w:tabs>
        <w:spacing w:before="120"/>
        <w:ind w:left="851"/>
        <w:jc w:val="both"/>
        <w:rPr>
          <w:rFonts w:ascii="Arial" w:hAnsi="Arial" w:cs="Arial"/>
          <w:sz w:val="22"/>
          <w:szCs w:val="22"/>
        </w:rPr>
      </w:pPr>
      <w:r>
        <w:rPr>
          <w:rFonts w:ascii="Arial" w:hAnsi="Arial" w:cs="Arial"/>
          <w:sz w:val="22"/>
          <w:szCs w:val="22"/>
        </w:rPr>
        <w:t>r</w:t>
      </w:r>
      <w:r w:rsidRPr="006D0A06">
        <w:rPr>
          <w:rFonts w:ascii="Arial" w:hAnsi="Arial" w:cs="Arial"/>
          <w:sz w:val="22"/>
          <w:szCs w:val="22"/>
        </w:rPr>
        <w:t>evise the list of reference documents to include 2016 adopted versions of the Portarlington Structure Plan and the Indented Head Structure Plan.</w:t>
      </w:r>
    </w:p>
    <w:p w:rsidR="00E108B6" w:rsidRPr="00F21E47" w:rsidRDefault="00E108B6" w:rsidP="00E108B6">
      <w:pPr>
        <w:spacing w:before="360"/>
        <w:jc w:val="both"/>
        <w:outlineLvl w:val="1"/>
        <w:rPr>
          <w:rFonts w:ascii="Arial" w:hAnsi="Arial" w:cs="Arial"/>
          <w:b/>
          <w:bCs/>
          <w:smallCaps/>
          <w:sz w:val="24"/>
        </w:rPr>
      </w:pPr>
      <w:r w:rsidRPr="00F21E47">
        <w:rPr>
          <w:rFonts w:ascii="Arial" w:hAnsi="Arial" w:cs="Arial"/>
          <w:b/>
          <w:bCs/>
          <w:sz w:val="24"/>
        </w:rPr>
        <w:t xml:space="preserve">Strategic assessment of the amendment </w:t>
      </w:r>
    </w:p>
    <w:p w:rsidR="00E108B6" w:rsidRDefault="00E108B6" w:rsidP="00E108B6">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Why is the amendment required?</w:t>
      </w:r>
      <w:r>
        <w:rPr>
          <w:rFonts w:ascii="Arial" w:hAnsi="Arial" w:cs="Arial"/>
          <w:b/>
          <w:smallCaps w:val="0"/>
          <w:szCs w:val="24"/>
        </w:rPr>
        <w:t xml:space="preserve"> </w:t>
      </w:r>
    </w:p>
    <w:p w:rsidR="00E108B6" w:rsidRPr="006D0A06" w:rsidRDefault="00E108B6" w:rsidP="00E108B6">
      <w:pPr>
        <w:spacing w:before="120"/>
        <w:jc w:val="both"/>
        <w:rPr>
          <w:rFonts w:ascii="Arial" w:hAnsi="Arial" w:cs="Arial"/>
          <w:sz w:val="22"/>
          <w:szCs w:val="22"/>
        </w:rPr>
      </w:pPr>
      <w:r w:rsidRPr="006D0A06">
        <w:rPr>
          <w:rFonts w:ascii="Arial" w:hAnsi="Arial" w:cs="Arial"/>
          <w:sz w:val="22"/>
          <w:szCs w:val="22"/>
        </w:rPr>
        <w:t xml:space="preserve">The Amendment is required to give effect to the adopted Portarlington Plan (May 2016) and the adopted Indented Head Structure Plan (May 2016) within the Greater Geelong Planning Scheme. </w:t>
      </w:r>
    </w:p>
    <w:p w:rsidR="00E108B6" w:rsidRPr="006D0A06" w:rsidRDefault="00E108B6" w:rsidP="00E108B6">
      <w:pPr>
        <w:spacing w:before="120"/>
        <w:jc w:val="both"/>
        <w:rPr>
          <w:rFonts w:ascii="Arial" w:hAnsi="Arial" w:cs="Arial"/>
          <w:sz w:val="22"/>
          <w:szCs w:val="22"/>
        </w:rPr>
      </w:pPr>
      <w:r w:rsidRPr="006D0A06">
        <w:rPr>
          <w:rFonts w:ascii="Arial" w:hAnsi="Arial" w:cs="Arial"/>
          <w:sz w:val="22"/>
          <w:szCs w:val="22"/>
        </w:rPr>
        <w:t xml:space="preserve">As part of </w:t>
      </w:r>
      <w:r w:rsidRPr="00150C25">
        <w:rPr>
          <w:rFonts w:ascii="Arial" w:hAnsi="Arial" w:cs="Arial"/>
          <w:sz w:val="22"/>
          <w:szCs w:val="22"/>
        </w:rPr>
        <w:t xml:space="preserve">the </w:t>
      </w:r>
      <w:r w:rsidRPr="006D0A06">
        <w:rPr>
          <w:rFonts w:ascii="Arial" w:hAnsi="Arial" w:cs="Arial"/>
          <w:sz w:val="22"/>
          <w:szCs w:val="22"/>
        </w:rPr>
        <w:t xml:space="preserve">five year strategic work plan review, Council undertook a review of the 2007 </w:t>
      </w:r>
      <w:r w:rsidRPr="00150C25">
        <w:rPr>
          <w:rFonts w:ascii="Arial" w:hAnsi="Arial" w:cs="Arial"/>
          <w:sz w:val="22"/>
          <w:szCs w:val="22"/>
        </w:rPr>
        <w:t>Indented Head</w:t>
      </w:r>
      <w:r w:rsidRPr="006D0A06">
        <w:rPr>
          <w:rFonts w:ascii="Arial" w:hAnsi="Arial" w:cs="Arial"/>
          <w:sz w:val="22"/>
          <w:szCs w:val="22"/>
        </w:rPr>
        <w:t xml:space="preserve"> Structure Plan</w:t>
      </w:r>
      <w:r w:rsidRPr="00150C25">
        <w:rPr>
          <w:rFonts w:ascii="Arial" w:hAnsi="Arial" w:cs="Arial"/>
          <w:sz w:val="22"/>
          <w:szCs w:val="22"/>
        </w:rPr>
        <w:t xml:space="preserve"> and the 2008 Portarlington Structure Plan</w:t>
      </w:r>
      <w:r w:rsidRPr="006D0A06">
        <w:rPr>
          <w:rFonts w:ascii="Arial" w:hAnsi="Arial" w:cs="Arial"/>
          <w:sz w:val="22"/>
          <w:szCs w:val="22"/>
        </w:rPr>
        <w:t xml:space="preserve">. </w:t>
      </w:r>
    </w:p>
    <w:p w:rsidR="00E108B6" w:rsidRPr="006D0A06" w:rsidRDefault="00E108B6" w:rsidP="00E108B6">
      <w:pPr>
        <w:autoSpaceDE w:val="0"/>
        <w:autoSpaceDN w:val="0"/>
        <w:adjustRightInd w:val="0"/>
        <w:jc w:val="both"/>
        <w:rPr>
          <w:rFonts w:ascii="Arial" w:hAnsi="Arial" w:cs="Arial"/>
          <w:color w:val="808080" w:themeColor="background1" w:themeShade="80"/>
          <w:sz w:val="22"/>
          <w:szCs w:val="22"/>
        </w:rPr>
      </w:pPr>
    </w:p>
    <w:p w:rsidR="00E108B6" w:rsidRPr="006D0A06" w:rsidRDefault="00E108B6" w:rsidP="00E108B6">
      <w:pPr>
        <w:autoSpaceDE w:val="0"/>
        <w:autoSpaceDN w:val="0"/>
        <w:adjustRightInd w:val="0"/>
        <w:jc w:val="both"/>
        <w:rPr>
          <w:rFonts w:ascii="Arial" w:hAnsi="Arial" w:cs="Arial"/>
          <w:sz w:val="22"/>
          <w:szCs w:val="22"/>
        </w:rPr>
      </w:pPr>
      <w:r w:rsidRPr="006D0A06">
        <w:rPr>
          <w:rFonts w:ascii="Arial" w:hAnsi="Arial" w:cs="Arial"/>
          <w:sz w:val="22"/>
          <w:szCs w:val="22"/>
        </w:rPr>
        <w:t>The review built upon the current Structure Plan</w:t>
      </w:r>
      <w:r>
        <w:rPr>
          <w:rFonts w:ascii="Arial" w:hAnsi="Arial" w:cs="Arial"/>
          <w:sz w:val="22"/>
          <w:szCs w:val="22"/>
        </w:rPr>
        <w:t>s</w:t>
      </w:r>
      <w:r w:rsidRPr="006D0A06">
        <w:rPr>
          <w:rFonts w:ascii="Arial" w:hAnsi="Arial" w:cs="Arial"/>
          <w:sz w:val="22"/>
          <w:szCs w:val="22"/>
        </w:rPr>
        <w:t xml:space="preserve"> (2007</w:t>
      </w:r>
      <w:r>
        <w:rPr>
          <w:rFonts w:ascii="Arial" w:hAnsi="Arial" w:cs="Arial"/>
          <w:sz w:val="22"/>
          <w:szCs w:val="22"/>
        </w:rPr>
        <w:t xml:space="preserve"> and 2008</w:t>
      </w:r>
      <w:r w:rsidRPr="006D0A06">
        <w:rPr>
          <w:rFonts w:ascii="Arial" w:hAnsi="Arial" w:cs="Arial"/>
          <w:sz w:val="22"/>
          <w:szCs w:val="22"/>
        </w:rPr>
        <w:t>) but has been amended to include updated State and Local Planning Polices, population growth, lot supply and dwelling construction rates, the location of the settlement boundary, environmental and social considerations including further service provisions for the town and a future review period.</w:t>
      </w:r>
    </w:p>
    <w:p w:rsidR="00E108B6" w:rsidRPr="006D0A06" w:rsidRDefault="00E108B6" w:rsidP="00E108B6">
      <w:pPr>
        <w:spacing w:before="120"/>
        <w:jc w:val="both"/>
        <w:rPr>
          <w:rFonts w:ascii="Arial" w:hAnsi="Arial" w:cs="Arial"/>
          <w:sz w:val="22"/>
          <w:szCs w:val="22"/>
        </w:rPr>
      </w:pPr>
      <w:r w:rsidRPr="006D0A06">
        <w:rPr>
          <w:rFonts w:ascii="Arial" w:hAnsi="Arial" w:cs="Arial"/>
          <w:sz w:val="22"/>
          <w:szCs w:val="22"/>
        </w:rPr>
        <w:t xml:space="preserve">This Amendment gives effect to the principles and directions contained within the </w:t>
      </w:r>
      <w:r w:rsidRPr="00E24696">
        <w:rPr>
          <w:rFonts w:ascii="Arial" w:hAnsi="Arial" w:cs="Arial"/>
          <w:sz w:val="22"/>
          <w:szCs w:val="22"/>
        </w:rPr>
        <w:t>adopted Portarlington and Indented head Structure Plans 2016.</w:t>
      </w:r>
      <w:r w:rsidRPr="006D0A06">
        <w:rPr>
          <w:rFonts w:ascii="Arial" w:hAnsi="Arial" w:cs="Arial"/>
          <w:sz w:val="22"/>
          <w:szCs w:val="22"/>
        </w:rPr>
        <w:t xml:space="preserve"> </w:t>
      </w:r>
    </w:p>
    <w:p w:rsidR="00E108B6" w:rsidRPr="006D0A06" w:rsidRDefault="00E108B6" w:rsidP="00E108B6">
      <w:pPr>
        <w:spacing w:before="120"/>
        <w:jc w:val="both"/>
        <w:rPr>
          <w:rFonts w:ascii="Arial" w:hAnsi="Arial" w:cs="Arial"/>
          <w:sz w:val="22"/>
          <w:szCs w:val="22"/>
        </w:rPr>
      </w:pPr>
      <w:r w:rsidRPr="006D0A06">
        <w:rPr>
          <w:rFonts w:ascii="Arial" w:hAnsi="Arial" w:cs="Arial"/>
          <w:sz w:val="22"/>
          <w:szCs w:val="22"/>
        </w:rPr>
        <w:lastRenderedPageBreak/>
        <w:t>In order for the new principles and directions to have statutory weight in the consideration of planning permits and rezoning requests, it is necessary for the</w:t>
      </w:r>
      <w:r w:rsidRPr="00E24696">
        <w:rPr>
          <w:rFonts w:ascii="Arial" w:hAnsi="Arial" w:cs="Arial"/>
          <w:sz w:val="22"/>
          <w:szCs w:val="22"/>
        </w:rPr>
        <w:t xml:space="preserve"> recently adopted</w:t>
      </w:r>
      <w:r w:rsidRPr="006D0A06">
        <w:rPr>
          <w:rFonts w:ascii="Arial" w:hAnsi="Arial" w:cs="Arial"/>
          <w:sz w:val="22"/>
          <w:szCs w:val="22"/>
        </w:rPr>
        <w:t xml:space="preserve"> </w:t>
      </w:r>
      <w:r w:rsidRPr="00E24696">
        <w:rPr>
          <w:rFonts w:ascii="Arial" w:hAnsi="Arial" w:cs="Arial"/>
          <w:sz w:val="22"/>
          <w:szCs w:val="22"/>
        </w:rPr>
        <w:t>Portarlington and Indented Head</w:t>
      </w:r>
      <w:r w:rsidRPr="006D0A06">
        <w:rPr>
          <w:rFonts w:ascii="Arial" w:hAnsi="Arial" w:cs="Arial"/>
          <w:sz w:val="22"/>
          <w:szCs w:val="22"/>
        </w:rPr>
        <w:t xml:space="preserve"> Structure Plan</w:t>
      </w:r>
      <w:r w:rsidRPr="00E24696">
        <w:rPr>
          <w:rFonts w:ascii="Arial" w:hAnsi="Arial" w:cs="Arial"/>
          <w:sz w:val="22"/>
          <w:szCs w:val="22"/>
        </w:rPr>
        <w:t>s</w:t>
      </w:r>
      <w:r w:rsidRPr="006D0A06">
        <w:rPr>
          <w:rFonts w:ascii="Arial" w:hAnsi="Arial" w:cs="Arial"/>
          <w:sz w:val="22"/>
          <w:szCs w:val="22"/>
        </w:rPr>
        <w:t xml:space="preserve"> to be included in the Greater Geelong Planning Scheme. </w:t>
      </w:r>
    </w:p>
    <w:p w:rsidR="00E108B6" w:rsidRDefault="00E108B6" w:rsidP="00E108B6">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implement the objectives of planning in Victoria?</w:t>
      </w:r>
    </w:p>
    <w:p w:rsidR="00E108B6" w:rsidRPr="006D0A06" w:rsidRDefault="00E108B6" w:rsidP="00E108B6">
      <w:pPr>
        <w:spacing w:before="120"/>
        <w:jc w:val="both"/>
        <w:rPr>
          <w:rFonts w:ascii="Arial" w:hAnsi="Arial" w:cs="Arial"/>
          <w:sz w:val="22"/>
          <w:szCs w:val="22"/>
        </w:rPr>
      </w:pPr>
      <w:r w:rsidRPr="006D0A06">
        <w:rPr>
          <w:rFonts w:ascii="Arial" w:hAnsi="Arial" w:cs="Arial"/>
          <w:sz w:val="22"/>
          <w:szCs w:val="22"/>
        </w:rPr>
        <w:t xml:space="preserve">The Amendment implements the objectives of planning in Victoria pursuant to Section 4 of the </w:t>
      </w:r>
      <w:r w:rsidRPr="006D0A06">
        <w:rPr>
          <w:rFonts w:ascii="Arial" w:hAnsi="Arial" w:cs="Arial"/>
          <w:i/>
          <w:iCs/>
          <w:sz w:val="22"/>
          <w:szCs w:val="22"/>
        </w:rPr>
        <w:t xml:space="preserve">Planning and Environment Act 1987 </w:t>
      </w:r>
      <w:r w:rsidRPr="006D0A06">
        <w:rPr>
          <w:rFonts w:ascii="Arial" w:hAnsi="Arial" w:cs="Arial"/>
          <w:sz w:val="22"/>
          <w:szCs w:val="22"/>
        </w:rPr>
        <w:t>by providing for the fair, orderly and sustainable development of land where environmental, social and economic effects are recognised.</w:t>
      </w:r>
    </w:p>
    <w:p w:rsidR="00E108B6" w:rsidRDefault="00E108B6" w:rsidP="00E108B6">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 xml:space="preserve">How does the amendment address the environmental effects and any relevant social and economic effects? </w:t>
      </w:r>
    </w:p>
    <w:p w:rsidR="00E108B6" w:rsidRPr="006D0A06" w:rsidRDefault="00E108B6" w:rsidP="00E108B6">
      <w:pPr>
        <w:spacing w:before="120"/>
        <w:jc w:val="both"/>
        <w:rPr>
          <w:rFonts w:ascii="Arial" w:hAnsi="Arial" w:cs="Arial"/>
          <w:sz w:val="22"/>
          <w:szCs w:val="22"/>
        </w:rPr>
      </w:pPr>
      <w:r w:rsidRPr="006D0A06">
        <w:rPr>
          <w:rFonts w:ascii="Arial" w:hAnsi="Arial" w:cs="Arial"/>
          <w:sz w:val="22"/>
          <w:szCs w:val="22"/>
        </w:rPr>
        <w:t xml:space="preserve">The Structure Plans clearly define a nominated settlement </w:t>
      </w:r>
      <w:proofErr w:type="spellStart"/>
      <w:r w:rsidRPr="006D0A06">
        <w:rPr>
          <w:rFonts w:ascii="Arial" w:hAnsi="Arial" w:cs="Arial"/>
          <w:sz w:val="22"/>
          <w:szCs w:val="22"/>
        </w:rPr>
        <w:t>boundarys</w:t>
      </w:r>
      <w:proofErr w:type="spellEnd"/>
      <w:r w:rsidRPr="006D0A06">
        <w:rPr>
          <w:rFonts w:ascii="Arial" w:hAnsi="Arial" w:cs="Arial"/>
          <w:sz w:val="22"/>
          <w:szCs w:val="22"/>
        </w:rPr>
        <w:t xml:space="preserve"> for townships, which will accommodate the forecast population increase, reduce urban sprawl and protect surrounding costal and rural environments. </w:t>
      </w:r>
    </w:p>
    <w:p w:rsidR="00E108B6" w:rsidRPr="006D0A06" w:rsidRDefault="00E108B6" w:rsidP="00E108B6">
      <w:pPr>
        <w:spacing w:before="120"/>
        <w:jc w:val="both"/>
        <w:rPr>
          <w:rFonts w:ascii="Arial" w:hAnsi="Arial" w:cs="Arial"/>
          <w:sz w:val="22"/>
          <w:szCs w:val="22"/>
        </w:rPr>
      </w:pPr>
      <w:r w:rsidRPr="006D0A06">
        <w:rPr>
          <w:rFonts w:ascii="Arial" w:hAnsi="Arial" w:cs="Arial"/>
          <w:sz w:val="22"/>
          <w:szCs w:val="22"/>
        </w:rPr>
        <w:t>The Amendment has positive social and economic effects on the community as it provides strategic direction of the future development of the towns. It will generate positive social and economic benefits through meeting community needs and demands for housing and associated uses.</w:t>
      </w:r>
    </w:p>
    <w:p w:rsidR="00E108B6" w:rsidRPr="00F21E47" w:rsidRDefault="00E108B6" w:rsidP="00E108B6">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address relevant bushfire risk?</w:t>
      </w:r>
    </w:p>
    <w:p w:rsidR="00E108B6" w:rsidRPr="00A76977" w:rsidRDefault="00E108B6" w:rsidP="00E108B6">
      <w:pPr>
        <w:spacing w:before="120"/>
        <w:jc w:val="both"/>
        <w:rPr>
          <w:rFonts w:ascii="Arial" w:hAnsi="Arial" w:cs="Arial"/>
          <w:snapToGrid w:val="0"/>
          <w:sz w:val="22"/>
          <w:szCs w:val="22"/>
          <w:lang w:eastAsia="en-US"/>
        </w:rPr>
      </w:pPr>
      <w:r w:rsidRPr="00B045DA">
        <w:rPr>
          <w:rFonts w:ascii="Arial" w:hAnsi="Arial" w:cs="Arial"/>
          <w:snapToGrid w:val="0"/>
          <w:sz w:val="22"/>
          <w:szCs w:val="22"/>
          <w:lang w:eastAsia="en-US"/>
        </w:rPr>
        <w:t xml:space="preserve">Land to the </w:t>
      </w:r>
      <w:r w:rsidRPr="00A76977">
        <w:rPr>
          <w:rFonts w:ascii="Arial" w:hAnsi="Arial" w:cs="Arial"/>
          <w:snapToGrid w:val="0"/>
          <w:sz w:val="22"/>
          <w:szCs w:val="22"/>
          <w:lang w:eastAsia="en-US"/>
        </w:rPr>
        <w:t xml:space="preserve">west, south and east </w:t>
      </w:r>
      <w:r w:rsidRPr="00B045DA">
        <w:rPr>
          <w:rFonts w:ascii="Arial" w:hAnsi="Arial" w:cs="Arial"/>
          <w:snapToGrid w:val="0"/>
          <w:sz w:val="22"/>
          <w:szCs w:val="22"/>
          <w:lang w:eastAsia="en-US"/>
        </w:rPr>
        <w:t xml:space="preserve">of </w:t>
      </w:r>
      <w:r w:rsidRPr="00A76977">
        <w:rPr>
          <w:rFonts w:ascii="Arial" w:hAnsi="Arial" w:cs="Arial"/>
          <w:snapToGrid w:val="0"/>
          <w:sz w:val="22"/>
          <w:szCs w:val="22"/>
          <w:lang w:eastAsia="en-US"/>
        </w:rPr>
        <w:t>Portarlington</w:t>
      </w:r>
      <w:r w:rsidRPr="00B045DA">
        <w:rPr>
          <w:rFonts w:ascii="Arial" w:hAnsi="Arial" w:cs="Arial"/>
          <w:snapToGrid w:val="0"/>
          <w:sz w:val="22"/>
          <w:szCs w:val="22"/>
          <w:lang w:eastAsia="en-US"/>
        </w:rPr>
        <w:t xml:space="preserve"> </w:t>
      </w:r>
      <w:r w:rsidRPr="00A76977">
        <w:rPr>
          <w:rFonts w:ascii="Arial" w:hAnsi="Arial" w:cs="Arial"/>
          <w:snapToGrid w:val="0"/>
          <w:sz w:val="22"/>
          <w:szCs w:val="22"/>
          <w:lang w:eastAsia="en-US"/>
        </w:rPr>
        <w:t xml:space="preserve">of both Portarlington and Indented head </w:t>
      </w:r>
      <w:r w:rsidRPr="00B045DA">
        <w:rPr>
          <w:rFonts w:ascii="Arial" w:hAnsi="Arial" w:cs="Arial"/>
          <w:snapToGrid w:val="0"/>
          <w:sz w:val="22"/>
          <w:szCs w:val="22"/>
          <w:lang w:eastAsia="en-US"/>
        </w:rPr>
        <w:t xml:space="preserve">is subject to bushfire prone designation. </w:t>
      </w:r>
    </w:p>
    <w:p w:rsidR="00E108B6" w:rsidRPr="008605FA" w:rsidRDefault="00E108B6" w:rsidP="00E108B6">
      <w:pPr>
        <w:spacing w:before="120"/>
        <w:jc w:val="both"/>
        <w:rPr>
          <w:rFonts w:ascii="Arial" w:hAnsi="Arial" w:cs="Arial"/>
          <w:snapToGrid w:val="0"/>
          <w:sz w:val="22"/>
          <w:szCs w:val="22"/>
          <w:lang w:eastAsia="en-US"/>
        </w:rPr>
      </w:pPr>
      <w:r w:rsidRPr="008605FA">
        <w:rPr>
          <w:rFonts w:ascii="Arial" w:hAnsi="Arial" w:cs="Arial"/>
          <w:snapToGrid w:val="0"/>
          <w:sz w:val="22"/>
          <w:szCs w:val="22"/>
          <w:lang w:eastAsia="en-US"/>
        </w:rPr>
        <w:t xml:space="preserve">Significant environmental areas are located within the respective settlement boundaries.  In Portarlington this consists of land zoned Public Conservation and Resource Zone and Public Park and Recreation Zone east of the northern end of Point Richards Road, north of Portarlington Road.  In Indented Head it includes an area currently zoned General Residential Zone, Schedule 2, bounded by Batman Road to the north, Church Road to the South and Seascape Drive and </w:t>
      </w:r>
      <w:proofErr w:type="spellStart"/>
      <w:r w:rsidRPr="008605FA">
        <w:rPr>
          <w:rFonts w:ascii="Arial" w:hAnsi="Arial" w:cs="Arial"/>
          <w:snapToGrid w:val="0"/>
          <w:sz w:val="22"/>
          <w:szCs w:val="22"/>
          <w:lang w:eastAsia="en-US"/>
        </w:rPr>
        <w:t>Annmaree</w:t>
      </w:r>
      <w:proofErr w:type="spellEnd"/>
      <w:r w:rsidRPr="008605FA">
        <w:rPr>
          <w:rFonts w:ascii="Arial" w:hAnsi="Arial" w:cs="Arial"/>
          <w:snapToGrid w:val="0"/>
          <w:sz w:val="22"/>
          <w:szCs w:val="22"/>
          <w:lang w:eastAsia="en-US"/>
        </w:rPr>
        <w:t xml:space="preserve"> Drive to the east.  This well vegetated undeveloped and undeveloped land is currently the subject of a land swap proposal between Council and the land owner.</w:t>
      </w:r>
    </w:p>
    <w:p w:rsidR="00E108B6" w:rsidRPr="008605FA" w:rsidRDefault="00E108B6" w:rsidP="00E108B6">
      <w:pPr>
        <w:spacing w:before="120"/>
        <w:jc w:val="both"/>
        <w:rPr>
          <w:rFonts w:ascii="Arial" w:hAnsi="Arial" w:cs="Arial"/>
          <w:snapToGrid w:val="0"/>
          <w:sz w:val="22"/>
          <w:szCs w:val="22"/>
          <w:lang w:eastAsia="en-US"/>
        </w:rPr>
      </w:pPr>
      <w:r w:rsidRPr="008605FA">
        <w:rPr>
          <w:rFonts w:ascii="Arial" w:hAnsi="Arial" w:cs="Arial"/>
          <w:snapToGrid w:val="0"/>
          <w:sz w:val="22"/>
          <w:szCs w:val="22"/>
          <w:lang w:eastAsia="en-US"/>
        </w:rPr>
        <w:t>Neither of the</w:t>
      </w:r>
      <w:r w:rsidRPr="00B045DA">
        <w:rPr>
          <w:rFonts w:ascii="Arial" w:hAnsi="Arial" w:cs="Arial"/>
          <w:snapToGrid w:val="0"/>
          <w:sz w:val="22"/>
          <w:szCs w:val="22"/>
          <w:lang w:eastAsia="en-US"/>
        </w:rPr>
        <w:t xml:space="preserve"> nominated settlement boundar</w:t>
      </w:r>
      <w:r w:rsidRPr="008605FA">
        <w:rPr>
          <w:rFonts w:ascii="Arial" w:hAnsi="Arial" w:cs="Arial"/>
          <w:snapToGrid w:val="0"/>
          <w:sz w:val="22"/>
          <w:szCs w:val="22"/>
          <w:lang w:eastAsia="en-US"/>
        </w:rPr>
        <w:t>ies</w:t>
      </w:r>
      <w:r w:rsidRPr="00B045DA">
        <w:rPr>
          <w:rFonts w:ascii="Arial" w:hAnsi="Arial" w:cs="Arial"/>
          <w:snapToGrid w:val="0"/>
          <w:sz w:val="22"/>
          <w:szCs w:val="22"/>
          <w:lang w:eastAsia="en-US"/>
        </w:rPr>
        <w:t xml:space="preserve"> propose any urban extension that would </w:t>
      </w:r>
      <w:r w:rsidRPr="008605FA">
        <w:rPr>
          <w:rFonts w:ascii="Arial" w:hAnsi="Arial" w:cs="Arial"/>
          <w:snapToGrid w:val="0"/>
          <w:sz w:val="22"/>
          <w:szCs w:val="22"/>
          <w:lang w:eastAsia="en-US"/>
        </w:rPr>
        <w:t>exacerbate</w:t>
      </w:r>
      <w:r w:rsidRPr="00B045DA">
        <w:rPr>
          <w:rFonts w:ascii="Arial" w:hAnsi="Arial" w:cs="Arial"/>
          <w:snapToGrid w:val="0"/>
          <w:sz w:val="22"/>
          <w:szCs w:val="22"/>
          <w:lang w:eastAsia="en-US"/>
        </w:rPr>
        <w:t>, any existing bushf</w:t>
      </w:r>
      <w:r w:rsidRPr="008605FA">
        <w:rPr>
          <w:rFonts w:ascii="Arial" w:hAnsi="Arial" w:cs="Arial"/>
          <w:snapToGrid w:val="0"/>
          <w:sz w:val="22"/>
          <w:szCs w:val="22"/>
          <w:lang w:eastAsia="en-US"/>
        </w:rPr>
        <w:t>ire risk</w:t>
      </w:r>
      <w:r w:rsidRPr="00B045DA">
        <w:rPr>
          <w:rFonts w:ascii="Arial" w:hAnsi="Arial" w:cs="Arial"/>
          <w:snapToGrid w:val="0"/>
          <w:sz w:val="22"/>
          <w:szCs w:val="22"/>
          <w:lang w:eastAsia="en-US"/>
        </w:rPr>
        <w:t>.</w:t>
      </w:r>
    </w:p>
    <w:p w:rsidR="00E108B6" w:rsidRDefault="00E108B6" w:rsidP="00E108B6">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comply with the requirements of any Minister’s Direction applicable to the amendment?</w:t>
      </w:r>
    </w:p>
    <w:p w:rsidR="00E108B6" w:rsidRPr="00B045DA" w:rsidRDefault="00E108B6" w:rsidP="00E108B6">
      <w:pPr>
        <w:spacing w:before="120"/>
        <w:jc w:val="both"/>
        <w:rPr>
          <w:rFonts w:ascii="Arial" w:hAnsi="Arial" w:cs="Arial"/>
          <w:sz w:val="22"/>
          <w:szCs w:val="22"/>
        </w:rPr>
      </w:pPr>
      <w:r w:rsidRPr="00B045DA">
        <w:rPr>
          <w:rFonts w:ascii="Arial" w:hAnsi="Arial" w:cs="Arial"/>
          <w:sz w:val="22"/>
          <w:szCs w:val="22"/>
        </w:rPr>
        <w:t xml:space="preserve">The Amendment is consistent with the Ministerial Direction on the Form and Content of Planning Schemes under section 7(5) of the Act, Ministerial Direction 11 Strategic Assessment of Amendments as the Explanatory Report includes all requirements to be met and Ministerial Direction No. 17 Localised Planning Statements. </w:t>
      </w:r>
    </w:p>
    <w:p w:rsidR="00E108B6" w:rsidRPr="00F21E47" w:rsidRDefault="00E108B6" w:rsidP="00E108B6">
      <w:pPr>
        <w:spacing w:before="120"/>
        <w:jc w:val="both"/>
        <w:rPr>
          <w:rFonts w:ascii="Arial" w:hAnsi="Arial" w:cs="Arial"/>
          <w:sz w:val="22"/>
          <w:szCs w:val="22"/>
        </w:rPr>
      </w:pPr>
      <w:r w:rsidRPr="00B045DA">
        <w:rPr>
          <w:rFonts w:ascii="Arial" w:hAnsi="Arial" w:cs="Arial"/>
          <w:sz w:val="22"/>
          <w:szCs w:val="22"/>
        </w:rPr>
        <w:t>The Amendment is also consistent with Ministerial Direction No. 15 The Planning Scheme Amendment Process.</w:t>
      </w:r>
    </w:p>
    <w:p w:rsidR="00E108B6" w:rsidRPr="00F21E47" w:rsidRDefault="00E108B6" w:rsidP="00E108B6">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How does the amendment support or implement the State Planning Policy Framework and any adopted State policy?</w:t>
      </w:r>
    </w:p>
    <w:p w:rsidR="00E108B6" w:rsidRPr="00BA57FE" w:rsidRDefault="00E108B6" w:rsidP="00E108B6">
      <w:pPr>
        <w:spacing w:before="120"/>
        <w:jc w:val="both"/>
        <w:rPr>
          <w:rFonts w:ascii="Arial" w:hAnsi="Arial" w:cs="Arial"/>
          <w:snapToGrid w:val="0"/>
          <w:sz w:val="22"/>
          <w:szCs w:val="22"/>
          <w:lang w:eastAsia="en-US"/>
        </w:rPr>
      </w:pPr>
      <w:r w:rsidRPr="00BA57FE">
        <w:rPr>
          <w:rFonts w:ascii="Arial" w:hAnsi="Arial" w:cs="Arial"/>
          <w:snapToGrid w:val="0"/>
          <w:sz w:val="22"/>
          <w:szCs w:val="22"/>
          <w:lang w:eastAsia="en-US"/>
        </w:rPr>
        <w:t xml:space="preserve">The Amendment supports a number of State policies, particularly Clause 11 – Settlement. The Clause requires planning authorities to facilitate the orderly development of urban areas through the preparation of strategic plans.  </w:t>
      </w:r>
    </w:p>
    <w:p w:rsidR="00E108B6" w:rsidRPr="00BA57FE" w:rsidRDefault="00E108B6" w:rsidP="00E108B6">
      <w:pPr>
        <w:spacing w:before="120"/>
        <w:jc w:val="both"/>
        <w:rPr>
          <w:rFonts w:ascii="Arial" w:hAnsi="Arial" w:cs="Arial"/>
          <w:snapToGrid w:val="0"/>
          <w:sz w:val="22"/>
          <w:szCs w:val="22"/>
          <w:lang w:eastAsia="en-US"/>
        </w:rPr>
      </w:pPr>
      <w:r w:rsidRPr="00BA57FE">
        <w:rPr>
          <w:rFonts w:ascii="Arial" w:hAnsi="Arial" w:cs="Arial"/>
          <w:snapToGrid w:val="0"/>
          <w:sz w:val="22"/>
          <w:szCs w:val="22"/>
          <w:lang w:eastAsia="en-US"/>
        </w:rPr>
        <w:t>Clause 11.02 Urban growth outlines strategies to ensure a sufficient supply of urban land is available and plan to accommodate population growth over at least a 15 year period providing clear direction on locations where growth should occur. It states that residential land supply will be considered on a municipal basis, rather than a town-by-town basis. The Amendment acknowledges the adequacy of residential land supply in the municipality, in the town and the role of the town as an urban growth location.</w:t>
      </w:r>
    </w:p>
    <w:p w:rsidR="00E108B6" w:rsidRPr="00BA57FE" w:rsidRDefault="00E108B6" w:rsidP="00E108B6">
      <w:pPr>
        <w:spacing w:before="120"/>
        <w:jc w:val="both"/>
        <w:rPr>
          <w:rFonts w:ascii="Arial" w:hAnsi="Arial" w:cs="Arial"/>
          <w:snapToGrid w:val="0"/>
          <w:sz w:val="22"/>
          <w:szCs w:val="22"/>
          <w:lang w:eastAsia="en-US"/>
        </w:rPr>
      </w:pPr>
      <w:r w:rsidRPr="00BA57FE">
        <w:rPr>
          <w:rFonts w:ascii="Arial" w:hAnsi="Arial" w:cs="Arial"/>
          <w:snapToGrid w:val="0"/>
          <w:sz w:val="22"/>
          <w:szCs w:val="22"/>
          <w:lang w:eastAsia="en-US"/>
        </w:rPr>
        <w:lastRenderedPageBreak/>
        <w:t xml:space="preserve">Clause 11.14 Planning for identified distinctive areas outlines the role of localised planning statements and that of the Bellarine Localised Planning Statement (LPS). The Amendment supports the LPS in terms of protecting non-urban breaks between settlements, supporting the growth of identified growth locations generally in line with adopted Structure Plans and seeking to protect, preserve and enhance built heritage, cultural and urban character values and preserve the individual identity and role townships. </w:t>
      </w:r>
    </w:p>
    <w:p w:rsidR="00E108B6" w:rsidRPr="00BA57FE" w:rsidRDefault="00E108B6" w:rsidP="00E108B6">
      <w:pPr>
        <w:spacing w:before="120"/>
        <w:jc w:val="both"/>
        <w:rPr>
          <w:rFonts w:ascii="Arial" w:hAnsi="Arial" w:cs="Arial"/>
          <w:snapToGrid w:val="0"/>
          <w:sz w:val="22"/>
          <w:szCs w:val="22"/>
          <w:lang w:eastAsia="en-US"/>
        </w:rPr>
      </w:pPr>
      <w:r w:rsidRPr="00BA57FE">
        <w:rPr>
          <w:rFonts w:ascii="Arial" w:hAnsi="Arial" w:cs="Arial"/>
          <w:snapToGrid w:val="0"/>
          <w:sz w:val="22"/>
          <w:szCs w:val="22"/>
          <w:lang w:eastAsia="en-US"/>
        </w:rPr>
        <w:t xml:space="preserve">Clause 11.05 Regional development outlines strategies to promote regional development, including that settlements are planned in accordance with any relevant regional growth plan and that coastal towns identify a clear settlement boundary and avoid linear urban sprawl along the coastal edge. The G21 Regional Growth Plan identifies Ocean Grove as a district town and the need to support the growth of these towns by building on existing and planned infrastructure. The Amendment seeks to implement a single coastal settlement boundary that accommodates future urban growth whilst protecting sensitive environmental assets and landscapes surrounding the town.  </w:t>
      </w:r>
    </w:p>
    <w:p w:rsidR="00E108B6" w:rsidRPr="00BA57FE" w:rsidRDefault="00E108B6" w:rsidP="00E108B6">
      <w:pPr>
        <w:spacing w:before="120"/>
        <w:jc w:val="both"/>
        <w:rPr>
          <w:rFonts w:ascii="Arial" w:hAnsi="Arial" w:cs="Arial"/>
          <w:snapToGrid w:val="0"/>
          <w:sz w:val="22"/>
          <w:szCs w:val="22"/>
          <w:lang w:eastAsia="en-US"/>
        </w:rPr>
      </w:pPr>
      <w:r w:rsidRPr="00BA57FE">
        <w:rPr>
          <w:rFonts w:ascii="Arial" w:hAnsi="Arial" w:cs="Arial"/>
          <w:snapToGrid w:val="0"/>
          <w:sz w:val="22"/>
          <w:szCs w:val="22"/>
          <w:lang w:eastAsia="en-US"/>
        </w:rPr>
        <w:t>The Structure Plan</w:t>
      </w:r>
      <w:r>
        <w:rPr>
          <w:rFonts w:ascii="Arial" w:hAnsi="Arial" w:cs="Arial"/>
          <w:snapToGrid w:val="0"/>
          <w:sz w:val="22"/>
          <w:szCs w:val="22"/>
          <w:lang w:eastAsia="en-US"/>
        </w:rPr>
        <w:t>s</w:t>
      </w:r>
      <w:r w:rsidRPr="00BA57FE">
        <w:rPr>
          <w:rFonts w:ascii="Arial" w:hAnsi="Arial" w:cs="Arial"/>
          <w:snapToGrid w:val="0"/>
          <w:sz w:val="22"/>
          <w:szCs w:val="22"/>
          <w:lang w:eastAsia="en-US"/>
        </w:rPr>
        <w:t xml:space="preserve"> </w:t>
      </w:r>
      <w:r>
        <w:rPr>
          <w:rFonts w:ascii="Arial" w:hAnsi="Arial" w:cs="Arial"/>
          <w:snapToGrid w:val="0"/>
          <w:sz w:val="22"/>
          <w:szCs w:val="22"/>
          <w:lang w:eastAsia="en-US"/>
        </w:rPr>
        <w:t>also identify</w:t>
      </w:r>
      <w:r w:rsidRPr="00BA57FE">
        <w:rPr>
          <w:rFonts w:ascii="Arial" w:hAnsi="Arial" w:cs="Arial"/>
          <w:snapToGrid w:val="0"/>
          <w:sz w:val="22"/>
          <w:szCs w:val="22"/>
          <w:lang w:eastAsia="en-US"/>
        </w:rPr>
        <w:t xml:space="preserve"> other </w:t>
      </w:r>
      <w:r>
        <w:rPr>
          <w:rFonts w:ascii="Arial" w:hAnsi="Arial" w:cs="Arial"/>
          <w:snapToGrid w:val="0"/>
          <w:sz w:val="22"/>
          <w:szCs w:val="22"/>
          <w:lang w:eastAsia="en-US"/>
        </w:rPr>
        <w:t xml:space="preserve">relevant </w:t>
      </w:r>
      <w:r w:rsidRPr="00BA57FE">
        <w:rPr>
          <w:rFonts w:ascii="Arial" w:hAnsi="Arial" w:cs="Arial"/>
          <w:snapToGrid w:val="0"/>
          <w:sz w:val="22"/>
          <w:szCs w:val="22"/>
          <w:lang w:eastAsia="en-US"/>
        </w:rPr>
        <w:t>State policies that have been considered in the</w:t>
      </w:r>
      <w:r>
        <w:rPr>
          <w:rFonts w:ascii="Arial" w:hAnsi="Arial" w:cs="Arial"/>
          <w:snapToGrid w:val="0"/>
          <w:sz w:val="22"/>
          <w:szCs w:val="22"/>
          <w:lang w:eastAsia="en-US"/>
        </w:rPr>
        <w:t>ir</w:t>
      </w:r>
      <w:r w:rsidRPr="00BA57FE">
        <w:rPr>
          <w:rFonts w:ascii="Arial" w:hAnsi="Arial" w:cs="Arial"/>
          <w:snapToGrid w:val="0"/>
          <w:sz w:val="22"/>
          <w:szCs w:val="22"/>
          <w:lang w:eastAsia="en-US"/>
        </w:rPr>
        <w:t xml:space="preserve"> preparation</w:t>
      </w:r>
      <w:r>
        <w:rPr>
          <w:rFonts w:ascii="Arial" w:hAnsi="Arial" w:cs="Arial"/>
          <w:snapToGrid w:val="0"/>
          <w:sz w:val="22"/>
          <w:szCs w:val="22"/>
          <w:lang w:eastAsia="en-US"/>
        </w:rPr>
        <w:t xml:space="preserve">, </w:t>
      </w:r>
      <w:proofErr w:type="spellStart"/>
      <w:r>
        <w:rPr>
          <w:rFonts w:ascii="Arial" w:hAnsi="Arial" w:cs="Arial"/>
          <w:snapToGrid w:val="0"/>
          <w:sz w:val="22"/>
          <w:szCs w:val="22"/>
          <w:lang w:eastAsia="en-US"/>
        </w:rPr>
        <w:t>includeing</w:t>
      </w:r>
      <w:proofErr w:type="spellEnd"/>
      <w:r w:rsidRPr="00BA57FE">
        <w:rPr>
          <w:rFonts w:ascii="Arial" w:hAnsi="Arial" w:cs="Arial"/>
          <w:snapToGrid w:val="0"/>
          <w:sz w:val="22"/>
          <w:szCs w:val="22"/>
          <w:lang w:eastAsia="en-US"/>
        </w:rPr>
        <w:t xml:space="preserve"> Clause 12 Environmental and Landscape Values; Clause 13 Environmental Risks; Clause 16 Housing; and Clause 19 Infrastructure.</w:t>
      </w:r>
    </w:p>
    <w:p w:rsidR="00E108B6" w:rsidRPr="00F21E47" w:rsidRDefault="00E108B6" w:rsidP="00E108B6">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support or implement the Local Planning Policy Framework, and specifically the Municipal Strategic Statement?</w:t>
      </w:r>
    </w:p>
    <w:p w:rsidR="00E108B6" w:rsidRPr="00DC67AE" w:rsidRDefault="00DC67AE" w:rsidP="00E108B6">
      <w:pPr>
        <w:spacing w:before="120"/>
        <w:jc w:val="both"/>
        <w:rPr>
          <w:rFonts w:ascii="Arial" w:hAnsi="Arial" w:cs="Arial"/>
          <w:sz w:val="22"/>
          <w:szCs w:val="22"/>
        </w:rPr>
      </w:pPr>
      <w:r w:rsidRPr="00DC67AE">
        <w:rPr>
          <w:rFonts w:ascii="Arial" w:hAnsi="Arial" w:cs="Arial"/>
          <w:sz w:val="22"/>
          <w:szCs w:val="22"/>
        </w:rPr>
        <w:t xml:space="preserve">The </w:t>
      </w:r>
      <w:r w:rsidR="00E108B6" w:rsidRPr="00DC67AE">
        <w:rPr>
          <w:rFonts w:ascii="Arial" w:hAnsi="Arial" w:cs="Arial"/>
          <w:sz w:val="22"/>
          <w:szCs w:val="22"/>
        </w:rPr>
        <w:t xml:space="preserve">2007 </w:t>
      </w:r>
      <w:r w:rsidRPr="00DC67AE">
        <w:rPr>
          <w:rFonts w:ascii="Arial" w:hAnsi="Arial" w:cs="Arial"/>
          <w:sz w:val="22"/>
          <w:szCs w:val="22"/>
        </w:rPr>
        <w:t xml:space="preserve">Portarlington and Indented Head </w:t>
      </w:r>
      <w:r w:rsidR="00E108B6" w:rsidRPr="00DC67AE">
        <w:rPr>
          <w:rFonts w:ascii="Arial" w:hAnsi="Arial" w:cs="Arial"/>
          <w:sz w:val="22"/>
          <w:szCs w:val="22"/>
        </w:rPr>
        <w:t>Structure Plan</w:t>
      </w:r>
      <w:r w:rsidRPr="00DC67AE">
        <w:rPr>
          <w:rFonts w:ascii="Arial" w:hAnsi="Arial" w:cs="Arial"/>
          <w:sz w:val="22"/>
          <w:szCs w:val="22"/>
        </w:rPr>
        <w:t>s</w:t>
      </w:r>
      <w:r w:rsidR="00E108B6" w:rsidRPr="00DC67AE">
        <w:rPr>
          <w:rFonts w:ascii="Arial" w:hAnsi="Arial" w:cs="Arial"/>
          <w:sz w:val="22"/>
          <w:szCs w:val="22"/>
        </w:rPr>
        <w:t xml:space="preserve"> called for a review in five years to assess development and lot supply. The Structure Plan</w:t>
      </w:r>
      <w:r w:rsidRPr="00DC67AE">
        <w:rPr>
          <w:rFonts w:ascii="Arial" w:hAnsi="Arial" w:cs="Arial"/>
          <w:sz w:val="22"/>
          <w:szCs w:val="22"/>
        </w:rPr>
        <w:t>s</w:t>
      </w:r>
      <w:r w:rsidR="00E108B6" w:rsidRPr="00DC67AE">
        <w:rPr>
          <w:rFonts w:ascii="Arial" w:hAnsi="Arial" w:cs="Arial"/>
          <w:sz w:val="22"/>
          <w:szCs w:val="22"/>
        </w:rPr>
        <w:t xml:space="preserve"> advised that should lot supply fall to a rate less than 10 years, a full review should be undertaken. As the adequacy of lot supply on a municipal and township basis is sufficient for the lifetime of </w:t>
      </w:r>
      <w:r w:rsidRPr="00DC67AE">
        <w:rPr>
          <w:rFonts w:ascii="Arial" w:hAnsi="Arial" w:cs="Arial"/>
          <w:sz w:val="22"/>
          <w:szCs w:val="22"/>
        </w:rPr>
        <w:t xml:space="preserve">both of </w:t>
      </w:r>
      <w:r w:rsidR="00E108B6" w:rsidRPr="00DC67AE">
        <w:rPr>
          <w:rFonts w:ascii="Arial" w:hAnsi="Arial" w:cs="Arial"/>
          <w:sz w:val="22"/>
          <w:szCs w:val="22"/>
        </w:rPr>
        <w:t>the 201</w:t>
      </w:r>
      <w:r w:rsidRPr="00DC67AE">
        <w:rPr>
          <w:rFonts w:ascii="Arial" w:hAnsi="Arial" w:cs="Arial"/>
          <w:sz w:val="22"/>
          <w:szCs w:val="22"/>
        </w:rPr>
        <w:t>6</w:t>
      </w:r>
      <w:r w:rsidR="00E108B6" w:rsidRPr="00DC67AE">
        <w:rPr>
          <w:rFonts w:ascii="Arial" w:hAnsi="Arial" w:cs="Arial"/>
          <w:sz w:val="22"/>
          <w:szCs w:val="22"/>
        </w:rPr>
        <w:t xml:space="preserve"> Structure Plan</w:t>
      </w:r>
      <w:r w:rsidRPr="00DC67AE">
        <w:rPr>
          <w:rFonts w:ascii="Arial" w:hAnsi="Arial" w:cs="Arial"/>
          <w:sz w:val="22"/>
          <w:szCs w:val="22"/>
        </w:rPr>
        <w:t>s</w:t>
      </w:r>
      <w:r w:rsidR="00E108B6" w:rsidRPr="00DC67AE">
        <w:rPr>
          <w:rFonts w:ascii="Arial" w:hAnsi="Arial" w:cs="Arial"/>
          <w:sz w:val="22"/>
          <w:szCs w:val="22"/>
        </w:rPr>
        <w:t>, full review</w:t>
      </w:r>
      <w:r w:rsidRPr="00DC67AE">
        <w:rPr>
          <w:rFonts w:ascii="Arial" w:hAnsi="Arial" w:cs="Arial"/>
          <w:sz w:val="22"/>
          <w:szCs w:val="22"/>
        </w:rPr>
        <w:t>s</w:t>
      </w:r>
      <w:r w:rsidR="00E108B6" w:rsidRPr="00DC67AE">
        <w:rPr>
          <w:rFonts w:ascii="Arial" w:hAnsi="Arial" w:cs="Arial"/>
          <w:sz w:val="22"/>
          <w:szCs w:val="22"/>
        </w:rPr>
        <w:t xml:space="preserve"> was not required.</w:t>
      </w:r>
    </w:p>
    <w:p w:rsidR="00E108B6" w:rsidRPr="00DC67AE" w:rsidRDefault="00E108B6" w:rsidP="00E108B6">
      <w:pPr>
        <w:spacing w:before="120"/>
        <w:jc w:val="both"/>
        <w:rPr>
          <w:rFonts w:ascii="Arial" w:hAnsi="Arial" w:cs="Arial"/>
          <w:sz w:val="22"/>
          <w:szCs w:val="22"/>
        </w:rPr>
      </w:pPr>
      <w:r w:rsidRPr="00DC67AE">
        <w:rPr>
          <w:rFonts w:ascii="Arial" w:hAnsi="Arial" w:cs="Arial"/>
          <w:sz w:val="22"/>
          <w:szCs w:val="22"/>
        </w:rPr>
        <w:t>The existing Clause 21.14 of the Greater Geelong Planning Scheme acknowledges the need for additional work to be undertaken for the centre, specifically stating:</w:t>
      </w:r>
    </w:p>
    <w:p w:rsidR="00E108B6" w:rsidRPr="00DC67AE" w:rsidRDefault="00E108B6" w:rsidP="00E108B6">
      <w:pPr>
        <w:spacing w:before="120"/>
        <w:jc w:val="both"/>
        <w:rPr>
          <w:rFonts w:ascii="Arial" w:hAnsi="Arial" w:cs="Arial"/>
          <w:sz w:val="22"/>
          <w:szCs w:val="22"/>
        </w:rPr>
      </w:pPr>
      <w:r w:rsidRPr="00DC67AE">
        <w:rPr>
          <w:rFonts w:ascii="Arial" w:hAnsi="Arial" w:cs="Arial"/>
          <w:sz w:val="22"/>
          <w:szCs w:val="22"/>
        </w:rPr>
        <w:t>The Amendment directly supports the Local Planning Policy Framework clauses by:</w:t>
      </w:r>
    </w:p>
    <w:p w:rsidR="00E108B6" w:rsidRPr="00DC67AE" w:rsidRDefault="00E108B6" w:rsidP="00E108B6">
      <w:pPr>
        <w:numPr>
          <w:ilvl w:val="0"/>
          <w:numId w:val="8"/>
        </w:numPr>
        <w:tabs>
          <w:tab w:val="left" w:pos="426"/>
        </w:tabs>
        <w:spacing w:before="120"/>
        <w:ind w:left="426" w:hanging="426"/>
        <w:jc w:val="both"/>
        <w:rPr>
          <w:rFonts w:ascii="Arial" w:hAnsi="Arial" w:cs="Arial"/>
          <w:sz w:val="22"/>
          <w:szCs w:val="22"/>
        </w:rPr>
      </w:pPr>
      <w:r w:rsidRPr="00DC67AE">
        <w:rPr>
          <w:rFonts w:ascii="Arial" w:hAnsi="Arial" w:cs="Arial"/>
          <w:sz w:val="22"/>
          <w:szCs w:val="22"/>
        </w:rPr>
        <w:t>Clause 21.05-7 (Flooding) by discouraging land use and development in floodplains where flood function may be impaired.</w:t>
      </w:r>
    </w:p>
    <w:p w:rsidR="00E108B6" w:rsidRPr="00DC67AE" w:rsidRDefault="00E108B6" w:rsidP="00E108B6">
      <w:pPr>
        <w:numPr>
          <w:ilvl w:val="0"/>
          <w:numId w:val="8"/>
        </w:numPr>
        <w:tabs>
          <w:tab w:val="left" w:pos="426"/>
        </w:tabs>
        <w:spacing w:before="120"/>
        <w:ind w:left="426" w:hanging="426"/>
        <w:jc w:val="both"/>
        <w:rPr>
          <w:rFonts w:ascii="Arial" w:hAnsi="Arial" w:cs="Arial"/>
          <w:sz w:val="22"/>
          <w:szCs w:val="22"/>
        </w:rPr>
      </w:pPr>
      <w:r w:rsidRPr="00DC67AE">
        <w:rPr>
          <w:rFonts w:ascii="Arial" w:hAnsi="Arial" w:cs="Arial"/>
          <w:sz w:val="22"/>
          <w:szCs w:val="22"/>
        </w:rPr>
        <w:t xml:space="preserve">Clause 21.06-2 (Settlement) by directing the majority of new </w:t>
      </w:r>
      <w:proofErr w:type="spellStart"/>
      <w:r w:rsidRPr="00DC67AE">
        <w:rPr>
          <w:rFonts w:ascii="Arial" w:hAnsi="Arial" w:cs="Arial"/>
          <w:sz w:val="22"/>
          <w:szCs w:val="22"/>
        </w:rPr>
        <w:t>greenfield</w:t>
      </w:r>
      <w:proofErr w:type="spellEnd"/>
      <w:r w:rsidRPr="00DC67AE">
        <w:rPr>
          <w:rFonts w:ascii="Arial" w:hAnsi="Arial" w:cs="Arial"/>
          <w:sz w:val="22"/>
          <w:szCs w:val="22"/>
        </w:rPr>
        <w:t xml:space="preserve"> residential development to the designated primary urban growth areas.</w:t>
      </w:r>
    </w:p>
    <w:p w:rsidR="00E108B6" w:rsidRPr="00DC67AE" w:rsidRDefault="00E108B6" w:rsidP="00E108B6">
      <w:pPr>
        <w:numPr>
          <w:ilvl w:val="0"/>
          <w:numId w:val="8"/>
        </w:numPr>
        <w:tabs>
          <w:tab w:val="left" w:pos="426"/>
        </w:tabs>
        <w:spacing w:before="120"/>
        <w:ind w:left="426" w:hanging="426"/>
        <w:jc w:val="both"/>
        <w:rPr>
          <w:rFonts w:ascii="Arial" w:hAnsi="Arial" w:cs="Arial"/>
          <w:sz w:val="22"/>
          <w:szCs w:val="22"/>
        </w:rPr>
      </w:pPr>
      <w:r w:rsidRPr="00DC67AE">
        <w:rPr>
          <w:rFonts w:ascii="Arial" w:hAnsi="Arial" w:cs="Arial"/>
          <w:sz w:val="22"/>
          <w:szCs w:val="22"/>
        </w:rPr>
        <w:t>Clause 21.05 (Natural environment) by protecting significant environmental features, directing urban coastal development within existing urban settlements, and acknowledging impacts of climate change.</w:t>
      </w:r>
    </w:p>
    <w:p w:rsidR="00E108B6" w:rsidRPr="00DC67AE" w:rsidRDefault="00E108B6" w:rsidP="00E108B6">
      <w:pPr>
        <w:numPr>
          <w:ilvl w:val="0"/>
          <w:numId w:val="8"/>
        </w:numPr>
        <w:tabs>
          <w:tab w:val="left" w:pos="426"/>
        </w:tabs>
        <w:spacing w:before="120"/>
        <w:ind w:left="426" w:hanging="426"/>
        <w:jc w:val="both"/>
        <w:rPr>
          <w:rFonts w:ascii="Arial" w:hAnsi="Arial" w:cs="Arial"/>
          <w:sz w:val="22"/>
          <w:szCs w:val="22"/>
        </w:rPr>
      </w:pPr>
      <w:r w:rsidRPr="00DC67AE">
        <w:rPr>
          <w:rFonts w:ascii="Arial" w:hAnsi="Arial" w:cs="Arial"/>
          <w:sz w:val="22"/>
          <w:szCs w:val="22"/>
        </w:rPr>
        <w:t>Clause 21.14 (Bellarine Peninsula) by directing the bulk of residential growth and retail development to Ocean Grove, Drysdale/Clifton Springs and Leopold consistent with the relevant Structure Plans.</w:t>
      </w:r>
    </w:p>
    <w:p w:rsidR="00E108B6" w:rsidRPr="00DC67AE" w:rsidRDefault="00E108B6" w:rsidP="00E108B6">
      <w:pPr>
        <w:spacing w:before="120"/>
        <w:jc w:val="both"/>
        <w:rPr>
          <w:rFonts w:ascii="Arial" w:hAnsi="Arial" w:cs="Arial"/>
          <w:sz w:val="22"/>
          <w:szCs w:val="22"/>
        </w:rPr>
      </w:pPr>
      <w:r w:rsidRPr="00DC67AE">
        <w:rPr>
          <w:rFonts w:ascii="Arial" w:hAnsi="Arial" w:cs="Arial"/>
          <w:sz w:val="22"/>
          <w:szCs w:val="22"/>
        </w:rPr>
        <w:t>The Structure Plan lists other Local policies that have been considered in the preparation of the Structure Plan.</w:t>
      </w:r>
    </w:p>
    <w:p w:rsidR="00E108B6" w:rsidRPr="00F21E47" w:rsidRDefault="00E108B6" w:rsidP="00E108B6">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make proper use of the Victoria Planning Provisions?</w:t>
      </w:r>
    </w:p>
    <w:p w:rsidR="00E108B6" w:rsidRPr="00BA57FE" w:rsidRDefault="00E108B6" w:rsidP="00E108B6">
      <w:pPr>
        <w:spacing w:before="120"/>
        <w:jc w:val="both"/>
        <w:rPr>
          <w:rFonts w:ascii="Arial" w:hAnsi="Arial" w:cs="Arial"/>
          <w:sz w:val="22"/>
          <w:szCs w:val="22"/>
        </w:rPr>
      </w:pPr>
      <w:r w:rsidRPr="00BA57FE">
        <w:rPr>
          <w:rFonts w:ascii="Arial" w:hAnsi="Arial" w:cs="Arial"/>
          <w:sz w:val="22"/>
          <w:szCs w:val="22"/>
        </w:rPr>
        <w:t xml:space="preserve">The Amendment reflects the recommendations of the Portarlington Structure Plan 2016 and the Indented Head Structure Plan 2016. The most appropriate tool for including the new land use directions and policies for Portarlington and Indented Head in the Greater Geelong Planning Scheme is to update the Local Planning Policy Framework at Clause 21.14 Bellarine Peninsula. </w:t>
      </w:r>
    </w:p>
    <w:p w:rsidR="00E108B6" w:rsidRPr="00F21E47" w:rsidRDefault="00E108B6" w:rsidP="00E108B6">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address the views of any relevant agency?</w:t>
      </w:r>
    </w:p>
    <w:p w:rsidR="00E108B6" w:rsidRPr="00041F32" w:rsidRDefault="00E108B6" w:rsidP="00E108B6">
      <w:pPr>
        <w:spacing w:before="120"/>
        <w:jc w:val="both"/>
        <w:rPr>
          <w:rFonts w:ascii="Arial" w:hAnsi="Arial" w:cs="Arial"/>
          <w:sz w:val="22"/>
          <w:szCs w:val="22"/>
        </w:rPr>
      </w:pPr>
      <w:r w:rsidRPr="00041F32">
        <w:rPr>
          <w:rFonts w:ascii="Arial" w:hAnsi="Arial" w:cs="Arial"/>
          <w:sz w:val="22"/>
          <w:szCs w:val="22"/>
        </w:rPr>
        <w:t xml:space="preserve">The views of any affected agencies were considered during the preparation of the </w:t>
      </w:r>
      <w:r w:rsidR="00DC67AE" w:rsidRPr="00041F32">
        <w:rPr>
          <w:rFonts w:ascii="Arial" w:hAnsi="Arial" w:cs="Arial"/>
          <w:sz w:val="22"/>
          <w:szCs w:val="22"/>
        </w:rPr>
        <w:t>Portarlington and Indented Head Structure Plans</w:t>
      </w:r>
      <w:r w:rsidRPr="00041F32">
        <w:rPr>
          <w:rFonts w:ascii="Arial" w:hAnsi="Arial" w:cs="Arial"/>
          <w:sz w:val="22"/>
          <w:szCs w:val="22"/>
        </w:rPr>
        <w:t>.</w:t>
      </w:r>
    </w:p>
    <w:p w:rsidR="00E108B6" w:rsidRPr="00F21E47" w:rsidRDefault="00E108B6" w:rsidP="00E108B6">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lastRenderedPageBreak/>
        <w:t>Does the amendment address relevant requirements of the Transport Integration Act 2010?</w:t>
      </w:r>
    </w:p>
    <w:p w:rsidR="00E108B6" w:rsidRPr="00BA57FE" w:rsidRDefault="00E108B6" w:rsidP="00E108B6">
      <w:pPr>
        <w:spacing w:before="120"/>
        <w:jc w:val="both"/>
        <w:rPr>
          <w:rFonts w:ascii="Arial" w:hAnsi="Arial" w:cs="Arial"/>
          <w:sz w:val="22"/>
          <w:szCs w:val="22"/>
        </w:rPr>
      </w:pPr>
      <w:r w:rsidRPr="00BA57FE">
        <w:rPr>
          <w:rFonts w:ascii="Arial" w:hAnsi="Arial" w:cs="Arial"/>
          <w:sz w:val="22"/>
          <w:szCs w:val="22"/>
        </w:rPr>
        <w:t>There are no significant impacts on the transport system defined by the Transport Integration Act as a result of this amendment.</w:t>
      </w:r>
    </w:p>
    <w:p w:rsidR="00E108B6" w:rsidRPr="00F21E47" w:rsidRDefault="00E108B6" w:rsidP="00E108B6">
      <w:pPr>
        <w:spacing w:before="360"/>
        <w:jc w:val="both"/>
        <w:outlineLvl w:val="1"/>
        <w:rPr>
          <w:rFonts w:ascii="Arial" w:hAnsi="Arial" w:cs="Arial"/>
          <w:b/>
          <w:bCs/>
          <w:sz w:val="24"/>
        </w:rPr>
      </w:pPr>
      <w:r w:rsidRPr="00F21E47">
        <w:rPr>
          <w:rFonts w:ascii="Arial" w:hAnsi="Arial" w:cs="Arial"/>
          <w:b/>
          <w:bCs/>
          <w:sz w:val="24"/>
        </w:rPr>
        <w:t>Resource and administrative costs</w:t>
      </w:r>
    </w:p>
    <w:p w:rsidR="00E108B6" w:rsidRDefault="00E108B6" w:rsidP="00E108B6">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510A59">
        <w:rPr>
          <w:rFonts w:ascii="Arial" w:hAnsi="Arial" w:cs="Arial"/>
          <w:b/>
          <w:smallCaps w:val="0"/>
          <w:szCs w:val="24"/>
        </w:rPr>
        <w:t>What impact will the new planning provisions have on the resource and administrative costs of the responsible authority?</w:t>
      </w:r>
    </w:p>
    <w:p w:rsidR="00E108B6" w:rsidRPr="00BA57FE" w:rsidRDefault="00E108B6" w:rsidP="00E108B6">
      <w:pPr>
        <w:spacing w:before="120"/>
        <w:ind w:left="284"/>
        <w:jc w:val="both"/>
        <w:rPr>
          <w:rFonts w:ascii="Arial" w:hAnsi="Arial" w:cs="Arial"/>
          <w:sz w:val="22"/>
          <w:szCs w:val="22"/>
        </w:rPr>
      </w:pPr>
      <w:r w:rsidRPr="00BA57FE">
        <w:rPr>
          <w:rFonts w:ascii="Arial" w:hAnsi="Arial" w:cs="Arial"/>
          <w:sz w:val="22"/>
          <w:szCs w:val="22"/>
        </w:rPr>
        <w:t>The Amendment will have minimal impact on Council’s resource and administrative costs.</w:t>
      </w:r>
    </w:p>
    <w:p w:rsidR="00E108B6" w:rsidRPr="00F21E47" w:rsidRDefault="00E108B6" w:rsidP="00E108B6">
      <w:pPr>
        <w:spacing w:before="360"/>
        <w:jc w:val="both"/>
        <w:outlineLvl w:val="1"/>
        <w:rPr>
          <w:rFonts w:ascii="Arial" w:hAnsi="Arial" w:cs="Arial"/>
          <w:b/>
          <w:bCs/>
          <w:sz w:val="24"/>
        </w:rPr>
      </w:pPr>
      <w:r w:rsidRPr="00F21E47">
        <w:rPr>
          <w:rFonts w:ascii="Arial" w:hAnsi="Arial" w:cs="Arial"/>
          <w:b/>
          <w:bCs/>
          <w:sz w:val="24"/>
        </w:rPr>
        <w:t>Where you may inspect this Amendment</w:t>
      </w:r>
    </w:p>
    <w:p w:rsidR="00E108B6" w:rsidRDefault="00E108B6" w:rsidP="00E108B6">
      <w:pPr>
        <w:spacing w:before="120" w:after="120"/>
        <w:jc w:val="both"/>
        <w:rPr>
          <w:rFonts w:ascii="Arial" w:hAnsi="Arial" w:cs="Arial"/>
          <w:sz w:val="22"/>
          <w:szCs w:val="22"/>
        </w:rPr>
      </w:pPr>
      <w:r w:rsidRPr="00F21E47">
        <w:rPr>
          <w:rFonts w:ascii="Arial" w:hAnsi="Arial" w:cs="Arial"/>
          <w:sz w:val="22"/>
          <w:szCs w:val="22"/>
        </w:rPr>
        <w:t>The amendment is available for public inspection, free of charge, during office hours at the following places: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4"/>
      </w:tblGrid>
      <w:tr w:rsidR="00E108B6" w:rsidTr="00F5343D">
        <w:tc>
          <w:tcPr>
            <w:tcW w:w="9134" w:type="dxa"/>
          </w:tcPr>
          <w:p w:rsidR="00E108B6" w:rsidRPr="00761124" w:rsidRDefault="00E108B6" w:rsidP="00F5343D">
            <w:pPr>
              <w:tabs>
                <w:tab w:val="left" w:pos="742"/>
              </w:tabs>
              <w:spacing w:before="120" w:after="120"/>
              <w:rPr>
                <w:rFonts w:ascii="Arial" w:hAnsi="Arial" w:cs="Arial"/>
                <w:b/>
                <w:sz w:val="22"/>
                <w:szCs w:val="22"/>
              </w:rPr>
            </w:pPr>
            <w:r w:rsidRPr="00761124">
              <w:rPr>
                <w:rFonts w:ascii="Arial" w:hAnsi="Arial" w:cs="Arial"/>
                <w:b/>
                <w:sz w:val="22"/>
                <w:szCs w:val="22"/>
              </w:rPr>
              <w:t>Greater Geelong City Council</w:t>
            </w:r>
            <w:r w:rsidRPr="00761124">
              <w:rPr>
                <w:rFonts w:ascii="Arial" w:hAnsi="Arial" w:cs="Arial"/>
                <w:sz w:val="22"/>
                <w:szCs w:val="22"/>
              </w:rPr>
              <w:t xml:space="preserve">, Customer Service Centre, Ground Floor, 100 Brougham Street. GEELONG – 8.00am to 5.00pm weekdays </w:t>
            </w:r>
          </w:p>
        </w:tc>
      </w:tr>
      <w:tr w:rsidR="00E108B6" w:rsidTr="00F5343D">
        <w:tc>
          <w:tcPr>
            <w:tcW w:w="9134" w:type="dxa"/>
          </w:tcPr>
          <w:p w:rsidR="00E108B6" w:rsidRPr="00761124" w:rsidRDefault="00E108B6" w:rsidP="00F5343D">
            <w:pPr>
              <w:tabs>
                <w:tab w:val="left" w:pos="742"/>
              </w:tabs>
              <w:spacing w:before="120" w:after="120"/>
              <w:rPr>
                <w:rFonts w:ascii="Arial" w:hAnsi="Arial" w:cs="Arial"/>
                <w:b/>
                <w:sz w:val="22"/>
                <w:szCs w:val="22"/>
              </w:rPr>
            </w:pPr>
            <w:r w:rsidRPr="00761124">
              <w:rPr>
                <w:rFonts w:ascii="Arial" w:hAnsi="Arial" w:cs="Arial"/>
                <w:b/>
                <w:sz w:val="22"/>
                <w:szCs w:val="22"/>
              </w:rPr>
              <w:t xml:space="preserve">‘Amendments’ </w:t>
            </w:r>
            <w:r w:rsidRPr="00761124">
              <w:rPr>
                <w:rFonts w:ascii="Arial" w:hAnsi="Arial" w:cs="Arial"/>
                <w:sz w:val="22"/>
                <w:szCs w:val="22"/>
              </w:rPr>
              <w:t xml:space="preserve">section of the City’s website </w:t>
            </w:r>
            <w:hyperlink r:id="rId7" w:history="1">
              <w:r w:rsidRPr="00761124">
                <w:rPr>
                  <w:rStyle w:val="Hyperlink"/>
                  <w:rFonts w:ascii="Arial" w:hAnsi="Arial" w:cs="Arial"/>
                  <w:sz w:val="22"/>
                  <w:szCs w:val="22"/>
                </w:rPr>
                <w:t>www.geelongaustralia.com.au/amendments/</w:t>
              </w:r>
            </w:hyperlink>
          </w:p>
        </w:tc>
      </w:tr>
    </w:tbl>
    <w:p w:rsidR="00E108B6" w:rsidRDefault="00E108B6" w:rsidP="00E108B6">
      <w:pPr>
        <w:spacing w:before="120"/>
        <w:rPr>
          <w:rFonts w:ascii="Arial" w:hAnsi="Arial" w:cs="Arial"/>
          <w:sz w:val="22"/>
          <w:szCs w:val="22"/>
        </w:rPr>
      </w:pPr>
      <w:r>
        <w:rPr>
          <w:rFonts w:ascii="Arial" w:hAnsi="Arial" w:cs="Arial"/>
          <w:sz w:val="22"/>
          <w:szCs w:val="22"/>
        </w:rPr>
        <w:t xml:space="preserve">The Amendment can also be inspected free of charge at the Department of Environment, Land, Water and Planning website at </w:t>
      </w:r>
      <w:hyperlink r:id="rId8" w:history="1">
        <w:r w:rsidRPr="003F1E0E">
          <w:rPr>
            <w:rStyle w:val="Hyperlink"/>
            <w:rFonts w:ascii="Arial" w:hAnsi="Arial" w:cs="Arial"/>
            <w:sz w:val="22"/>
            <w:szCs w:val="22"/>
          </w:rPr>
          <w:t>www.delwp.vic.gov.au/public-inspection</w:t>
        </w:r>
      </w:hyperlink>
      <w:r>
        <w:rPr>
          <w:rFonts w:ascii="Arial" w:hAnsi="Arial" w:cs="Arial"/>
          <w:sz w:val="22"/>
          <w:szCs w:val="22"/>
        </w:rPr>
        <w:t xml:space="preserve"> .</w:t>
      </w:r>
    </w:p>
    <w:p w:rsidR="00E108B6" w:rsidRPr="007B4CF0" w:rsidRDefault="00E108B6" w:rsidP="00E108B6">
      <w:pPr>
        <w:spacing w:before="240" w:after="120"/>
        <w:rPr>
          <w:rFonts w:ascii="Arial" w:hAnsi="Arial" w:cs="Arial"/>
          <w:b/>
          <w:sz w:val="24"/>
          <w:szCs w:val="24"/>
        </w:rPr>
      </w:pPr>
      <w:r>
        <w:rPr>
          <w:rFonts w:ascii="Arial" w:hAnsi="Arial" w:cs="Arial"/>
          <w:b/>
          <w:sz w:val="24"/>
          <w:szCs w:val="24"/>
        </w:rPr>
        <w:t>Submissions</w:t>
      </w:r>
    </w:p>
    <w:p w:rsidR="00E108B6" w:rsidRDefault="00E108B6" w:rsidP="00E108B6">
      <w:pPr>
        <w:pStyle w:val="Bodytext1"/>
        <w:tabs>
          <w:tab w:val="left" w:pos="742"/>
        </w:tabs>
        <w:spacing w:after="0"/>
        <w:ind w:left="0"/>
        <w:rPr>
          <w:rFonts w:ascii="Arial" w:hAnsi="Arial" w:cs="Arial"/>
          <w:szCs w:val="22"/>
        </w:rPr>
      </w:pPr>
      <w:r>
        <w:rPr>
          <w:rFonts w:ascii="Arial" w:hAnsi="Arial" w:cs="Arial"/>
          <w:szCs w:val="22"/>
        </w:rPr>
        <w:t xml:space="preserve">Any person who may be affected by the Amendment may make a submission to the planning authority. </w:t>
      </w:r>
    </w:p>
    <w:p w:rsidR="00E108B6" w:rsidRPr="00C60089" w:rsidRDefault="00E108B6" w:rsidP="00E108B6">
      <w:pPr>
        <w:pStyle w:val="Bodytext1"/>
        <w:tabs>
          <w:tab w:val="left" w:pos="742"/>
        </w:tabs>
        <w:spacing w:before="120" w:after="0"/>
        <w:ind w:left="0"/>
        <w:rPr>
          <w:rFonts w:ascii="Arial" w:hAnsi="Arial" w:cs="Arial"/>
          <w:szCs w:val="22"/>
        </w:rPr>
      </w:pPr>
      <w:r w:rsidRPr="00C60089">
        <w:rPr>
          <w:rFonts w:ascii="Arial" w:hAnsi="Arial" w:cs="Arial"/>
          <w:szCs w:val="22"/>
        </w:rPr>
        <w:t xml:space="preserve">Submissions about Amendment </w:t>
      </w:r>
      <w:r>
        <w:rPr>
          <w:rFonts w:ascii="Arial" w:hAnsi="Arial" w:cs="Arial"/>
          <w:szCs w:val="22"/>
        </w:rPr>
        <w:t>C352</w:t>
      </w:r>
      <w:r w:rsidRPr="00C60089">
        <w:rPr>
          <w:rFonts w:ascii="Arial" w:hAnsi="Arial" w:cs="Arial"/>
          <w:szCs w:val="22"/>
        </w:rPr>
        <w:t xml:space="preserve"> should be received by </w:t>
      </w:r>
      <w:r w:rsidR="00180135">
        <w:rPr>
          <w:rFonts w:ascii="Arial" w:hAnsi="Arial" w:cs="Arial"/>
          <w:b/>
          <w:szCs w:val="22"/>
        </w:rPr>
        <w:t>19 December</w:t>
      </w:r>
      <w:r>
        <w:rPr>
          <w:rFonts w:ascii="Arial" w:hAnsi="Arial" w:cs="Arial"/>
          <w:b/>
          <w:szCs w:val="22"/>
        </w:rPr>
        <w:t xml:space="preserve"> 2016</w:t>
      </w:r>
      <w:r w:rsidRPr="00C60089">
        <w:rPr>
          <w:rFonts w:ascii="Arial" w:hAnsi="Arial" w:cs="Arial"/>
          <w:szCs w:val="22"/>
        </w:rPr>
        <w:t xml:space="preserve"> and addressed to:</w:t>
      </w:r>
    </w:p>
    <w:p w:rsidR="00E108B6" w:rsidRPr="00C60089" w:rsidRDefault="00E108B6" w:rsidP="00E108B6">
      <w:pPr>
        <w:pStyle w:val="Bodytext1"/>
        <w:tabs>
          <w:tab w:val="left" w:pos="742"/>
        </w:tabs>
        <w:spacing w:before="120" w:after="0"/>
        <w:ind w:left="0"/>
        <w:rPr>
          <w:rFonts w:ascii="Arial" w:hAnsi="Arial" w:cs="Arial"/>
          <w:szCs w:val="22"/>
        </w:rPr>
      </w:pPr>
      <w:r w:rsidRPr="00C60089">
        <w:rPr>
          <w:rFonts w:ascii="Arial" w:hAnsi="Arial" w:cs="Arial"/>
          <w:szCs w:val="22"/>
        </w:rPr>
        <w:t>The Coordinator</w:t>
      </w:r>
    </w:p>
    <w:p w:rsidR="00E108B6" w:rsidRPr="00C60089" w:rsidRDefault="00E108B6" w:rsidP="00E108B6">
      <w:pPr>
        <w:pStyle w:val="Bodytext1"/>
        <w:tabs>
          <w:tab w:val="left" w:pos="742"/>
        </w:tabs>
        <w:spacing w:after="0"/>
        <w:ind w:left="0"/>
        <w:rPr>
          <w:rFonts w:ascii="Arial" w:hAnsi="Arial" w:cs="Arial"/>
          <w:szCs w:val="22"/>
        </w:rPr>
      </w:pPr>
      <w:r w:rsidRPr="00C60089">
        <w:rPr>
          <w:rFonts w:ascii="Arial" w:hAnsi="Arial" w:cs="Arial"/>
          <w:szCs w:val="22"/>
        </w:rPr>
        <w:t>Strategic Implementation</w:t>
      </w:r>
    </w:p>
    <w:p w:rsidR="00E108B6" w:rsidRPr="00C60089" w:rsidRDefault="00E108B6" w:rsidP="00E108B6">
      <w:pPr>
        <w:pStyle w:val="Bodytext1"/>
        <w:tabs>
          <w:tab w:val="left" w:pos="742"/>
        </w:tabs>
        <w:spacing w:after="0"/>
        <w:ind w:left="0"/>
        <w:rPr>
          <w:rFonts w:ascii="Arial" w:hAnsi="Arial" w:cs="Arial"/>
          <w:szCs w:val="22"/>
        </w:rPr>
      </w:pPr>
      <w:r w:rsidRPr="00C60089">
        <w:rPr>
          <w:rFonts w:ascii="Arial" w:hAnsi="Arial" w:cs="Arial"/>
          <w:szCs w:val="22"/>
        </w:rPr>
        <w:t>City of Greater Geelong</w:t>
      </w:r>
    </w:p>
    <w:p w:rsidR="00E108B6" w:rsidRPr="00C60089" w:rsidRDefault="00E108B6" w:rsidP="00E108B6">
      <w:pPr>
        <w:pStyle w:val="Bodytext1"/>
        <w:numPr>
          <w:ilvl w:val="0"/>
          <w:numId w:val="7"/>
        </w:numPr>
        <w:tabs>
          <w:tab w:val="left" w:pos="426"/>
        </w:tabs>
        <w:spacing w:before="120" w:after="0"/>
        <w:ind w:left="426" w:hanging="426"/>
        <w:rPr>
          <w:rFonts w:ascii="Arial" w:hAnsi="Arial" w:cs="Arial"/>
          <w:szCs w:val="22"/>
        </w:rPr>
      </w:pPr>
      <w:r w:rsidRPr="00C60089">
        <w:rPr>
          <w:rFonts w:ascii="Arial" w:hAnsi="Arial" w:cs="Arial"/>
          <w:szCs w:val="22"/>
        </w:rPr>
        <w:t>either by mail to:</w:t>
      </w:r>
      <w:r>
        <w:rPr>
          <w:rFonts w:ascii="Arial" w:hAnsi="Arial" w:cs="Arial"/>
          <w:szCs w:val="22"/>
        </w:rPr>
        <w:t xml:space="preserve"> P</w:t>
      </w:r>
      <w:r w:rsidRPr="00C60089">
        <w:rPr>
          <w:rFonts w:ascii="Arial" w:hAnsi="Arial" w:cs="Arial"/>
          <w:szCs w:val="22"/>
        </w:rPr>
        <w:t>O Box 104, GEELONG VIC 3220</w:t>
      </w:r>
    </w:p>
    <w:p w:rsidR="00E108B6" w:rsidRDefault="00E108B6" w:rsidP="00E108B6">
      <w:pPr>
        <w:pStyle w:val="Bodytext1"/>
        <w:numPr>
          <w:ilvl w:val="0"/>
          <w:numId w:val="7"/>
        </w:numPr>
        <w:tabs>
          <w:tab w:val="left" w:pos="426"/>
        </w:tabs>
        <w:spacing w:before="120" w:after="0"/>
        <w:ind w:left="426" w:hanging="426"/>
      </w:pPr>
      <w:r w:rsidRPr="00C60089">
        <w:rPr>
          <w:rFonts w:ascii="Arial" w:hAnsi="Arial" w:cs="Arial"/>
          <w:szCs w:val="22"/>
        </w:rPr>
        <w:t>or by email to:</w:t>
      </w:r>
      <w:r>
        <w:rPr>
          <w:rFonts w:ascii="Arial" w:hAnsi="Arial" w:cs="Arial"/>
          <w:szCs w:val="22"/>
        </w:rPr>
        <w:t xml:space="preserve"> </w:t>
      </w:r>
      <w:hyperlink r:id="rId9" w:history="1">
        <w:r w:rsidRPr="00E12295">
          <w:rPr>
            <w:rStyle w:val="Hyperlink"/>
            <w:rFonts w:ascii="Arial" w:hAnsi="Arial" w:cs="Arial"/>
            <w:szCs w:val="22"/>
          </w:rPr>
          <w:t>strategicplanning@geelongcity.vic.gov.au</w:t>
        </w:r>
      </w:hyperlink>
      <w:r>
        <w:t xml:space="preserve"> </w:t>
      </w:r>
    </w:p>
    <w:p w:rsidR="00E108B6" w:rsidRDefault="00E108B6" w:rsidP="00E108B6">
      <w:pPr>
        <w:pStyle w:val="Bodytext1"/>
        <w:numPr>
          <w:ilvl w:val="0"/>
          <w:numId w:val="7"/>
        </w:numPr>
        <w:tabs>
          <w:tab w:val="left" w:pos="426"/>
        </w:tabs>
        <w:spacing w:before="120" w:after="0"/>
        <w:ind w:left="426" w:hanging="426"/>
        <w:rPr>
          <w:rFonts w:ascii="Arial" w:hAnsi="Arial" w:cs="Arial"/>
          <w:szCs w:val="22"/>
        </w:rPr>
      </w:pPr>
      <w:r>
        <w:rPr>
          <w:rFonts w:ascii="Arial" w:hAnsi="Arial" w:cs="Arial"/>
          <w:szCs w:val="22"/>
        </w:rPr>
        <w:t xml:space="preserve">or lodged online at: </w:t>
      </w:r>
      <w:hyperlink r:id="rId10" w:history="1">
        <w:r w:rsidRPr="00D3557A">
          <w:rPr>
            <w:rStyle w:val="Hyperlink"/>
            <w:rFonts w:ascii="Arial" w:hAnsi="Arial" w:cs="Arial"/>
            <w:szCs w:val="22"/>
          </w:rPr>
          <w:t>www.geelongaustralia.com.au/amendments/</w:t>
        </w:r>
      </w:hyperlink>
    </w:p>
    <w:p w:rsidR="00E108B6" w:rsidRPr="00F21E47" w:rsidRDefault="00E108B6" w:rsidP="00E108B6">
      <w:pPr>
        <w:spacing w:before="360"/>
        <w:jc w:val="both"/>
        <w:outlineLvl w:val="1"/>
        <w:rPr>
          <w:rFonts w:ascii="Arial" w:hAnsi="Arial" w:cs="Arial"/>
          <w:b/>
          <w:bCs/>
          <w:sz w:val="24"/>
        </w:rPr>
      </w:pPr>
      <w:r w:rsidRPr="00F21E47">
        <w:rPr>
          <w:rFonts w:ascii="Arial" w:hAnsi="Arial" w:cs="Arial"/>
          <w:b/>
          <w:bCs/>
          <w:sz w:val="24"/>
        </w:rPr>
        <w:t>Panel hearing dates</w:t>
      </w:r>
    </w:p>
    <w:p w:rsidR="00E108B6" w:rsidRPr="00F21E47" w:rsidRDefault="00E108B6" w:rsidP="00E108B6">
      <w:pPr>
        <w:spacing w:before="120"/>
        <w:jc w:val="both"/>
        <w:rPr>
          <w:rFonts w:ascii="Arial" w:hAnsi="Arial" w:cs="Arial"/>
          <w:sz w:val="22"/>
          <w:szCs w:val="22"/>
        </w:rPr>
      </w:pPr>
      <w:r w:rsidRPr="00F21E47">
        <w:rPr>
          <w:rFonts w:ascii="Arial" w:hAnsi="Arial" w:cs="Arial"/>
          <w:sz w:val="22"/>
          <w:szCs w:val="22"/>
        </w:rPr>
        <w:t>In accordance with clause 4(2) of Ministerial Direction No.15 the following panel hearing dates have been set for this amendment:</w:t>
      </w:r>
    </w:p>
    <w:p w:rsidR="00E108B6" w:rsidRPr="00F21E47" w:rsidRDefault="00E108B6" w:rsidP="00E108B6">
      <w:pPr>
        <w:numPr>
          <w:ilvl w:val="0"/>
          <w:numId w:val="5"/>
        </w:numPr>
        <w:spacing w:before="120" w:after="120"/>
        <w:ind w:left="357" w:hanging="357"/>
        <w:jc w:val="both"/>
        <w:rPr>
          <w:rFonts w:ascii="New York" w:hAnsi="New York"/>
          <w:sz w:val="22"/>
          <w:szCs w:val="22"/>
        </w:rPr>
      </w:pPr>
      <w:r w:rsidRPr="00F21E47">
        <w:rPr>
          <w:rFonts w:ascii="Arial" w:hAnsi="Arial" w:cs="Arial"/>
          <w:sz w:val="22"/>
          <w:szCs w:val="22"/>
        </w:rPr>
        <w:t>directions hearing</w:t>
      </w:r>
      <w:r w:rsidRPr="00041F32">
        <w:rPr>
          <w:rFonts w:ascii="Arial" w:hAnsi="Arial" w:cs="Arial"/>
          <w:sz w:val="22"/>
          <w:szCs w:val="22"/>
        </w:rPr>
        <w:t xml:space="preserve">:  </w:t>
      </w:r>
      <w:r w:rsidRPr="00041F32">
        <w:rPr>
          <w:rFonts w:ascii="Arial" w:hAnsi="Arial" w:cs="Arial"/>
          <w:b/>
          <w:sz w:val="22"/>
          <w:szCs w:val="22"/>
        </w:rPr>
        <w:t>week commencing</w:t>
      </w:r>
      <w:r w:rsidRPr="00041F32">
        <w:rPr>
          <w:rFonts w:ascii="Arial" w:hAnsi="Arial" w:cs="Arial"/>
          <w:b/>
          <w:color w:val="002060"/>
          <w:sz w:val="22"/>
          <w:szCs w:val="22"/>
        </w:rPr>
        <w:t xml:space="preserve"> </w:t>
      </w:r>
      <w:r w:rsidR="00180135">
        <w:rPr>
          <w:rFonts w:ascii="Arial" w:hAnsi="Arial" w:cs="Arial"/>
          <w:b/>
          <w:color w:val="002060"/>
          <w:sz w:val="22"/>
          <w:szCs w:val="22"/>
        </w:rPr>
        <w:t>20</w:t>
      </w:r>
      <w:r w:rsidR="00180135" w:rsidRPr="00180135">
        <w:rPr>
          <w:rFonts w:ascii="Arial" w:hAnsi="Arial" w:cs="Arial"/>
          <w:b/>
          <w:color w:val="002060"/>
          <w:sz w:val="22"/>
          <w:szCs w:val="22"/>
          <w:vertAlign w:val="superscript"/>
        </w:rPr>
        <w:t>th</w:t>
      </w:r>
      <w:r w:rsidR="00180135">
        <w:rPr>
          <w:rFonts w:ascii="Arial" w:hAnsi="Arial" w:cs="Arial"/>
          <w:b/>
          <w:color w:val="002060"/>
          <w:sz w:val="22"/>
          <w:szCs w:val="22"/>
        </w:rPr>
        <w:t xml:space="preserve"> Feb 2017</w:t>
      </w:r>
    </w:p>
    <w:p w:rsidR="00E108B6" w:rsidRPr="00F21E47" w:rsidRDefault="00E108B6" w:rsidP="00E108B6">
      <w:pPr>
        <w:numPr>
          <w:ilvl w:val="0"/>
          <w:numId w:val="5"/>
        </w:numPr>
        <w:spacing w:before="120" w:after="120"/>
        <w:ind w:left="357" w:hanging="357"/>
        <w:jc w:val="both"/>
        <w:rPr>
          <w:sz w:val="22"/>
          <w:szCs w:val="22"/>
        </w:rPr>
      </w:pPr>
      <w:r w:rsidRPr="00F21E47">
        <w:rPr>
          <w:rFonts w:ascii="Arial" w:hAnsi="Arial" w:cs="Arial"/>
          <w:sz w:val="22"/>
          <w:szCs w:val="22"/>
        </w:rPr>
        <w:t xml:space="preserve">panel hearing:  </w:t>
      </w:r>
      <w:r w:rsidRPr="00041F32">
        <w:rPr>
          <w:rFonts w:ascii="Arial" w:hAnsi="Arial" w:cs="Arial"/>
          <w:b/>
          <w:color w:val="002060"/>
          <w:sz w:val="22"/>
          <w:szCs w:val="22"/>
        </w:rPr>
        <w:t xml:space="preserve">week commencing </w:t>
      </w:r>
      <w:r w:rsidR="00180135">
        <w:rPr>
          <w:rFonts w:ascii="Arial" w:hAnsi="Arial" w:cs="Arial"/>
          <w:b/>
          <w:color w:val="002060"/>
          <w:sz w:val="22"/>
          <w:szCs w:val="22"/>
        </w:rPr>
        <w:t>20</w:t>
      </w:r>
      <w:r w:rsidR="00180135" w:rsidRPr="00180135">
        <w:rPr>
          <w:rFonts w:ascii="Arial" w:hAnsi="Arial" w:cs="Arial"/>
          <w:b/>
          <w:color w:val="002060"/>
          <w:sz w:val="22"/>
          <w:szCs w:val="22"/>
          <w:vertAlign w:val="superscript"/>
        </w:rPr>
        <w:t>th</w:t>
      </w:r>
      <w:r w:rsidR="00180135">
        <w:rPr>
          <w:rFonts w:ascii="Arial" w:hAnsi="Arial" w:cs="Arial"/>
          <w:b/>
          <w:color w:val="002060"/>
          <w:sz w:val="22"/>
          <w:szCs w:val="22"/>
        </w:rPr>
        <w:t xml:space="preserve"> March 2017</w:t>
      </w:r>
    </w:p>
    <w:p w:rsidR="00E108B6" w:rsidRPr="007B4CF0" w:rsidRDefault="00E108B6" w:rsidP="00E108B6">
      <w:pPr>
        <w:spacing w:before="360" w:after="120"/>
        <w:rPr>
          <w:rFonts w:ascii="Arial" w:hAnsi="Arial" w:cs="Arial"/>
          <w:b/>
          <w:sz w:val="24"/>
          <w:szCs w:val="24"/>
        </w:rPr>
      </w:pPr>
      <w:r w:rsidRPr="007B4CF0">
        <w:rPr>
          <w:rFonts w:ascii="Arial" w:hAnsi="Arial" w:cs="Arial"/>
          <w:b/>
          <w:sz w:val="24"/>
          <w:szCs w:val="24"/>
        </w:rPr>
        <w:t>Further information</w:t>
      </w:r>
    </w:p>
    <w:p w:rsidR="00E108B6" w:rsidRDefault="00E108B6" w:rsidP="00E108B6">
      <w:pPr>
        <w:pStyle w:val="Bodytext1"/>
        <w:tabs>
          <w:tab w:val="left" w:pos="742"/>
        </w:tabs>
        <w:spacing w:after="120"/>
        <w:ind w:left="0"/>
        <w:jc w:val="left"/>
        <w:rPr>
          <w:rFonts w:ascii="Arial" w:hAnsi="Arial" w:cs="Arial"/>
          <w:szCs w:val="22"/>
        </w:rPr>
      </w:pPr>
      <w:r w:rsidRPr="00C60089">
        <w:rPr>
          <w:rFonts w:ascii="Arial" w:hAnsi="Arial" w:cs="Arial"/>
          <w:szCs w:val="22"/>
        </w:rPr>
        <w:t xml:space="preserve">For further information about Amendment </w:t>
      </w:r>
      <w:r>
        <w:rPr>
          <w:rFonts w:ascii="Arial" w:hAnsi="Arial" w:cs="Arial"/>
          <w:szCs w:val="22"/>
        </w:rPr>
        <w:t>C352</w:t>
      </w:r>
      <w:r w:rsidRPr="00C60089">
        <w:rPr>
          <w:rFonts w:ascii="Arial" w:hAnsi="Arial" w:cs="Arial"/>
          <w:szCs w:val="22"/>
        </w:rPr>
        <w:t xml:space="preserve">, please contact the Strategic Implementation Unit at the City of Greater Geelong on (03) 5272 4820 or via email </w:t>
      </w:r>
      <w:hyperlink r:id="rId11" w:history="1">
        <w:r w:rsidRPr="00E12295">
          <w:rPr>
            <w:rStyle w:val="Hyperlink"/>
            <w:rFonts w:ascii="Arial" w:hAnsi="Arial" w:cs="Arial"/>
            <w:szCs w:val="22"/>
          </w:rPr>
          <w:t>strategicplanning@geelongcity.vic.gov.au</w:t>
        </w:r>
      </w:hyperlink>
    </w:p>
    <w:sectPr w:rsidR="00E108B6" w:rsidSect="00180135">
      <w:headerReference w:type="even" r:id="rId12"/>
      <w:headerReference w:type="default" r:id="rId13"/>
      <w:footerReference w:type="even" r:id="rId14"/>
      <w:footerReference w:type="default" r:id="rId15"/>
      <w:headerReference w:type="first" r:id="rId16"/>
      <w:footerReference w:type="first" r:id="rId17"/>
      <w:pgSz w:w="11906" w:h="16838"/>
      <w:pgMar w:top="821" w:right="1440" w:bottom="993" w:left="1440" w:header="5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F10" w:rsidRDefault="002B5F10" w:rsidP="002B5F10">
      <w:r>
        <w:separator/>
      </w:r>
    </w:p>
  </w:endnote>
  <w:endnote w:type="continuationSeparator" w:id="0">
    <w:p w:rsidR="002B5F10" w:rsidRDefault="002B5F10" w:rsidP="002B5F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0C1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B4C" w:rsidRPr="00B869D6" w:rsidRDefault="00035DCF" w:rsidP="001C5ED4">
    <w:pPr>
      <w:pStyle w:val="Footer"/>
      <w:tabs>
        <w:tab w:val="clear" w:pos="8306"/>
        <w:tab w:val="right" w:pos="8789"/>
      </w:tabs>
      <w:rPr>
        <w:rFonts w:ascii="Arial" w:hAnsi="Arial" w:cs="Arial"/>
        <w:sz w:val="16"/>
        <w:szCs w:val="16"/>
      </w:rPr>
    </w:pPr>
    <w:r w:rsidRPr="00B869D6">
      <w:rPr>
        <w:rFonts w:ascii="Arial" w:hAnsi="Arial" w:cs="Arial"/>
        <w:sz w:val="16"/>
        <w:szCs w:val="16"/>
      </w:rPr>
      <w:t>C03</w:t>
    </w:r>
    <w:r w:rsidRPr="00B869D6">
      <w:rPr>
        <w:rFonts w:ascii="Arial" w:hAnsi="Arial" w:cs="Arial"/>
        <w:sz w:val="16"/>
        <w:szCs w:val="16"/>
      </w:rPr>
      <w:tab/>
    </w:r>
    <w:r w:rsidRPr="00B869D6">
      <w:rPr>
        <w:rFonts w:ascii="Arial" w:hAnsi="Arial"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0C1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F10" w:rsidRDefault="002B5F10" w:rsidP="002B5F10">
      <w:r>
        <w:separator/>
      </w:r>
    </w:p>
  </w:footnote>
  <w:footnote w:type="continuationSeparator" w:id="0">
    <w:p w:rsidR="002B5F10" w:rsidRDefault="002B5F10" w:rsidP="002B5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0C1E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0C1E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D6" w:rsidRDefault="000C1E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4B86"/>
    <w:multiLevelType w:val="hybridMultilevel"/>
    <w:tmpl w:val="42D8D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B809EC"/>
    <w:multiLevelType w:val="hybridMultilevel"/>
    <w:tmpl w:val="BDE4476A"/>
    <w:lvl w:ilvl="0" w:tplc="EBDCF024">
      <w:start w:val="1"/>
      <w:numFmt w:val="bullet"/>
      <w:lvlText w:val=""/>
      <w:lvlJc w:val="left"/>
      <w:pPr>
        <w:ind w:left="360" w:hanging="360"/>
      </w:pPr>
      <w:rPr>
        <w:rFonts w:ascii="Symbol" w:hAnsi="Symbol" w:hint="default"/>
      </w:rPr>
    </w:lvl>
    <w:lvl w:ilvl="1" w:tplc="49B895F4" w:tentative="1">
      <w:start w:val="1"/>
      <w:numFmt w:val="bullet"/>
      <w:lvlText w:val="o"/>
      <w:lvlJc w:val="left"/>
      <w:pPr>
        <w:ind w:left="1080" w:hanging="360"/>
      </w:pPr>
      <w:rPr>
        <w:rFonts w:ascii="Courier New" w:hAnsi="Courier New" w:cs="Courier New" w:hint="default"/>
      </w:rPr>
    </w:lvl>
    <w:lvl w:ilvl="2" w:tplc="38127E8C" w:tentative="1">
      <w:start w:val="1"/>
      <w:numFmt w:val="bullet"/>
      <w:lvlText w:val=""/>
      <w:lvlJc w:val="left"/>
      <w:pPr>
        <w:ind w:left="1800" w:hanging="360"/>
      </w:pPr>
      <w:rPr>
        <w:rFonts w:ascii="Wingdings" w:hAnsi="Wingdings" w:hint="default"/>
      </w:rPr>
    </w:lvl>
    <w:lvl w:ilvl="3" w:tplc="29B20F78" w:tentative="1">
      <w:start w:val="1"/>
      <w:numFmt w:val="bullet"/>
      <w:lvlText w:val=""/>
      <w:lvlJc w:val="left"/>
      <w:pPr>
        <w:ind w:left="2520" w:hanging="360"/>
      </w:pPr>
      <w:rPr>
        <w:rFonts w:ascii="Symbol" w:hAnsi="Symbol" w:hint="default"/>
      </w:rPr>
    </w:lvl>
    <w:lvl w:ilvl="4" w:tplc="B8BC8558" w:tentative="1">
      <w:start w:val="1"/>
      <w:numFmt w:val="bullet"/>
      <w:lvlText w:val="o"/>
      <w:lvlJc w:val="left"/>
      <w:pPr>
        <w:ind w:left="3240" w:hanging="360"/>
      </w:pPr>
      <w:rPr>
        <w:rFonts w:ascii="Courier New" w:hAnsi="Courier New" w:cs="Courier New" w:hint="default"/>
      </w:rPr>
    </w:lvl>
    <w:lvl w:ilvl="5" w:tplc="2078F97C" w:tentative="1">
      <w:start w:val="1"/>
      <w:numFmt w:val="bullet"/>
      <w:lvlText w:val=""/>
      <w:lvlJc w:val="left"/>
      <w:pPr>
        <w:ind w:left="3960" w:hanging="360"/>
      </w:pPr>
      <w:rPr>
        <w:rFonts w:ascii="Wingdings" w:hAnsi="Wingdings" w:hint="default"/>
      </w:rPr>
    </w:lvl>
    <w:lvl w:ilvl="6" w:tplc="C1C8CE5C" w:tentative="1">
      <w:start w:val="1"/>
      <w:numFmt w:val="bullet"/>
      <w:lvlText w:val=""/>
      <w:lvlJc w:val="left"/>
      <w:pPr>
        <w:ind w:left="4680" w:hanging="360"/>
      </w:pPr>
      <w:rPr>
        <w:rFonts w:ascii="Symbol" w:hAnsi="Symbol" w:hint="default"/>
      </w:rPr>
    </w:lvl>
    <w:lvl w:ilvl="7" w:tplc="3DDEE142" w:tentative="1">
      <w:start w:val="1"/>
      <w:numFmt w:val="bullet"/>
      <w:lvlText w:val="o"/>
      <w:lvlJc w:val="left"/>
      <w:pPr>
        <w:ind w:left="5400" w:hanging="360"/>
      </w:pPr>
      <w:rPr>
        <w:rFonts w:ascii="Courier New" w:hAnsi="Courier New" w:cs="Courier New" w:hint="default"/>
      </w:rPr>
    </w:lvl>
    <w:lvl w:ilvl="8" w:tplc="47226C60" w:tentative="1">
      <w:start w:val="1"/>
      <w:numFmt w:val="bullet"/>
      <w:lvlText w:val=""/>
      <w:lvlJc w:val="left"/>
      <w:pPr>
        <w:ind w:left="6120" w:hanging="360"/>
      </w:pPr>
      <w:rPr>
        <w:rFonts w:ascii="Wingdings" w:hAnsi="Wingdings" w:hint="default"/>
      </w:rPr>
    </w:lvl>
  </w:abstractNum>
  <w:abstractNum w:abstractNumId="2">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3">
    <w:nsid w:val="491F66CD"/>
    <w:multiLevelType w:val="hybridMultilevel"/>
    <w:tmpl w:val="1F402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25415CE"/>
    <w:multiLevelType w:val="hybridMultilevel"/>
    <w:tmpl w:val="6310EF9E"/>
    <w:lvl w:ilvl="0" w:tplc="D26E4676">
      <w:start w:val="1"/>
      <w:numFmt w:val="bullet"/>
      <w:pStyle w:val="Bodytext"/>
      <w:lvlText w:val=""/>
      <w:lvlJc w:val="left"/>
      <w:pPr>
        <w:tabs>
          <w:tab w:val="num" w:pos="284"/>
        </w:tabs>
        <w:ind w:left="284" w:hanging="284"/>
      </w:pPr>
      <w:rPr>
        <w:rFonts w:ascii="Wingdings" w:hAnsi="Wingdings" w:hint="default"/>
        <w:sz w:val="20"/>
      </w:rPr>
    </w:lvl>
    <w:lvl w:ilvl="1" w:tplc="AF3AC794" w:tentative="1">
      <w:start w:val="1"/>
      <w:numFmt w:val="bullet"/>
      <w:lvlText w:val="o"/>
      <w:lvlJc w:val="left"/>
      <w:pPr>
        <w:tabs>
          <w:tab w:val="num" w:pos="306"/>
        </w:tabs>
        <w:ind w:left="306" w:hanging="360"/>
      </w:pPr>
      <w:rPr>
        <w:rFonts w:ascii="Courier New" w:hAnsi="Courier New" w:cs="Courier New" w:hint="default"/>
      </w:rPr>
    </w:lvl>
    <w:lvl w:ilvl="2" w:tplc="EF8460A8" w:tentative="1">
      <w:start w:val="1"/>
      <w:numFmt w:val="bullet"/>
      <w:lvlText w:val=""/>
      <w:lvlJc w:val="left"/>
      <w:pPr>
        <w:tabs>
          <w:tab w:val="num" w:pos="1026"/>
        </w:tabs>
        <w:ind w:left="1026" w:hanging="360"/>
      </w:pPr>
      <w:rPr>
        <w:rFonts w:ascii="Wingdings" w:hAnsi="Wingdings" w:hint="default"/>
      </w:rPr>
    </w:lvl>
    <w:lvl w:ilvl="3" w:tplc="7E4A7D70" w:tentative="1">
      <w:start w:val="1"/>
      <w:numFmt w:val="bullet"/>
      <w:lvlText w:val=""/>
      <w:lvlJc w:val="left"/>
      <w:pPr>
        <w:tabs>
          <w:tab w:val="num" w:pos="1746"/>
        </w:tabs>
        <w:ind w:left="1746" w:hanging="360"/>
      </w:pPr>
      <w:rPr>
        <w:rFonts w:ascii="Symbol" w:hAnsi="Symbol" w:hint="default"/>
      </w:rPr>
    </w:lvl>
    <w:lvl w:ilvl="4" w:tplc="D9705B80" w:tentative="1">
      <w:start w:val="1"/>
      <w:numFmt w:val="bullet"/>
      <w:lvlText w:val="o"/>
      <w:lvlJc w:val="left"/>
      <w:pPr>
        <w:tabs>
          <w:tab w:val="num" w:pos="2466"/>
        </w:tabs>
        <w:ind w:left="2466" w:hanging="360"/>
      </w:pPr>
      <w:rPr>
        <w:rFonts w:ascii="Courier New" w:hAnsi="Courier New" w:cs="Courier New" w:hint="default"/>
      </w:rPr>
    </w:lvl>
    <w:lvl w:ilvl="5" w:tplc="AD9A6980" w:tentative="1">
      <w:start w:val="1"/>
      <w:numFmt w:val="bullet"/>
      <w:lvlText w:val=""/>
      <w:lvlJc w:val="left"/>
      <w:pPr>
        <w:tabs>
          <w:tab w:val="num" w:pos="3186"/>
        </w:tabs>
        <w:ind w:left="3186" w:hanging="360"/>
      </w:pPr>
      <w:rPr>
        <w:rFonts w:ascii="Wingdings" w:hAnsi="Wingdings" w:hint="default"/>
      </w:rPr>
    </w:lvl>
    <w:lvl w:ilvl="6" w:tplc="E8A0CAA6" w:tentative="1">
      <w:start w:val="1"/>
      <w:numFmt w:val="bullet"/>
      <w:lvlText w:val=""/>
      <w:lvlJc w:val="left"/>
      <w:pPr>
        <w:tabs>
          <w:tab w:val="num" w:pos="3906"/>
        </w:tabs>
        <w:ind w:left="3906" w:hanging="360"/>
      </w:pPr>
      <w:rPr>
        <w:rFonts w:ascii="Symbol" w:hAnsi="Symbol" w:hint="default"/>
      </w:rPr>
    </w:lvl>
    <w:lvl w:ilvl="7" w:tplc="D6949E0C" w:tentative="1">
      <w:start w:val="1"/>
      <w:numFmt w:val="bullet"/>
      <w:lvlText w:val="o"/>
      <w:lvlJc w:val="left"/>
      <w:pPr>
        <w:tabs>
          <w:tab w:val="num" w:pos="4626"/>
        </w:tabs>
        <w:ind w:left="4626" w:hanging="360"/>
      </w:pPr>
      <w:rPr>
        <w:rFonts w:ascii="Courier New" w:hAnsi="Courier New" w:cs="Courier New" w:hint="default"/>
      </w:rPr>
    </w:lvl>
    <w:lvl w:ilvl="8" w:tplc="C25A7B1A" w:tentative="1">
      <w:start w:val="1"/>
      <w:numFmt w:val="bullet"/>
      <w:lvlText w:val=""/>
      <w:lvlJc w:val="left"/>
      <w:pPr>
        <w:tabs>
          <w:tab w:val="num" w:pos="5346"/>
        </w:tabs>
        <w:ind w:left="5346" w:hanging="360"/>
      </w:pPr>
      <w:rPr>
        <w:rFonts w:ascii="Wingdings" w:hAnsi="Wingdings" w:hint="default"/>
      </w:rPr>
    </w:lvl>
  </w:abstractNum>
  <w:abstractNum w:abstractNumId="5">
    <w:nsid w:val="52942FBD"/>
    <w:multiLevelType w:val="hybridMultilevel"/>
    <w:tmpl w:val="6170607C"/>
    <w:lvl w:ilvl="0" w:tplc="FCD4F456">
      <w:start w:val="1"/>
      <w:numFmt w:val="bullet"/>
      <w:lvlText w:val=""/>
      <w:lvlJc w:val="left"/>
      <w:pPr>
        <w:ind w:left="360" w:hanging="360"/>
      </w:pPr>
      <w:rPr>
        <w:rFonts w:ascii="Symbol" w:hAnsi="Symbol" w:hint="default"/>
      </w:rPr>
    </w:lvl>
    <w:lvl w:ilvl="1" w:tplc="2AC41976" w:tentative="1">
      <w:start w:val="1"/>
      <w:numFmt w:val="bullet"/>
      <w:lvlText w:val="o"/>
      <w:lvlJc w:val="left"/>
      <w:pPr>
        <w:ind w:left="1080" w:hanging="360"/>
      </w:pPr>
      <w:rPr>
        <w:rFonts w:ascii="Courier New" w:hAnsi="Courier New" w:cs="Courier New" w:hint="default"/>
      </w:rPr>
    </w:lvl>
    <w:lvl w:ilvl="2" w:tplc="39FCF718" w:tentative="1">
      <w:start w:val="1"/>
      <w:numFmt w:val="bullet"/>
      <w:lvlText w:val=""/>
      <w:lvlJc w:val="left"/>
      <w:pPr>
        <w:ind w:left="1800" w:hanging="360"/>
      </w:pPr>
      <w:rPr>
        <w:rFonts w:ascii="Wingdings" w:hAnsi="Wingdings" w:hint="default"/>
      </w:rPr>
    </w:lvl>
    <w:lvl w:ilvl="3" w:tplc="EDBCEB72" w:tentative="1">
      <w:start w:val="1"/>
      <w:numFmt w:val="bullet"/>
      <w:lvlText w:val=""/>
      <w:lvlJc w:val="left"/>
      <w:pPr>
        <w:ind w:left="2520" w:hanging="360"/>
      </w:pPr>
      <w:rPr>
        <w:rFonts w:ascii="Symbol" w:hAnsi="Symbol" w:hint="default"/>
      </w:rPr>
    </w:lvl>
    <w:lvl w:ilvl="4" w:tplc="07965232" w:tentative="1">
      <w:start w:val="1"/>
      <w:numFmt w:val="bullet"/>
      <w:lvlText w:val="o"/>
      <w:lvlJc w:val="left"/>
      <w:pPr>
        <w:ind w:left="3240" w:hanging="360"/>
      </w:pPr>
      <w:rPr>
        <w:rFonts w:ascii="Courier New" w:hAnsi="Courier New" w:cs="Courier New" w:hint="default"/>
      </w:rPr>
    </w:lvl>
    <w:lvl w:ilvl="5" w:tplc="BD5CECB8" w:tentative="1">
      <w:start w:val="1"/>
      <w:numFmt w:val="bullet"/>
      <w:lvlText w:val=""/>
      <w:lvlJc w:val="left"/>
      <w:pPr>
        <w:ind w:left="3960" w:hanging="360"/>
      </w:pPr>
      <w:rPr>
        <w:rFonts w:ascii="Wingdings" w:hAnsi="Wingdings" w:hint="default"/>
      </w:rPr>
    </w:lvl>
    <w:lvl w:ilvl="6" w:tplc="FD0A0DD4" w:tentative="1">
      <w:start w:val="1"/>
      <w:numFmt w:val="bullet"/>
      <w:lvlText w:val=""/>
      <w:lvlJc w:val="left"/>
      <w:pPr>
        <w:ind w:left="4680" w:hanging="360"/>
      </w:pPr>
      <w:rPr>
        <w:rFonts w:ascii="Symbol" w:hAnsi="Symbol" w:hint="default"/>
      </w:rPr>
    </w:lvl>
    <w:lvl w:ilvl="7" w:tplc="D99A9B0C" w:tentative="1">
      <w:start w:val="1"/>
      <w:numFmt w:val="bullet"/>
      <w:lvlText w:val="o"/>
      <w:lvlJc w:val="left"/>
      <w:pPr>
        <w:ind w:left="5400" w:hanging="360"/>
      </w:pPr>
      <w:rPr>
        <w:rFonts w:ascii="Courier New" w:hAnsi="Courier New" w:cs="Courier New" w:hint="default"/>
      </w:rPr>
    </w:lvl>
    <w:lvl w:ilvl="8" w:tplc="C45CB290" w:tentative="1">
      <w:start w:val="1"/>
      <w:numFmt w:val="bullet"/>
      <w:lvlText w:val=""/>
      <w:lvlJc w:val="left"/>
      <w:pPr>
        <w:ind w:left="6120" w:hanging="360"/>
      </w:pPr>
      <w:rPr>
        <w:rFonts w:ascii="Wingdings" w:hAnsi="Wingdings" w:hint="default"/>
      </w:rPr>
    </w:lvl>
  </w:abstractNum>
  <w:abstractNum w:abstractNumId="6">
    <w:nsid w:val="60A14C00"/>
    <w:multiLevelType w:val="hybridMultilevel"/>
    <w:tmpl w:val="1C069290"/>
    <w:lvl w:ilvl="0" w:tplc="A5EE172E">
      <w:start w:val="1"/>
      <w:numFmt w:val="bullet"/>
      <w:pStyle w:val="Heading3"/>
      <w:lvlText w:val=""/>
      <w:lvlJc w:val="left"/>
      <w:pPr>
        <w:tabs>
          <w:tab w:val="num" w:pos="284"/>
        </w:tabs>
        <w:ind w:left="284" w:hanging="284"/>
      </w:pPr>
      <w:rPr>
        <w:rFonts w:ascii="Symbol" w:hAnsi="Symbol" w:hint="default"/>
        <w:sz w:val="20"/>
      </w:rPr>
    </w:lvl>
    <w:lvl w:ilvl="1" w:tplc="AA7243F2">
      <w:start w:val="1"/>
      <w:numFmt w:val="bullet"/>
      <w:pStyle w:val="List2"/>
      <w:lvlText w:val=""/>
      <w:lvlJc w:val="left"/>
      <w:pPr>
        <w:tabs>
          <w:tab w:val="num" w:pos="1440"/>
        </w:tabs>
        <w:ind w:left="1440" w:hanging="360"/>
      </w:pPr>
      <w:rPr>
        <w:rFonts w:ascii="Wingdings" w:hAnsi="Wingdings" w:hint="default"/>
        <w:sz w:val="20"/>
      </w:rPr>
    </w:lvl>
    <w:lvl w:ilvl="2" w:tplc="2602A2A4" w:tentative="1">
      <w:start w:val="1"/>
      <w:numFmt w:val="bullet"/>
      <w:lvlText w:val=""/>
      <w:lvlJc w:val="left"/>
      <w:pPr>
        <w:tabs>
          <w:tab w:val="num" w:pos="2160"/>
        </w:tabs>
        <w:ind w:left="2160" w:hanging="360"/>
      </w:pPr>
      <w:rPr>
        <w:rFonts w:ascii="Wingdings" w:hAnsi="Wingdings" w:hint="default"/>
      </w:rPr>
    </w:lvl>
    <w:lvl w:ilvl="3" w:tplc="FD6222DA" w:tentative="1">
      <w:start w:val="1"/>
      <w:numFmt w:val="bullet"/>
      <w:lvlText w:val=""/>
      <w:lvlJc w:val="left"/>
      <w:pPr>
        <w:tabs>
          <w:tab w:val="num" w:pos="2880"/>
        </w:tabs>
        <w:ind w:left="2880" w:hanging="360"/>
      </w:pPr>
      <w:rPr>
        <w:rFonts w:ascii="Symbol" w:hAnsi="Symbol" w:hint="default"/>
      </w:rPr>
    </w:lvl>
    <w:lvl w:ilvl="4" w:tplc="8F0AEE6C" w:tentative="1">
      <w:start w:val="1"/>
      <w:numFmt w:val="bullet"/>
      <w:lvlText w:val="o"/>
      <w:lvlJc w:val="left"/>
      <w:pPr>
        <w:tabs>
          <w:tab w:val="num" w:pos="3600"/>
        </w:tabs>
        <w:ind w:left="3600" w:hanging="360"/>
      </w:pPr>
      <w:rPr>
        <w:rFonts w:ascii="Courier New" w:hAnsi="Courier New" w:cs="Courier New" w:hint="default"/>
      </w:rPr>
    </w:lvl>
    <w:lvl w:ilvl="5" w:tplc="2FD43152" w:tentative="1">
      <w:start w:val="1"/>
      <w:numFmt w:val="bullet"/>
      <w:lvlText w:val=""/>
      <w:lvlJc w:val="left"/>
      <w:pPr>
        <w:tabs>
          <w:tab w:val="num" w:pos="4320"/>
        </w:tabs>
        <w:ind w:left="4320" w:hanging="360"/>
      </w:pPr>
      <w:rPr>
        <w:rFonts w:ascii="Wingdings" w:hAnsi="Wingdings" w:hint="default"/>
      </w:rPr>
    </w:lvl>
    <w:lvl w:ilvl="6" w:tplc="9460A38A" w:tentative="1">
      <w:start w:val="1"/>
      <w:numFmt w:val="bullet"/>
      <w:lvlText w:val=""/>
      <w:lvlJc w:val="left"/>
      <w:pPr>
        <w:tabs>
          <w:tab w:val="num" w:pos="5040"/>
        </w:tabs>
        <w:ind w:left="5040" w:hanging="360"/>
      </w:pPr>
      <w:rPr>
        <w:rFonts w:ascii="Symbol" w:hAnsi="Symbol" w:hint="default"/>
      </w:rPr>
    </w:lvl>
    <w:lvl w:ilvl="7" w:tplc="6B46C24A" w:tentative="1">
      <w:start w:val="1"/>
      <w:numFmt w:val="bullet"/>
      <w:lvlText w:val="o"/>
      <w:lvlJc w:val="left"/>
      <w:pPr>
        <w:tabs>
          <w:tab w:val="num" w:pos="5760"/>
        </w:tabs>
        <w:ind w:left="5760" w:hanging="360"/>
      </w:pPr>
      <w:rPr>
        <w:rFonts w:ascii="Courier New" w:hAnsi="Courier New" w:cs="Courier New" w:hint="default"/>
      </w:rPr>
    </w:lvl>
    <w:lvl w:ilvl="8" w:tplc="2DE4099A" w:tentative="1">
      <w:start w:val="1"/>
      <w:numFmt w:val="bullet"/>
      <w:lvlText w:val=""/>
      <w:lvlJc w:val="left"/>
      <w:pPr>
        <w:tabs>
          <w:tab w:val="num" w:pos="6480"/>
        </w:tabs>
        <w:ind w:left="6480" w:hanging="360"/>
      </w:pPr>
      <w:rPr>
        <w:rFonts w:ascii="Wingdings" w:hAnsi="Wingdings" w:hint="default"/>
      </w:rPr>
    </w:lvl>
  </w:abstractNum>
  <w:abstractNum w:abstractNumId="7">
    <w:nsid w:val="74483B2F"/>
    <w:multiLevelType w:val="hybridMultilevel"/>
    <w:tmpl w:val="EAF66BF2"/>
    <w:lvl w:ilvl="0" w:tplc="BC26766C">
      <w:start w:val="1"/>
      <w:numFmt w:val="bullet"/>
      <w:lvlText w:val=""/>
      <w:lvlJc w:val="left"/>
      <w:pPr>
        <w:tabs>
          <w:tab w:val="num" w:pos="360"/>
        </w:tabs>
        <w:ind w:left="360" w:hanging="360"/>
      </w:pPr>
      <w:rPr>
        <w:rFonts w:ascii="Symbol" w:hAnsi="Symbol" w:hint="default"/>
      </w:rPr>
    </w:lvl>
    <w:lvl w:ilvl="1" w:tplc="8836FDC6">
      <w:start w:val="1"/>
      <w:numFmt w:val="decimal"/>
      <w:lvlText w:val="%2."/>
      <w:lvlJc w:val="left"/>
      <w:pPr>
        <w:tabs>
          <w:tab w:val="num" w:pos="1440"/>
        </w:tabs>
        <w:ind w:left="1440" w:hanging="360"/>
      </w:pPr>
    </w:lvl>
    <w:lvl w:ilvl="2" w:tplc="2A542A90">
      <w:start w:val="1"/>
      <w:numFmt w:val="decimal"/>
      <w:lvlText w:val="%3."/>
      <w:lvlJc w:val="left"/>
      <w:pPr>
        <w:tabs>
          <w:tab w:val="num" w:pos="2160"/>
        </w:tabs>
        <w:ind w:left="2160" w:hanging="360"/>
      </w:pPr>
    </w:lvl>
    <w:lvl w:ilvl="3" w:tplc="3FAE7EBA">
      <w:start w:val="1"/>
      <w:numFmt w:val="decimal"/>
      <w:lvlText w:val="%4."/>
      <w:lvlJc w:val="left"/>
      <w:pPr>
        <w:tabs>
          <w:tab w:val="num" w:pos="2880"/>
        </w:tabs>
        <w:ind w:left="2880" w:hanging="360"/>
      </w:pPr>
    </w:lvl>
    <w:lvl w:ilvl="4" w:tplc="20EA22FE">
      <w:start w:val="1"/>
      <w:numFmt w:val="decimal"/>
      <w:lvlText w:val="%5."/>
      <w:lvlJc w:val="left"/>
      <w:pPr>
        <w:tabs>
          <w:tab w:val="num" w:pos="3600"/>
        </w:tabs>
        <w:ind w:left="3600" w:hanging="360"/>
      </w:pPr>
    </w:lvl>
    <w:lvl w:ilvl="5" w:tplc="D1CAEE82">
      <w:start w:val="1"/>
      <w:numFmt w:val="decimal"/>
      <w:lvlText w:val="%6."/>
      <w:lvlJc w:val="left"/>
      <w:pPr>
        <w:tabs>
          <w:tab w:val="num" w:pos="4320"/>
        </w:tabs>
        <w:ind w:left="4320" w:hanging="360"/>
      </w:pPr>
    </w:lvl>
    <w:lvl w:ilvl="6" w:tplc="8B407F64">
      <w:start w:val="1"/>
      <w:numFmt w:val="decimal"/>
      <w:lvlText w:val="%7."/>
      <w:lvlJc w:val="left"/>
      <w:pPr>
        <w:tabs>
          <w:tab w:val="num" w:pos="5040"/>
        </w:tabs>
        <w:ind w:left="5040" w:hanging="360"/>
      </w:pPr>
    </w:lvl>
    <w:lvl w:ilvl="7" w:tplc="BDBAFF0C">
      <w:start w:val="1"/>
      <w:numFmt w:val="decimal"/>
      <w:lvlText w:val="%8."/>
      <w:lvlJc w:val="left"/>
      <w:pPr>
        <w:tabs>
          <w:tab w:val="num" w:pos="5760"/>
        </w:tabs>
        <w:ind w:left="5760" w:hanging="360"/>
      </w:pPr>
    </w:lvl>
    <w:lvl w:ilvl="8" w:tplc="0586422C">
      <w:start w:val="1"/>
      <w:numFmt w:val="decimal"/>
      <w:lvlText w:val="%9."/>
      <w:lvlJc w:val="left"/>
      <w:pPr>
        <w:tabs>
          <w:tab w:val="num" w:pos="6480"/>
        </w:tabs>
        <w:ind w:left="6480" w:hanging="360"/>
      </w:pPr>
    </w:lvl>
  </w:abstractNum>
  <w:abstractNum w:abstractNumId="8">
    <w:nsid w:val="76B00085"/>
    <w:multiLevelType w:val="singleLevel"/>
    <w:tmpl w:val="789C8126"/>
    <w:lvl w:ilvl="0">
      <w:start w:val="1"/>
      <w:numFmt w:val="decimal"/>
      <w:pStyle w:val="NumberedText"/>
      <w:lvlText w:val="%1."/>
      <w:lvlJc w:val="left"/>
      <w:pPr>
        <w:tabs>
          <w:tab w:val="num" w:pos="360"/>
        </w:tabs>
        <w:ind w:left="360" w:hanging="360"/>
      </w:pPr>
    </w:lvl>
  </w:abstractNum>
  <w:num w:numId="1">
    <w:abstractNumId w:val="7"/>
  </w:num>
  <w:num w:numId="2">
    <w:abstractNumId w:val="2"/>
  </w:num>
  <w:num w:numId="3">
    <w:abstractNumId w:val="4"/>
  </w:num>
  <w:num w:numId="4">
    <w:abstractNumId w:val="8"/>
    <w:lvlOverride w:ilvl="0">
      <w:startOverride w:val="1"/>
    </w:lvlOverride>
  </w:num>
  <w:num w:numId="5">
    <w:abstractNumId w:val="1"/>
  </w:num>
  <w:num w:numId="6">
    <w:abstractNumId w:val="6"/>
  </w:num>
  <w:num w:numId="7">
    <w:abstractNumId w:val="5"/>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30680"/>
  </w:docVars>
  <w:rsids>
    <w:rsidRoot w:val="002B5F10"/>
    <w:rsid w:val="00035DCF"/>
    <w:rsid w:val="00041F32"/>
    <w:rsid w:val="000C1E38"/>
    <w:rsid w:val="00180135"/>
    <w:rsid w:val="002B5F10"/>
    <w:rsid w:val="003C2EC8"/>
    <w:rsid w:val="004834A7"/>
    <w:rsid w:val="00713094"/>
    <w:rsid w:val="00AE5AD7"/>
    <w:rsid w:val="00BE413F"/>
    <w:rsid w:val="00D41C0A"/>
    <w:rsid w:val="00DC67AE"/>
    <w:rsid w:val="00E108B6"/>
    <w:rsid w:val="00E73122"/>
    <w:rsid w:val="00E84D19"/>
    <w:rsid w:val="00E901AE"/>
    <w:rsid w:val="00F847EE"/>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link w:val="Heading3Char"/>
    <w:uiPriority w:val="9"/>
    <w:qFormat/>
    <w:rsid w:val="00525977"/>
    <w:pPr>
      <w:keepLines/>
      <w:numPr>
        <w:numId w:val="6"/>
      </w:numPr>
      <w:spacing w:after="0" w:line="240" w:lineRule="atLeast"/>
      <w:outlineLvl w:val="2"/>
    </w:pPr>
    <w:rPr>
      <w:rFonts w:ascii="Times" w:hAnsi="Times" w:cs="Times New Roman"/>
      <w:b w:val="0"/>
      <w:bCs w:val="0"/>
      <w:i w:val="0"/>
      <w:iCs w:val="0"/>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3"/>
      </w:numPr>
    </w:pPr>
    <w:rPr>
      <w:rFonts w:ascii="Times New Roman" w:hAnsi="Times New Roman"/>
      <w:sz w:val="24"/>
    </w:rPr>
  </w:style>
  <w:style w:type="paragraph" w:customStyle="1" w:styleId="NumberedText">
    <w:name w:val="Numbered Text"/>
    <w:basedOn w:val="Normal"/>
    <w:rsid w:val="0003761B"/>
    <w:pPr>
      <w:numPr>
        <w:numId w:val="4"/>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uiPriority w:val="99"/>
    <w:rsid w:val="00AD20BF"/>
    <w:pPr>
      <w:numPr>
        <w:ilvl w:val="1"/>
        <w:numId w:val="6"/>
      </w:numPr>
      <w:spacing w:before="120"/>
      <w:jc w:val="both"/>
    </w:pPr>
    <w:rPr>
      <w:sz w:val="24"/>
    </w:rPr>
  </w:style>
  <w:style w:type="character" w:customStyle="1" w:styleId="Heading3Char">
    <w:name w:val="Heading 3 Char"/>
    <w:basedOn w:val="DefaultParagraphFont"/>
    <w:link w:val="Heading3"/>
    <w:uiPriority w:val="9"/>
    <w:locked/>
    <w:rsid w:val="00E108B6"/>
    <w:rPr>
      <w:rFonts w:ascii="Times" w:hAnsi="Times"/>
      <w:smallCaps/>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rategicplanning@geelongcity.vic.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eelongaustralia.com.au/amendm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Greater Geelong City Council</Company>
  <LinksUpToDate>false</LinksUpToDate>
  <CharactersWithSpaces>11644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Lyn Cramer</dc:creator>
  <cp:lastModifiedBy>Barry Gough</cp:lastModifiedBy>
  <cp:revision>2</cp:revision>
  <cp:lastPrinted>2016-07-20T04:03:00Z</cp:lastPrinted>
  <dcterms:created xsi:type="dcterms:W3CDTF">2016-11-07T23:26:00Z</dcterms:created>
  <dcterms:modified xsi:type="dcterms:W3CDTF">2016-11-07T23:26:00Z</dcterms:modified>
</cp:coreProperties>
</file>