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E47" w:rsidRPr="00F21E47" w:rsidRDefault="00C12A91" w:rsidP="00F21E47">
      <w:pPr>
        <w:spacing w:before="120"/>
        <w:jc w:val="center"/>
        <w:rPr>
          <w:rFonts w:ascii="Arial" w:hAnsi="Arial" w:cs="Arial"/>
          <w:i/>
          <w:iCs/>
        </w:rPr>
      </w:pPr>
      <w:r w:rsidRPr="00F21E47">
        <w:rPr>
          <w:rFonts w:ascii="Arial" w:hAnsi="Arial" w:cs="Arial"/>
          <w:i/>
          <w:iCs/>
        </w:rPr>
        <w:t>Planning and Environment Act 1987</w:t>
      </w:r>
    </w:p>
    <w:p w:rsidR="00F21E47" w:rsidRPr="00F21E47" w:rsidRDefault="00C12A91" w:rsidP="00F21E47">
      <w:pPr>
        <w:keepNext/>
        <w:keepLines/>
        <w:spacing w:before="240"/>
        <w:jc w:val="center"/>
        <w:outlineLvl w:val="0"/>
        <w:rPr>
          <w:rFonts w:ascii="Arial" w:hAnsi="Arial" w:cs="Arial"/>
          <w:b/>
          <w:bCs/>
          <w:caps/>
          <w:sz w:val="28"/>
          <w:szCs w:val="28"/>
        </w:rPr>
      </w:pPr>
      <w:r w:rsidRPr="00F21E47">
        <w:rPr>
          <w:rFonts w:ascii="Arial" w:hAnsi="Arial" w:cs="Arial"/>
          <w:b/>
          <w:bCs/>
          <w:caps/>
          <w:color w:val="000000"/>
          <w:sz w:val="28"/>
          <w:szCs w:val="28"/>
        </w:rPr>
        <w:t>GREATER GEELONG</w:t>
      </w:r>
      <w:r w:rsidRPr="00F21E47">
        <w:rPr>
          <w:rFonts w:ascii="Arial" w:hAnsi="Arial" w:cs="Arial"/>
          <w:b/>
          <w:bCs/>
          <w:caps/>
          <w:sz w:val="28"/>
          <w:szCs w:val="28"/>
        </w:rPr>
        <w:t xml:space="preserve"> PLANNING SCHEME</w:t>
      </w:r>
    </w:p>
    <w:p w:rsidR="00F21E47" w:rsidRDefault="00C12A91" w:rsidP="00F21E47">
      <w:pPr>
        <w:keepNext/>
        <w:keepLines/>
        <w:spacing w:before="240"/>
        <w:jc w:val="center"/>
        <w:outlineLvl w:val="0"/>
        <w:rPr>
          <w:rFonts w:ascii="Arial" w:hAnsi="Arial" w:cs="Arial"/>
          <w:b/>
          <w:bCs/>
          <w:caps/>
          <w:sz w:val="28"/>
          <w:szCs w:val="28"/>
        </w:rPr>
      </w:pPr>
      <w:r w:rsidRPr="00F21E47">
        <w:rPr>
          <w:rFonts w:ascii="Arial" w:hAnsi="Arial" w:cs="Arial"/>
          <w:b/>
          <w:bCs/>
          <w:caps/>
          <w:sz w:val="28"/>
          <w:szCs w:val="28"/>
        </w:rPr>
        <w:t>AMENDMENT C</w:t>
      </w:r>
      <w:r>
        <w:rPr>
          <w:rFonts w:ascii="Arial" w:hAnsi="Arial" w:cs="Arial"/>
          <w:b/>
          <w:bCs/>
          <w:caps/>
          <w:sz w:val="28"/>
          <w:szCs w:val="28"/>
        </w:rPr>
        <w:t>356</w:t>
      </w:r>
    </w:p>
    <w:p w:rsidR="0058002F" w:rsidRPr="00F21E47" w:rsidRDefault="00C12A91" w:rsidP="00F21E47">
      <w:pPr>
        <w:keepNext/>
        <w:keepLines/>
        <w:spacing w:before="240"/>
        <w:jc w:val="center"/>
        <w:outlineLvl w:val="0"/>
        <w:rPr>
          <w:rFonts w:ascii="Arial" w:hAnsi="Arial" w:cs="Arial"/>
          <w:b/>
          <w:bCs/>
          <w:caps/>
          <w:sz w:val="28"/>
          <w:szCs w:val="28"/>
        </w:rPr>
      </w:pPr>
      <w:r>
        <w:rPr>
          <w:rFonts w:ascii="Arial" w:hAnsi="Arial" w:cs="Arial"/>
          <w:b/>
          <w:bCs/>
          <w:caps/>
          <w:sz w:val="28"/>
          <w:szCs w:val="28"/>
        </w:rPr>
        <w:t>Planning Permit Applic</w:t>
      </w:r>
      <w:r w:rsidR="002067FB">
        <w:rPr>
          <w:rFonts w:ascii="Arial" w:hAnsi="Arial" w:cs="Arial"/>
          <w:b/>
          <w:bCs/>
          <w:caps/>
          <w:sz w:val="28"/>
          <w:szCs w:val="28"/>
        </w:rPr>
        <w:t>a</w:t>
      </w:r>
      <w:r>
        <w:rPr>
          <w:rFonts w:ascii="Arial" w:hAnsi="Arial" w:cs="Arial"/>
          <w:b/>
          <w:bCs/>
          <w:caps/>
          <w:sz w:val="28"/>
          <w:szCs w:val="28"/>
        </w:rPr>
        <w:t xml:space="preserve">tion </w:t>
      </w:r>
      <w:r w:rsidR="0017096E">
        <w:rPr>
          <w:rFonts w:ascii="Arial" w:hAnsi="Arial" w:cs="Arial"/>
          <w:b/>
          <w:bCs/>
          <w:caps/>
          <w:sz w:val="28"/>
          <w:szCs w:val="28"/>
        </w:rPr>
        <w:t>1027/2016</w:t>
      </w:r>
    </w:p>
    <w:p w:rsidR="00F21E47" w:rsidRPr="00F21E47" w:rsidRDefault="00C12A91" w:rsidP="00F21E47">
      <w:pPr>
        <w:keepNext/>
        <w:keepLines/>
        <w:spacing w:before="240"/>
        <w:jc w:val="center"/>
        <w:outlineLvl w:val="0"/>
        <w:rPr>
          <w:rFonts w:ascii="Arial" w:hAnsi="Arial" w:cs="Arial"/>
          <w:b/>
          <w:bCs/>
          <w:caps/>
          <w:sz w:val="24"/>
          <w:szCs w:val="24"/>
        </w:rPr>
      </w:pPr>
      <w:r w:rsidRPr="00F21E47">
        <w:rPr>
          <w:rFonts w:ascii="Arial" w:hAnsi="Arial" w:cs="Arial"/>
          <w:b/>
          <w:bCs/>
          <w:caps/>
          <w:sz w:val="24"/>
          <w:szCs w:val="24"/>
        </w:rPr>
        <w:t>EXPLANATORY REPORT</w:t>
      </w:r>
    </w:p>
    <w:p w:rsidR="00F21E47" w:rsidRPr="00F21E47" w:rsidRDefault="00C12A91" w:rsidP="00F21E47">
      <w:pPr>
        <w:spacing w:before="360"/>
        <w:jc w:val="both"/>
        <w:outlineLvl w:val="1"/>
        <w:rPr>
          <w:rFonts w:ascii="Arial" w:hAnsi="Arial" w:cs="Arial"/>
          <w:b/>
          <w:bCs/>
          <w:sz w:val="24"/>
        </w:rPr>
      </w:pPr>
      <w:r w:rsidRPr="00F21E47">
        <w:rPr>
          <w:rFonts w:ascii="Arial" w:hAnsi="Arial" w:cs="Arial"/>
          <w:b/>
          <w:bCs/>
          <w:sz w:val="24"/>
        </w:rPr>
        <w:t>Who is the planning authority?</w:t>
      </w:r>
    </w:p>
    <w:p w:rsidR="00F21E47" w:rsidRPr="00F21E47" w:rsidRDefault="00C12A91" w:rsidP="00F21E47">
      <w:pPr>
        <w:spacing w:before="120"/>
        <w:jc w:val="both"/>
        <w:rPr>
          <w:rFonts w:ascii="Arial" w:hAnsi="Arial" w:cs="Arial"/>
          <w:sz w:val="22"/>
          <w:szCs w:val="22"/>
        </w:rPr>
      </w:pPr>
      <w:r w:rsidRPr="00F21E47">
        <w:rPr>
          <w:rFonts w:ascii="Arial" w:hAnsi="Arial" w:cs="Arial"/>
          <w:sz w:val="22"/>
          <w:szCs w:val="22"/>
        </w:rPr>
        <w:t>This amendment has been prepared by the</w:t>
      </w:r>
      <w:r w:rsidRPr="00F21E47">
        <w:rPr>
          <w:rFonts w:ascii="Arial" w:hAnsi="Arial" w:cs="Arial"/>
          <w:color w:val="FF0000"/>
          <w:sz w:val="22"/>
          <w:szCs w:val="22"/>
        </w:rPr>
        <w:t xml:space="preserve"> </w:t>
      </w:r>
      <w:r>
        <w:rPr>
          <w:rFonts w:ascii="Arial" w:hAnsi="Arial" w:cs="Arial"/>
          <w:color w:val="000000"/>
          <w:sz w:val="22"/>
          <w:szCs w:val="22"/>
        </w:rPr>
        <w:t>Greater Geelong City Council</w:t>
      </w:r>
      <w:r w:rsidRPr="00F21E47">
        <w:rPr>
          <w:rFonts w:ascii="Arial" w:hAnsi="Arial" w:cs="Arial"/>
          <w:sz w:val="22"/>
          <w:szCs w:val="22"/>
        </w:rPr>
        <w:t xml:space="preserve"> </w:t>
      </w:r>
      <w:r w:rsidR="0017096E">
        <w:rPr>
          <w:rFonts w:ascii="Arial" w:hAnsi="Arial" w:cs="Arial"/>
          <w:sz w:val="22"/>
          <w:szCs w:val="22"/>
        </w:rPr>
        <w:t xml:space="preserve">which </w:t>
      </w:r>
      <w:r w:rsidRPr="00F21E47">
        <w:rPr>
          <w:rFonts w:ascii="Arial" w:hAnsi="Arial" w:cs="Arial"/>
          <w:sz w:val="22"/>
          <w:szCs w:val="22"/>
        </w:rPr>
        <w:t>is the planning authority for this amendment.</w:t>
      </w:r>
    </w:p>
    <w:p w:rsidR="00F21E47" w:rsidRPr="00F21E47" w:rsidRDefault="00C12A91" w:rsidP="00F21E47">
      <w:pPr>
        <w:spacing w:before="120"/>
        <w:jc w:val="both"/>
        <w:rPr>
          <w:rFonts w:ascii="Arial" w:hAnsi="Arial" w:cs="Arial"/>
          <w:sz w:val="22"/>
          <w:szCs w:val="22"/>
        </w:rPr>
      </w:pPr>
      <w:r w:rsidRPr="00F21E47">
        <w:rPr>
          <w:rFonts w:ascii="Arial" w:hAnsi="Arial" w:cs="Arial"/>
          <w:sz w:val="22"/>
          <w:szCs w:val="22"/>
        </w:rPr>
        <w:t xml:space="preserve">The amendment has been made at the request </w:t>
      </w:r>
      <w:r w:rsidRPr="00F21E47">
        <w:rPr>
          <w:rFonts w:ascii="Arial" w:hAnsi="Arial" w:cs="Arial"/>
          <w:color w:val="000000"/>
          <w:sz w:val="22"/>
          <w:szCs w:val="22"/>
        </w:rPr>
        <w:t xml:space="preserve">of </w:t>
      </w:r>
      <w:r w:rsidR="0017096E">
        <w:rPr>
          <w:rFonts w:ascii="Arial" w:hAnsi="Arial" w:cs="Arial"/>
          <w:color w:val="000000"/>
          <w:sz w:val="22"/>
          <w:szCs w:val="22"/>
        </w:rPr>
        <w:t xml:space="preserve">Tract Consultants on behalf of Angelo </w:t>
      </w:r>
      <w:proofErr w:type="spellStart"/>
      <w:r w:rsidR="0017096E">
        <w:rPr>
          <w:rFonts w:ascii="Arial" w:hAnsi="Arial" w:cs="Arial"/>
          <w:color w:val="000000"/>
          <w:sz w:val="22"/>
          <w:szCs w:val="22"/>
        </w:rPr>
        <w:t>Martucci</w:t>
      </w:r>
      <w:proofErr w:type="spellEnd"/>
      <w:r w:rsidR="0017096E">
        <w:rPr>
          <w:rFonts w:ascii="Arial" w:hAnsi="Arial" w:cs="Arial"/>
          <w:color w:val="000000"/>
          <w:sz w:val="22"/>
          <w:szCs w:val="22"/>
        </w:rPr>
        <w:t xml:space="preserve">.  </w:t>
      </w:r>
      <w:r>
        <w:rPr>
          <w:rFonts w:ascii="Arial" w:hAnsi="Arial" w:cs="Arial"/>
          <w:color w:val="000000"/>
          <w:sz w:val="22"/>
          <w:szCs w:val="22"/>
        </w:rPr>
        <w:t>.</w:t>
      </w:r>
    </w:p>
    <w:p w:rsidR="00F21E47" w:rsidRPr="00F21E47" w:rsidRDefault="00C12A91" w:rsidP="00F21E47">
      <w:pPr>
        <w:spacing w:before="360"/>
        <w:jc w:val="both"/>
        <w:outlineLvl w:val="1"/>
        <w:rPr>
          <w:rFonts w:ascii="Arial" w:hAnsi="Arial" w:cs="Arial"/>
          <w:b/>
          <w:bCs/>
          <w:sz w:val="24"/>
        </w:rPr>
      </w:pPr>
      <w:r w:rsidRPr="00F21E47">
        <w:rPr>
          <w:rFonts w:ascii="Arial" w:hAnsi="Arial" w:cs="Arial"/>
          <w:b/>
          <w:bCs/>
          <w:sz w:val="24"/>
        </w:rPr>
        <w:t>Land affected by the amendment</w:t>
      </w:r>
    </w:p>
    <w:p w:rsidR="00F21E47" w:rsidRPr="0058002F" w:rsidRDefault="00C12A91" w:rsidP="0058002F">
      <w:pPr>
        <w:spacing w:before="120"/>
        <w:jc w:val="both"/>
        <w:rPr>
          <w:rFonts w:ascii="Arial" w:hAnsi="Arial" w:cs="Arial"/>
          <w:sz w:val="22"/>
          <w:szCs w:val="22"/>
        </w:rPr>
      </w:pPr>
      <w:r w:rsidRPr="0058002F">
        <w:rPr>
          <w:rFonts w:ascii="Arial" w:hAnsi="Arial" w:cs="Arial"/>
          <w:sz w:val="22"/>
          <w:szCs w:val="22"/>
        </w:rPr>
        <w:t xml:space="preserve">The amendment applies to </w:t>
      </w:r>
      <w:r w:rsidR="0017096E">
        <w:rPr>
          <w:rFonts w:ascii="Arial" w:hAnsi="Arial" w:cs="Arial"/>
          <w:sz w:val="22"/>
          <w:szCs w:val="22"/>
        </w:rPr>
        <w:t xml:space="preserve">part of the land located at 42 – 44 Ponds Drive and 60 Forest Road North, Lara.   See </w:t>
      </w:r>
      <w:r w:rsidR="0017096E" w:rsidRPr="0017096E">
        <w:rPr>
          <w:rFonts w:ascii="Arial" w:hAnsi="Arial" w:cs="Arial"/>
          <w:b/>
          <w:sz w:val="22"/>
          <w:szCs w:val="22"/>
        </w:rPr>
        <w:t>Figure 1</w:t>
      </w:r>
      <w:r w:rsidR="0017096E">
        <w:rPr>
          <w:rFonts w:ascii="Arial" w:hAnsi="Arial" w:cs="Arial"/>
          <w:sz w:val="22"/>
          <w:szCs w:val="22"/>
        </w:rPr>
        <w:t xml:space="preserve"> below.  </w:t>
      </w:r>
    </w:p>
    <w:p w:rsidR="0017096E" w:rsidRDefault="0017096E" w:rsidP="0058002F">
      <w:pPr>
        <w:spacing w:before="120"/>
        <w:rPr>
          <w:rFonts w:ascii="Arial" w:hAnsi="Arial" w:cs="Arial"/>
          <w:sz w:val="22"/>
          <w:szCs w:val="22"/>
        </w:rPr>
      </w:pPr>
      <w:r>
        <w:rPr>
          <w:rFonts w:ascii="Arial" w:hAnsi="Arial" w:cs="Arial"/>
          <w:noProof/>
          <w:color w:val="FF0000"/>
          <w:sz w:val="22"/>
          <w:szCs w:val="22"/>
        </w:rPr>
        <w:drawing>
          <wp:inline distT="0" distB="0" distL="0" distR="0">
            <wp:extent cx="3267075" cy="4600575"/>
            <wp:effectExtent l="19050" t="0" r="9525" b="0"/>
            <wp:docPr id="1" name="Picture 1" descr="Planning Scheme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Scheme Changes"/>
                    <pic:cNvPicPr>
                      <a:picLocks noChangeAspect="1" noChangeArrowheads="1"/>
                    </pic:cNvPicPr>
                  </pic:nvPicPr>
                  <pic:blipFill>
                    <a:blip r:embed="rId7" cstate="print"/>
                    <a:srcRect/>
                    <a:stretch>
                      <a:fillRect/>
                    </a:stretch>
                  </pic:blipFill>
                  <pic:spPr bwMode="auto">
                    <a:xfrm>
                      <a:off x="0" y="0"/>
                      <a:ext cx="3267075" cy="4600575"/>
                    </a:xfrm>
                    <a:prstGeom prst="rect">
                      <a:avLst/>
                    </a:prstGeom>
                    <a:noFill/>
                    <a:ln w="9525">
                      <a:noFill/>
                      <a:miter lim="800000"/>
                      <a:headEnd/>
                      <a:tailEnd/>
                    </a:ln>
                  </pic:spPr>
                </pic:pic>
              </a:graphicData>
            </a:graphic>
          </wp:inline>
        </w:drawing>
      </w:r>
    </w:p>
    <w:p w:rsidR="0058002F" w:rsidRPr="0058002F" w:rsidRDefault="00C12A91" w:rsidP="0058002F">
      <w:pPr>
        <w:spacing w:before="120"/>
        <w:rPr>
          <w:rFonts w:ascii="Arial" w:hAnsi="Arial" w:cs="Arial"/>
          <w:sz w:val="22"/>
          <w:szCs w:val="22"/>
        </w:rPr>
      </w:pPr>
      <w:r w:rsidRPr="0058002F">
        <w:rPr>
          <w:rFonts w:ascii="Arial" w:hAnsi="Arial" w:cs="Arial"/>
          <w:sz w:val="22"/>
          <w:szCs w:val="22"/>
        </w:rPr>
        <w:t>The Amendment is  a combined planning permit application and planning scheme amendment under section 96A of the Act.</w:t>
      </w:r>
    </w:p>
    <w:p w:rsidR="0058002F" w:rsidRPr="0017096E" w:rsidRDefault="00C12A91" w:rsidP="0058002F">
      <w:pPr>
        <w:spacing w:before="120"/>
        <w:rPr>
          <w:rFonts w:ascii="Arial" w:hAnsi="Arial" w:cs="Arial"/>
          <w:color w:val="000000" w:themeColor="text1"/>
          <w:sz w:val="22"/>
          <w:szCs w:val="22"/>
        </w:rPr>
      </w:pPr>
      <w:r w:rsidRPr="0017096E">
        <w:rPr>
          <w:rFonts w:ascii="Arial" w:hAnsi="Arial" w:cs="Arial"/>
          <w:color w:val="000000" w:themeColor="text1"/>
          <w:sz w:val="22"/>
          <w:szCs w:val="22"/>
        </w:rPr>
        <w:t xml:space="preserve">The planning permit application applies to </w:t>
      </w:r>
      <w:r w:rsidR="0017096E" w:rsidRPr="0017096E">
        <w:rPr>
          <w:rFonts w:ascii="Arial" w:hAnsi="Arial" w:cs="Arial"/>
          <w:color w:val="000000" w:themeColor="text1"/>
          <w:sz w:val="22"/>
          <w:szCs w:val="22"/>
        </w:rPr>
        <w:t xml:space="preserve">42 – 44 Ponds Drive Lara. </w:t>
      </w:r>
    </w:p>
    <w:p w:rsidR="00F21E47" w:rsidRPr="00F21E47" w:rsidRDefault="0017096E" w:rsidP="00F21E47">
      <w:pPr>
        <w:spacing w:before="360"/>
        <w:jc w:val="both"/>
        <w:outlineLvl w:val="1"/>
        <w:rPr>
          <w:rFonts w:ascii="Arial" w:hAnsi="Arial" w:cs="Arial"/>
          <w:b/>
          <w:bCs/>
          <w:sz w:val="24"/>
        </w:rPr>
      </w:pPr>
      <w:r>
        <w:rPr>
          <w:rFonts w:ascii="Arial" w:hAnsi="Arial" w:cs="Arial"/>
          <w:b/>
          <w:bCs/>
          <w:sz w:val="24"/>
        </w:rPr>
        <w:br w:type="page"/>
      </w:r>
      <w:r w:rsidR="00C12A91" w:rsidRPr="00F21E47">
        <w:rPr>
          <w:rFonts w:ascii="Arial" w:hAnsi="Arial" w:cs="Arial"/>
          <w:b/>
          <w:bCs/>
          <w:sz w:val="24"/>
        </w:rPr>
        <w:lastRenderedPageBreak/>
        <w:t>What the amendment does</w:t>
      </w:r>
    </w:p>
    <w:p w:rsidR="00D41B6C" w:rsidRPr="00D41B6C" w:rsidRDefault="00C12A91" w:rsidP="0017096E">
      <w:pPr>
        <w:spacing w:before="120"/>
        <w:jc w:val="both"/>
        <w:rPr>
          <w:i/>
        </w:rPr>
      </w:pPr>
      <w:r w:rsidRPr="00F21E47">
        <w:rPr>
          <w:rFonts w:ascii="Arial" w:hAnsi="Arial" w:cs="Arial"/>
          <w:sz w:val="22"/>
          <w:szCs w:val="22"/>
        </w:rPr>
        <w:t xml:space="preserve">The amendment </w:t>
      </w:r>
      <w:r>
        <w:rPr>
          <w:rFonts w:ascii="Arial" w:hAnsi="Arial" w:cs="Arial"/>
          <w:sz w:val="22"/>
          <w:szCs w:val="22"/>
        </w:rPr>
        <w:t xml:space="preserve">proposes to rezone </w:t>
      </w:r>
      <w:r w:rsidR="0017096E">
        <w:rPr>
          <w:rFonts w:ascii="Arial" w:hAnsi="Arial" w:cs="Arial"/>
          <w:sz w:val="22"/>
          <w:szCs w:val="22"/>
        </w:rPr>
        <w:t>part of the properties</w:t>
      </w:r>
      <w:r>
        <w:rPr>
          <w:rFonts w:ascii="Arial" w:hAnsi="Arial" w:cs="Arial"/>
          <w:sz w:val="22"/>
          <w:szCs w:val="22"/>
        </w:rPr>
        <w:t xml:space="preserve"> at 42 - 44 Ponds Drive Lara and 60 Forest Road North, Lara from U</w:t>
      </w:r>
      <w:r w:rsidR="0017096E">
        <w:rPr>
          <w:rFonts w:ascii="Arial" w:hAnsi="Arial" w:cs="Arial"/>
          <w:sz w:val="22"/>
          <w:szCs w:val="22"/>
        </w:rPr>
        <w:t xml:space="preserve">rban </w:t>
      </w:r>
      <w:r>
        <w:rPr>
          <w:rFonts w:ascii="Arial" w:hAnsi="Arial" w:cs="Arial"/>
          <w:sz w:val="22"/>
          <w:szCs w:val="22"/>
        </w:rPr>
        <w:t>F</w:t>
      </w:r>
      <w:r w:rsidR="0017096E">
        <w:rPr>
          <w:rFonts w:ascii="Arial" w:hAnsi="Arial" w:cs="Arial"/>
          <w:sz w:val="22"/>
          <w:szCs w:val="22"/>
        </w:rPr>
        <w:t>lood</w:t>
      </w:r>
      <w:r w:rsidR="000D5064">
        <w:rPr>
          <w:rFonts w:ascii="Arial" w:hAnsi="Arial" w:cs="Arial"/>
          <w:sz w:val="22"/>
          <w:szCs w:val="22"/>
        </w:rPr>
        <w:t>w</w:t>
      </w:r>
      <w:r w:rsidR="00835BDA">
        <w:rPr>
          <w:rFonts w:ascii="Arial" w:hAnsi="Arial" w:cs="Arial"/>
          <w:sz w:val="22"/>
          <w:szCs w:val="22"/>
        </w:rPr>
        <w:t>ay</w:t>
      </w:r>
      <w:r w:rsidR="0017096E">
        <w:rPr>
          <w:rFonts w:ascii="Arial" w:hAnsi="Arial" w:cs="Arial"/>
          <w:sz w:val="22"/>
          <w:szCs w:val="22"/>
        </w:rPr>
        <w:t xml:space="preserve"> </w:t>
      </w:r>
      <w:r>
        <w:rPr>
          <w:rFonts w:ascii="Arial" w:hAnsi="Arial" w:cs="Arial"/>
          <w:sz w:val="22"/>
          <w:szCs w:val="22"/>
        </w:rPr>
        <w:t>Z</w:t>
      </w:r>
      <w:r w:rsidR="0017096E">
        <w:rPr>
          <w:rFonts w:ascii="Arial" w:hAnsi="Arial" w:cs="Arial"/>
          <w:sz w:val="22"/>
          <w:szCs w:val="22"/>
        </w:rPr>
        <w:t>one</w:t>
      </w:r>
      <w:r>
        <w:rPr>
          <w:rFonts w:ascii="Arial" w:hAnsi="Arial" w:cs="Arial"/>
          <w:sz w:val="22"/>
          <w:szCs w:val="22"/>
        </w:rPr>
        <w:t xml:space="preserve"> to G</w:t>
      </w:r>
      <w:r w:rsidR="0017096E">
        <w:rPr>
          <w:rFonts w:ascii="Arial" w:hAnsi="Arial" w:cs="Arial"/>
          <w:sz w:val="22"/>
          <w:szCs w:val="22"/>
        </w:rPr>
        <w:t xml:space="preserve">eneral </w:t>
      </w:r>
      <w:r>
        <w:rPr>
          <w:rFonts w:ascii="Arial" w:hAnsi="Arial" w:cs="Arial"/>
          <w:sz w:val="22"/>
          <w:szCs w:val="22"/>
        </w:rPr>
        <w:t>R</w:t>
      </w:r>
      <w:r w:rsidR="0017096E">
        <w:rPr>
          <w:rFonts w:ascii="Arial" w:hAnsi="Arial" w:cs="Arial"/>
          <w:sz w:val="22"/>
          <w:szCs w:val="22"/>
        </w:rPr>
        <w:t xml:space="preserve">esidential </w:t>
      </w:r>
      <w:r>
        <w:rPr>
          <w:rFonts w:ascii="Arial" w:hAnsi="Arial" w:cs="Arial"/>
          <w:sz w:val="22"/>
          <w:szCs w:val="22"/>
        </w:rPr>
        <w:t>Z</w:t>
      </w:r>
      <w:r w:rsidR="0017096E">
        <w:rPr>
          <w:rFonts w:ascii="Arial" w:hAnsi="Arial" w:cs="Arial"/>
          <w:sz w:val="22"/>
          <w:szCs w:val="22"/>
        </w:rPr>
        <w:t xml:space="preserve">one </w:t>
      </w:r>
      <w:r w:rsidR="00835BDA">
        <w:rPr>
          <w:rFonts w:ascii="Arial" w:hAnsi="Arial" w:cs="Arial"/>
          <w:sz w:val="22"/>
          <w:szCs w:val="22"/>
        </w:rPr>
        <w:t xml:space="preserve">Schedule </w:t>
      </w:r>
      <w:r>
        <w:rPr>
          <w:rFonts w:ascii="Arial" w:hAnsi="Arial" w:cs="Arial"/>
          <w:sz w:val="22"/>
          <w:szCs w:val="22"/>
        </w:rPr>
        <w:t>1</w:t>
      </w:r>
      <w:r w:rsidR="0017096E">
        <w:rPr>
          <w:rFonts w:ascii="Arial" w:hAnsi="Arial" w:cs="Arial"/>
          <w:sz w:val="22"/>
          <w:szCs w:val="22"/>
        </w:rPr>
        <w:t xml:space="preserve"> and apply a Special Building Overlay to part of the land</w:t>
      </w:r>
      <w:r>
        <w:rPr>
          <w:rFonts w:ascii="Arial" w:hAnsi="Arial" w:cs="Arial"/>
          <w:sz w:val="22"/>
          <w:szCs w:val="22"/>
        </w:rPr>
        <w:t xml:space="preserve">. </w:t>
      </w:r>
    </w:p>
    <w:p w:rsidR="00D41B6C" w:rsidRDefault="00835BDA" w:rsidP="0017096E">
      <w:pPr>
        <w:tabs>
          <w:tab w:val="left" w:pos="426"/>
        </w:tabs>
        <w:spacing w:before="120"/>
        <w:rPr>
          <w:rFonts w:ascii="Arial" w:hAnsi="Arial" w:cs="Arial"/>
          <w:color w:val="FF0000"/>
          <w:sz w:val="22"/>
          <w:szCs w:val="22"/>
        </w:rPr>
      </w:pPr>
      <w:r>
        <w:rPr>
          <w:rFonts w:ascii="Arial" w:hAnsi="Arial" w:cs="Arial"/>
          <w:sz w:val="22"/>
          <w:szCs w:val="22"/>
        </w:rPr>
        <w:t>The Planning Permit Application</w:t>
      </w:r>
      <w:r w:rsidR="000D5064">
        <w:rPr>
          <w:rFonts w:ascii="Arial" w:hAnsi="Arial" w:cs="Arial"/>
          <w:sz w:val="22"/>
          <w:szCs w:val="22"/>
        </w:rPr>
        <w:t xml:space="preserve"> seeks approval</w:t>
      </w:r>
      <w:r>
        <w:rPr>
          <w:rFonts w:ascii="Arial" w:hAnsi="Arial" w:cs="Arial"/>
          <w:sz w:val="22"/>
          <w:szCs w:val="22"/>
        </w:rPr>
        <w:t xml:space="preserve"> for a five lot subdivision and</w:t>
      </w:r>
      <w:r w:rsidR="0017096E" w:rsidRPr="00045B67">
        <w:rPr>
          <w:rFonts w:ascii="Arial" w:hAnsi="Arial" w:cs="Arial"/>
          <w:sz w:val="22"/>
          <w:szCs w:val="22"/>
        </w:rPr>
        <w:t xml:space="preserve"> </w:t>
      </w:r>
      <w:r w:rsidR="0017096E">
        <w:rPr>
          <w:rFonts w:ascii="Arial" w:hAnsi="Arial" w:cs="Arial"/>
          <w:sz w:val="22"/>
          <w:szCs w:val="22"/>
        </w:rPr>
        <w:t xml:space="preserve">for the construction of </w:t>
      </w:r>
      <w:r>
        <w:rPr>
          <w:rFonts w:ascii="Arial" w:hAnsi="Arial" w:cs="Arial"/>
          <w:sz w:val="22"/>
          <w:szCs w:val="22"/>
        </w:rPr>
        <w:t xml:space="preserve">4 </w:t>
      </w:r>
      <w:r w:rsidR="0017096E">
        <w:rPr>
          <w:rFonts w:ascii="Arial" w:hAnsi="Arial" w:cs="Arial"/>
          <w:sz w:val="22"/>
          <w:szCs w:val="22"/>
        </w:rPr>
        <w:t>double storey</w:t>
      </w:r>
      <w:r w:rsidR="0017096E" w:rsidRPr="00045B67">
        <w:rPr>
          <w:rFonts w:ascii="Arial" w:hAnsi="Arial" w:cs="Arial"/>
          <w:sz w:val="22"/>
          <w:szCs w:val="22"/>
        </w:rPr>
        <w:t xml:space="preserve"> dwellings</w:t>
      </w:r>
      <w:r w:rsidR="0017096E">
        <w:rPr>
          <w:rFonts w:ascii="Arial" w:hAnsi="Arial" w:cs="Arial"/>
          <w:sz w:val="22"/>
          <w:szCs w:val="22"/>
        </w:rPr>
        <w:t xml:space="preserve"> at 42-44 Ponds Drive, Lara.  The </w:t>
      </w:r>
      <w:r>
        <w:rPr>
          <w:rFonts w:ascii="Arial" w:hAnsi="Arial" w:cs="Arial"/>
          <w:sz w:val="22"/>
          <w:szCs w:val="22"/>
        </w:rPr>
        <w:t>permit</w:t>
      </w:r>
      <w:r w:rsidR="0017096E">
        <w:rPr>
          <w:rFonts w:ascii="Arial" w:hAnsi="Arial" w:cs="Arial"/>
          <w:sz w:val="22"/>
          <w:szCs w:val="22"/>
        </w:rPr>
        <w:t xml:space="preserve"> is also seeking to remove restriction on title (Lot 1 PS431989M and Lot 2 PS431989M)</w:t>
      </w:r>
      <w:r w:rsidR="0017096E">
        <w:rPr>
          <w:rFonts w:ascii="Arial" w:hAnsi="Arial" w:cs="Arial"/>
          <w:color w:val="FF0000"/>
          <w:sz w:val="22"/>
          <w:szCs w:val="22"/>
        </w:rPr>
        <w:t xml:space="preserve">. </w:t>
      </w:r>
    </w:p>
    <w:p w:rsidR="00F21E47" w:rsidRPr="00F21E47" w:rsidRDefault="00C12A91" w:rsidP="00F21E47">
      <w:pPr>
        <w:spacing w:before="360"/>
        <w:jc w:val="both"/>
        <w:outlineLvl w:val="1"/>
        <w:rPr>
          <w:rFonts w:ascii="Arial" w:hAnsi="Arial" w:cs="Arial"/>
          <w:b/>
          <w:bCs/>
          <w:smallCaps/>
          <w:sz w:val="24"/>
        </w:rPr>
      </w:pPr>
      <w:r w:rsidRPr="00F21E47">
        <w:rPr>
          <w:rFonts w:ascii="Arial" w:hAnsi="Arial" w:cs="Arial"/>
          <w:b/>
          <w:bCs/>
          <w:sz w:val="24"/>
        </w:rPr>
        <w:t xml:space="preserve">Strategic assessment of the amendment </w:t>
      </w:r>
    </w:p>
    <w:p w:rsidR="00F21E47" w:rsidRDefault="00C12A91"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Why is the amendment required?</w:t>
      </w:r>
    </w:p>
    <w:p w:rsidR="004D0144" w:rsidRDefault="004D0144" w:rsidP="000A01D6">
      <w:pPr>
        <w:spacing w:before="120"/>
        <w:jc w:val="both"/>
        <w:rPr>
          <w:rFonts w:ascii="Arial" w:hAnsi="Arial" w:cs="Arial"/>
          <w:sz w:val="22"/>
          <w:szCs w:val="22"/>
        </w:rPr>
      </w:pPr>
      <w:r>
        <w:rPr>
          <w:rFonts w:ascii="Arial" w:hAnsi="Arial" w:cs="Arial"/>
          <w:sz w:val="22"/>
          <w:szCs w:val="22"/>
        </w:rPr>
        <w:t xml:space="preserve">The Amendment is required to </w:t>
      </w:r>
      <w:r w:rsidR="00C5778A">
        <w:rPr>
          <w:rFonts w:ascii="Arial" w:hAnsi="Arial" w:cs="Arial"/>
          <w:sz w:val="22"/>
          <w:szCs w:val="22"/>
        </w:rPr>
        <w:t xml:space="preserve">enable both properties to be more fully developed for residential purposes. </w:t>
      </w:r>
    </w:p>
    <w:p w:rsidR="000A01D6" w:rsidRPr="000A01D6" w:rsidRDefault="00C5778A" w:rsidP="000A01D6">
      <w:pPr>
        <w:spacing w:before="120"/>
        <w:jc w:val="both"/>
        <w:rPr>
          <w:rFonts w:ascii="Arial" w:hAnsi="Arial" w:cs="Arial"/>
          <w:sz w:val="22"/>
          <w:szCs w:val="22"/>
        </w:rPr>
      </w:pPr>
      <w:r>
        <w:rPr>
          <w:rFonts w:ascii="Arial" w:hAnsi="Arial" w:cs="Arial"/>
          <w:sz w:val="22"/>
          <w:szCs w:val="22"/>
        </w:rPr>
        <w:t>The</w:t>
      </w:r>
      <w:r w:rsidR="000A01D6" w:rsidRPr="000A01D6">
        <w:rPr>
          <w:rFonts w:ascii="Arial" w:hAnsi="Arial" w:cs="Arial"/>
          <w:sz w:val="22"/>
          <w:szCs w:val="22"/>
        </w:rPr>
        <w:t xml:space="preserve"> Special Building Overlay (SBO) will ensure the development is compatible with any drainage constraints.    </w:t>
      </w:r>
    </w:p>
    <w:p w:rsidR="00F21E47" w:rsidRPr="00F21E47" w:rsidRDefault="00C12A91"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implement the objectives of planning in Victoria?</w:t>
      </w:r>
    </w:p>
    <w:p w:rsidR="00C5778A" w:rsidRPr="00683142" w:rsidRDefault="00C5778A" w:rsidP="00C5778A">
      <w:pPr>
        <w:spacing w:before="120"/>
        <w:jc w:val="both"/>
        <w:rPr>
          <w:rFonts w:ascii="Arial" w:hAnsi="Arial" w:cs="Arial"/>
          <w:sz w:val="22"/>
          <w:szCs w:val="22"/>
        </w:rPr>
      </w:pPr>
      <w:r w:rsidRPr="00683142">
        <w:rPr>
          <w:rFonts w:ascii="Arial" w:hAnsi="Arial" w:cs="Arial"/>
          <w:sz w:val="22"/>
          <w:szCs w:val="22"/>
        </w:rPr>
        <w:t>The Amendment implements the objectives of planning in Victoria, contained in Section 4 of the Planning and Environment Act 1987, in the following ways:</w:t>
      </w:r>
    </w:p>
    <w:p w:rsidR="00C5778A" w:rsidRPr="00683142" w:rsidRDefault="00C5778A" w:rsidP="00C5778A">
      <w:pPr>
        <w:numPr>
          <w:ilvl w:val="0"/>
          <w:numId w:val="11"/>
        </w:numPr>
        <w:spacing w:before="120"/>
        <w:jc w:val="both"/>
        <w:rPr>
          <w:rFonts w:ascii="Arial" w:hAnsi="Arial" w:cs="Arial"/>
          <w:sz w:val="22"/>
          <w:szCs w:val="22"/>
        </w:rPr>
      </w:pPr>
      <w:r w:rsidRPr="00683142">
        <w:rPr>
          <w:rFonts w:ascii="Arial" w:hAnsi="Arial" w:cs="Arial"/>
          <w:sz w:val="22"/>
          <w:szCs w:val="22"/>
        </w:rPr>
        <w:t xml:space="preserve">Provides for the fair, orderly, economic and sustainable use and development of land as it facilitates a coordinated development in a strategically identified location and in a responsible manner through the implementation of appropriate zone and overlay controls.  </w:t>
      </w:r>
    </w:p>
    <w:p w:rsidR="00C5778A" w:rsidRPr="00683142" w:rsidRDefault="00C5778A" w:rsidP="00C5778A">
      <w:pPr>
        <w:numPr>
          <w:ilvl w:val="0"/>
          <w:numId w:val="11"/>
        </w:numPr>
        <w:spacing w:before="120"/>
        <w:jc w:val="both"/>
        <w:rPr>
          <w:rFonts w:ascii="Arial" w:hAnsi="Arial" w:cs="Arial"/>
          <w:sz w:val="22"/>
          <w:szCs w:val="22"/>
        </w:rPr>
      </w:pPr>
      <w:r w:rsidRPr="00683142">
        <w:rPr>
          <w:rFonts w:ascii="Arial" w:hAnsi="Arial" w:cs="Arial"/>
          <w:sz w:val="22"/>
          <w:szCs w:val="22"/>
        </w:rPr>
        <w:t xml:space="preserve">Provides for the protection of natural resources by introducing the Special Building Overlay which allows for planning intervention at the development process to maintain the passage of the floodwater and protect water quality. </w:t>
      </w:r>
    </w:p>
    <w:p w:rsidR="00C5778A" w:rsidRPr="00683142" w:rsidRDefault="00C5778A" w:rsidP="00C5778A">
      <w:pPr>
        <w:numPr>
          <w:ilvl w:val="0"/>
          <w:numId w:val="11"/>
        </w:numPr>
        <w:spacing w:before="120"/>
        <w:jc w:val="both"/>
        <w:rPr>
          <w:rFonts w:ascii="Arial" w:hAnsi="Arial" w:cs="Arial"/>
          <w:sz w:val="22"/>
          <w:szCs w:val="22"/>
        </w:rPr>
      </w:pPr>
      <w:r w:rsidRPr="00683142">
        <w:rPr>
          <w:rFonts w:ascii="Arial" w:hAnsi="Arial" w:cs="Arial"/>
          <w:sz w:val="22"/>
          <w:szCs w:val="22"/>
        </w:rPr>
        <w:t xml:space="preserve">Secures and provides a pleasant and safe recreational environment for all Victorians and visitors to Lara. </w:t>
      </w:r>
    </w:p>
    <w:p w:rsidR="00C5778A" w:rsidRDefault="00C5778A" w:rsidP="00C5778A">
      <w:pPr>
        <w:numPr>
          <w:ilvl w:val="0"/>
          <w:numId w:val="11"/>
        </w:numPr>
        <w:spacing w:before="120"/>
        <w:jc w:val="both"/>
        <w:rPr>
          <w:rFonts w:ascii="Arial" w:hAnsi="Arial" w:cs="Arial"/>
          <w:sz w:val="22"/>
          <w:szCs w:val="22"/>
        </w:rPr>
      </w:pPr>
      <w:r w:rsidRPr="00683142">
        <w:rPr>
          <w:rFonts w:ascii="Arial" w:hAnsi="Arial" w:cs="Arial"/>
          <w:sz w:val="22"/>
          <w:szCs w:val="22"/>
        </w:rPr>
        <w:t xml:space="preserve">Seeks to balance the present and future interests of all Victorians by facilitating appropriate development and producing a high quality urban environment for existing and future residents.  </w:t>
      </w:r>
    </w:p>
    <w:p w:rsidR="00F21E47" w:rsidRPr="00F21E47" w:rsidRDefault="00C12A91"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 xml:space="preserve">How does the amendment address the environmental effects and any relevant social and economic effects? </w:t>
      </w:r>
    </w:p>
    <w:p w:rsidR="003360F0" w:rsidRPr="003360F0" w:rsidRDefault="003360F0" w:rsidP="003360F0">
      <w:pPr>
        <w:pStyle w:val="Heading3"/>
        <w:keepNext w:val="0"/>
        <w:keepLines w:val="0"/>
        <w:numPr>
          <w:ilvl w:val="0"/>
          <w:numId w:val="0"/>
        </w:numPr>
        <w:spacing w:before="120" w:after="120" w:line="240" w:lineRule="auto"/>
        <w:rPr>
          <w:rFonts w:ascii="Arial" w:hAnsi="Arial" w:cs="Arial"/>
          <w:smallCaps w:val="0"/>
          <w:sz w:val="22"/>
          <w:szCs w:val="22"/>
          <w:u w:val="single"/>
        </w:rPr>
      </w:pPr>
      <w:r w:rsidRPr="003360F0">
        <w:rPr>
          <w:rFonts w:ascii="Arial" w:hAnsi="Arial" w:cs="Arial"/>
          <w:smallCaps w:val="0"/>
          <w:sz w:val="22"/>
          <w:szCs w:val="22"/>
          <w:u w:val="single"/>
        </w:rPr>
        <w:t>Social:</w:t>
      </w:r>
    </w:p>
    <w:p w:rsidR="003360F0" w:rsidRPr="003360F0" w:rsidRDefault="003360F0" w:rsidP="003360F0">
      <w:pPr>
        <w:spacing w:before="120"/>
        <w:jc w:val="both"/>
        <w:rPr>
          <w:rFonts w:ascii="Arial" w:hAnsi="Arial" w:cs="Arial"/>
          <w:sz w:val="22"/>
          <w:szCs w:val="22"/>
        </w:rPr>
      </w:pPr>
      <w:r w:rsidRPr="003360F0">
        <w:rPr>
          <w:rFonts w:ascii="Arial" w:hAnsi="Arial" w:cs="Arial"/>
          <w:sz w:val="22"/>
          <w:szCs w:val="22"/>
        </w:rPr>
        <w:t>The proposal is expected to deliver positive social effects for the area.  The Amendment adds to the supply of developable residential land and promotes infill development within the Lara Township.  The proposal will promote residential development within an existing residential area.</w:t>
      </w:r>
    </w:p>
    <w:p w:rsidR="003360F0" w:rsidRPr="003360F0" w:rsidRDefault="003360F0" w:rsidP="003360F0">
      <w:pPr>
        <w:pStyle w:val="Heading3"/>
        <w:keepNext w:val="0"/>
        <w:keepLines w:val="0"/>
        <w:numPr>
          <w:ilvl w:val="0"/>
          <w:numId w:val="0"/>
        </w:numPr>
        <w:spacing w:before="120" w:after="120" w:line="240" w:lineRule="auto"/>
        <w:rPr>
          <w:rFonts w:ascii="Arial" w:hAnsi="Arial" w:cs="Arial"/>
          <w:smallCaps w:val="0"/>
          <w:sz w:val="22"/>
          <w:szCs w:val="22"/>
          <w:u w:val="single"/>
        </w:rPr>
      </w:pPr>
      <w:r w:rsidRPr="003360F0">
        <w:rPr>
          <w:rFonts w:ascii="Arial" w:hAnsi="Arial" w:cs="Arial"/>
          <w:smallCaps w:val="0"/>
          <w:sz w:val="22"/>
          <w:szCs w:val="22"/>
          <w:u w:val="single"/>
        </w:rPr>
        <w:t>Economic:</w:t>
      </w:r>
    </w:p>
    <w:p w:rsidR="003360F0" w:rsidRPr="003360F0" w:rsidRDefault="003360F0" w:rsidP="003360F0">
      <w:pPr>
        <w:spacing w:before="120"/>
        <w:jc w:val="both"/>
        <w:rPr>
          <w:rFonts w:ascii="Arial" w:hAnsi="Arial" w:cs="Arial"/>
          <w:sz w:val="22"/>
          <w:szCs w:val="22"/>
        </w:rPr>
      </w:pPr>
      <w:r w:rsidRPr="003360F0">
        <w:rPr>
          <w:rFonts w:ascii="Arial" w:hAnsi="Arial" w:cs="Arial"/>
          <w:sz w:val="22"/>
          <w:szCs w:val="22"/>
        </w:rPr>
        <w:t xml:space="preserve">The proposal will generate economic benefits through direct and indirect employment opportunities throughout the construction phase.     </w:t>
      </w:r>
    </w:p>
    <w:p w:rsidR="003360F0" w:rsidRPr="003360F0" w:rsidRDefault="003360F0" w:rsidP="003360F0">
      <w:pPr>
        <w:pStyle w:val="Heading3"/>
        <w:keepNext w:val="0"/>
        <w:keepLines w:val="0"/>
        <w:numPr>
          <w:ilvl w:val="0"/>
          <w:numId w:val="0"/>
        </w:numPr>
        <w:spacing w:before="120" w:after="120" w:line="240" w:lineRule="auto"/>
        <w:rPr>
          <w:rFonts w:ascii="Arial" w:hAnsi="Arial" w:cs="Arial"/>
          <w:smallCaps w:val="0"/>
          <w:sz w:val="22"/>
          <w:szCs w:val="22"/>
          <w:u w:val="single"/>
        </w:rPr>
      </w:pPr>
      <w:r w:rsidRPr="003360F0">
        <w:rPr>
          <w:rFonts w:ascii="Arial" w:hAnsi="Arial" w:cs="Arial"/>
          <w:smallCaps w:val="0"/>
          <w:sz w:val="22"/>
          <w:szCs w:val="22"/>
          <w:u w:val="single"/>
        </w:rPr>
        <w:t>Environmental:</w:t>
      </w:r>
    </w:p>
    <w:p w:rsidR="006C36F6" w:rsidRDefault="003360F0" w:rsidP="003360F0">
      <w:pPr>
        <w:spacing w:before="120"/>
        <w:jc w:val="both"/>
        <w:rPr>
          <w:rFonts w:ascii="Arial" w:hAnsi="Arial" w:cs="Arial"/>
          <w:b/>
          <w:sz w:val="22"/>
          <w:szCs w:val="22"/>
        </w:rPr>
      </w:pPr>
      <w:r w:rsidRPr="003360F0">
        <w:rPr>
          <w:rFonts w:ascii="Arial" w:hAnsi="Arial" w:cs="Arial"/>
          <w:sz w:val="22"/>
          <w:szCs w:val="22"/>
        </w:rPr>
        <w:t>In order to ensure that all possible environmental and cultural impacts of the development have been addressed, specialist advice has been sought.  Drainage and Cultural Heritage Management Plan (CHMP) reports accompany the application.</w:t>
      </w:r>
      <w:r w:rsidRPr="002612BB">
        <w:rPr>
          <w:rFonts w:ascii="Arial" w:hAnsi="Arial" w:cs="Arial"/>
          <w:b/>
          <w:sz w:val="22"/>
          <w:szCs w:val="22"/>
        </w:rPr>
        <w:t xml:space="preserve">  </w:t>
      </w:r>
    </w:p>
    <w:p w:rsidR="00F21E47" w:rsidRPr="006C36F6" w:rsidRDefault="006C36F6" w:rsidP="006C36F6">
      <w:pPr>
        <w:pStyle w:val="Heading3"/>
        <w:keepNext w:val="0"/>
        <w:keepLines w:val="0"/>
        <w:numPr>
          <w:ilvl w:val="0"/>
          <w:numId w:val="0"/>
        </w:numPr>
        <w:spacing w:line="240" w:lineRule="auto"/>
        <w:jc w:val="both"/>
        <w:rPr>
          <w:rFonts w:ascii="Arial" w:hAnsi="Arial" w:cs="Arial"/>
          <w:b/>
          <w:smallCaps w:val="0"/>
          <w:szCs w:val="24"/>
        </w:rPr>
      </w:pPr>
      <w:r>
        <w:rPr>
          <w:rFonts w:ascii="Arial" w:hAnsi="Arial" w:cs="Arial"/>
          <w:b/>
          <w:sz w:val="22"/>
          <w:szCs w:val="22"/>
        </w:rPr>
        <w:br w:type="page"/>
      </w:r>
      <w:r w:rsidR="00C12A91" w:rsidRPr="00F21E47">
        <w:rPr>
          <w:rFonts w:ascii="Arial" w:hAnsi="Arial" w:cs="Arial"/>
          <w:b/>
          <w:smallCaps w:val="0"/>
          <w:szCs w:val="24"/>
        </w:rPr>
        <w:lastRenderedPageBreak/>
        <w:t>Does the amendment address relevant bushfire risk?</w:t>
      </w:r>
    </w:p>
    <w:p w:rsidR="006C36F6" w:rsidRPr="00F27102"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The land is not within a bushfire prone area and will not increase bushfire risk.  </w:t>
      </w:r>
    </w:p>
    <w:p w:rsidR="00F21E47" w:rsidRPr="00F21E47" w:rsidRDefault="00C12A91" w:rsidP="008C2FC3">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Does the amendment comply with the requirements of any Minister’s Direction applicable to the amendment?</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The contents of Ministerial Direction No 11 Strategic Assessment Guidelines have been utilised in the preparation of this Explanatory Report.   </w:t>
      </w:r>
    </w:p>
    <w:p w:rsidR="006C36F6" w:rsidRPr="006C36F6" w:rsidRDefault="006C36F6" w:rsidP="006C36F6">
      <w:pPr>
        <w:pStyle w:val="StrategicAssessmentText"/>
        <w:ind w:left="0"/>
        <w:jc w:val="left"/>
        <w:rPr>
          <w:rFonts w:ascii="Arial" w:hAnsi="Arial" w:cs="Arial"/>
          <w:snapToGrid w:val="0"/>
          <w:sz w:val="22"/>
          <w:szCs w:val="22"/>
          <w:lang w:eastAsia="en-US"/>
        </w:rPr>
      </w:pPr>
      <w:r w:rsidRPr="006C36F6">
        <w:rPr>
          <w:rFonts w:ascii="Arial" w:hAnsi="Arial" w:cs="Arial"/>
          <w:snapToGrid w:val="0"/>
          <w:sz w:val="22"/>
          <w:szCs w:val="22"/>
          <w:lang w:eastAsia="en-US"/>
        </w:rPr>
        <w:t xml:space="preserve">The Amendment is consistent with the Ministerial Direction on the Form and Content of Planning Schemes under Section 7(5) of the Planning and Environment Act 1987.  </w:t>
      </w:r>
    </w:p>
    <w:p w:rsidR="00F21E47" w:rsidRPr="00F21E47" w:rsidRDefault="00C12A91" w:rsidP="008C2FC3">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How does the amendment support or implement the State Planning Policy Framework and any adopted State policy?</w:t>
      </w:r>
    </w:p>
    <w:p w:rsidR="006C36F6" w:rsidRPr="006C36F6" w:rsidRDefault="006C36F6" w:rsidP="006C36F6">
      <w:pPr>
        <w:pStyle w:val="StrategicAssessmentText"/>
        <w:ind w:left="0"/>
        <w:jc w:val="left"/>
        <w:rPr>
          <w:rFonts w:ascii="Arial" w:hAnsi="Arial" w:cs="Arial"/>
          <w:snapToGrid w:val="0"/>
          <w:sz w:val="22"/>
          <w:szCs w:val="22"/>
          <w:lang w:eastAsia="en-US"/>
        </w:rPr>
      </w:pPr>
      <w:r w:rsidRPr="006C36F6">
        <w:rPr>
          <w:rFonts w:ascii="Arial" w:hAnsi="Arial" w:cs="Arial"/>
          <w:snapToGrid w:val="0"/>
          <w:sz w:val="22"/>
          <w:szCs w:val="22"/>
          <w:lang w:eastAsia="en-US"/>
        </w:rPr>
        <w:t>The amendment is consistent with the objectives of the State Planning Policy Framework (SPPF) and supports its implementation by:</w:t>
      </w:r>
    </w:p>
    <w:p w:rsidR="006C36F6" w:rsidRPr="00A05E72" w:rsidRDefault="001B23E6" w:rsidP="006C36F6">
      <w:pPr>
        <w:pStyle w:val="StrategicAssessmentText"/>
        <w:ind w:left="0"/>
        <w:jc w:val="left"/>
        <w:rPr>
          <w:rFonts w:ascii="Arial" w:hAnsi="Arial" w:cs="Arial"/>
          <w:b/>
          <w:snapToGrid w:val="0"/>
          <w:sz w:val="22"/>
          <w:szCs w:val="22"/>
          <w:lang w:eastAsia="en-US"/>
        </w:rPr>
      </w:pPr>
      <w:r>
        <w:rPr>
          <w:rFonts w:ascii="Arial" w:hAnsi="Arial" w:cs="Arial"/>
          <w:b/>
          <w:snapToGrid w:val="0"/>
          <w:sz w:val="22"/>
          <w:szCs w:val="22"/>
          <w:lang w:eastAsia="en-US"/>
        </w:rPr>
        <w:t xml:space="preserve">Clause 11 </w:t>
      </w:r>
      <w:r w:rsidR="006C36F6" w:rsidRPr="00A05E72">
        <w:rPr>
          <w:rFonts w:ascii="Arial" w:hAnsi="Arial" w:cs="Arial"/>
          <w:b/>
          <w:snapToGrid w:val="0"/>
          <w:sz w:val="22"/>
          <w:szCs w:val="22"/>
          <w:lang w:eastAsia="en-US"/>
        </w:rPr>
        <w:t xml:space="preserve"> Settlement </w:t>
      </w:r>
    </w:p>
    <w:p w:rsidR="006C36F6" w:rsidRDefault="006C36F6" w:rsidP="006C36F6">
      <w:pPr>
        <w:pStyle w:val="StrategicAssessmentText"/>
        <w:ind w:left="0"/>
        <w:jc w:val="left"/>
        <w:rPr>
          <w:rFonts w:ascii="Arial" w:hAnsi="Arial" w:cs="Arial"/>
          <w:i/>
          <w:snapToGrid w:val="0"/>
          <w:sz w:val="22"/>
          <w:szCs w:val="22"/>
          <w:lang w:eastAsia="en-US"/>
        </w:rPr>
      </w:pPr>
      <w:r w:rsidRPr="007774DF">
        <w:rPr>
          <w:rFonts w:ascii="Arial" w:hAnsi="Arial" w:cs="Arial"/>
          <w:snapToGrid w:val="0"/>
          <w:sz w:val="22"/>
          <w:szCs w:val="22"/>
          <w:lang w:eastAsia="en-US"/>
        </w:rPr>
        <w:t>This clause states that ‘</w:t>
      </w:r>
      <w:r w:rsidRPr="005D4BBE">
        <w:rPr>
          <w:rFonts w:ascii="Arial" w:hAnsi="Arial" w:cs="Arial"/>
          <w:i/>
          <w:snapToGrid w:val="0"/>
          <w:sz w:val="22"/>
          <w:szCs w:val="22"/>
          <w:lang w:eastAsia="en-US"/>
        </w:rPr>
        <w:t xml:space="preserve">Planning is to anticipate and respond to the needs of existing and future communities through provision of zoned and serviced land for housing, employment, recreation and open space, commercial and community facilities and </w:t>
      </w:r>
      <w:r>
        <w:rPr>
          <w:rFonts w:ascii="Arial" w:hAnsi="Arial" w:cs="Arial"/>
          <w:i/>
          <w:snapToGrid w:val="0"/>
          <w:sz w:val="22"/>
          <w:szCs w:val="22"/>
          <w:lang w:eastAsia="en-US"/>
        </w:rPr>
        <w:t>infrastructure’</w:t>
      </w:r>
      <w:r w:rsidRPr="005D4BBE">
        <w:rPr>
          <w:rFonts w:ascii="Arial" w:hAnsi="Arial" w:cs="Arial"/>
          <w:i/>
          <w:snapToGrid w:val="0"/>
          <w:sz w:val="22"/>
          <w:szCs w:val="22"/>
          <w:lang w:eastAsia="en-US"/>
        </w:rPr>
        <w:t xml:space="preserve">. </w:t>
      </w:r>
    </w:p>
    <w:p w:rsidR="006C36F6" w:rsidRPr="007774DF" w:rsidRDefault="006C36F6" w:rsidP="006C36F6">
      <w:pPr>
        <w:pStyle w:val="StrategicAssessmentText"/>
        <w:ind w:left="0"/>
        <w:jc w:val="left"/>
        <w:rPr>
          <w:rFonts w:ascii="Arial" w:hAnsi="Arial" w:cs="Arial"/>
          <w:i/>
          <w:snapToGrid w:val="0"/>
          <w:sz w:val="22"/>
          <w:szCs w:val="22"/>
          <w:lang w:eastAsia="en-US"/>
        </w:rPr>
      </w:pPr>
      <w:r w:rsidRPr="007774DF">
        <w:rPr>
          <w:rFonts w:ascii="Arial" w:hAnsi="Arial" w:cs="Arial"/>
          <w:snapToGrid w:val="0"/>
          <w:sz w:val="22"/>
          <w:szCs w:val="22"/>
          <w:lang w:eastAsia="en-US"/>
        </w:rPr>
        <w:t xml:space="preserve">This clause also </w:t>
      </w:r>
      <w:r>
        <w:rPr>
          <w:rFonts w:ascii="Arial" w:hAnsi="Arial" w:cs="Arial"/>
          <w:snapToGrid w:val="0"/>
          <w:sz w:val="22"/>
          <w:szCs w:val="22"/>
          <w:lang w:eastAsia="en-US"/>
        </w:rPr>
        <w:t xml:space="preserve">identifies planning is to recognise the need for, and as far as practicable contribute towards </w:t>
      </w:r>
      <w:r w:rsidRPr="007774DF">
        <w:rPr>
          <w:rFonts w:ascii="Arial" w:hAnsi="Arial" w:cs="Arial"/>
          <w:i/>
          <w:snapToGrid w:val="0"/>
          <w:sz w:val="22"/>
          <w:szCs w:val="22"/>
          <w:lang w:eastAsia="en-US"/>
        </w:rPr>
        <w:t>‘diversity of choice’</w:t>
      </w:r>
      <w:r>
        <w:rPr>
          <w:rFonts w:ascii="Arial" w:hAnsi="Arial" w:cs="Arial"/>
          <w:snapToGrid w:val="0"/>
          <w:sz w:val="22"/>
          <w:szCs w:val="22"/>
          <w:lang w:eastAsia="en-US"/>
        </w:rPr>
        <w:t xml:space="preserve">.  </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This clause also states that planning </w:t>
      </w:r>
      <w:r w:rsidRPr="007774DF">
        <w:rPr>
          <w:rFonts w:ascii="Arial" w:hAnsi="Arial" w:cs="Arial"/>
          <w:i/>
          <w:snapToGrid w:val="0"/>
          <w:sz w:val="22"/>
          <w:szCs w:val="22"/>
          <w:lang w:eastAsia="en-US"/>
        </w:rPr>
        <w:t>‘is to facilitate sustainable development that takes full advantage of existing settlement patterns’</w:t>
      </w:r>
      <w:r>
        <w:rPr>
          <w:rFonts w:ascii="Arial" w:hAnsi="Arial" w:cs="Arial"/>
          <w:snapToGrid w:val="0"/>
          <w:sz w:val="22"/>
          <w:szCs w:val="22"/>
          <w:lang w:eastAsia="en-US"/>
        </w:rPr>
        <w:t xml:space="preserve">.  </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Clause 11 includes reference to the G21 Regional Growth Plan. </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Clause 11.07-1 provides an overarching objective to </w:t>
      </w:r>
      <w:r w:rsidRPr="007076B0">
        <w:rPr>
          <w:rFonts w:ascii="Arial" w:hAnsi="Arial" w:cs="Arial"/>
          <w:i/>
          <w:snapToGrid w:val="0"/>
          <w:sz w:val="22"/>
          <w:szCs w:val="22"/>
          <w:lang w:eastAsia="en-US"/>
        </w:rPr>
        <w:t>‘optimise infrastructure and consolidate growth’</w:t>
      </w:r>
      <w:r>
        <w:rPr>
          <w:rFonts w:ascii="Arial" w:hAnsi="Arial" w:cs="Arial"/>
          <w:snapToGrid w:val="0"/>
          <w:sz w:val="22"/>
          <w:szCs w:val="22"/>
          <w:lang w:eastAsia="en-US"/>
        </w:rPr>
        <w:t xml:space="preserve">.  This clause includes the strategy to </w:t>
      </w:r>
      <w:r w:rsidRPr="007076B0">
        <w:rPr>
          <w:rFonts w:ascii="Arial" w:hAnsi="Arial" w:cs="Arial"/>
          <w:i/>
          <w:snapToGrid w:val="0"/>
          <w:sz w:val="22"/>
          <w:szCs w:val="22"/>
          <w:lang w:eastAsia="en-US"/>
        </w:rPr>
        <w:t>‘support the growth of Bannockburn, Colac, Drysdale/ Clifton Springs, Lara, Leopold, Ocean Grove and Torquay/Jan Juc as district towns building on existing and planned infrastructure’.</w:t>
      </w:r>
      <w:r>
        <w:rPr>
          <w:rFonts w:ascii="Arial" w:hAnsi="Arial" w:cs="Arial"/>
          <w:snapToGrid w:val="0"/>
          <w:sz w:val="22"/>
          <w:szCs w:val="22"/>
          <w:lang w:eastAsia="en-US"/>
        </w:rPr>
        <w:t xml:space="preserve">  </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Clause 11.07-6 provides an overarching objective to </w:t>
      </w:r>
      <w:r w:rsidRPr="008D0A38">
        <w:rPr>
          <w:rFonts w:ascii="Arial" w:hAnsi="Arial" w:cs="Arial"/>
          <w:i/>
          <w:snapToGrid w:val="0"/>
          <w:sz w:val="22"/>
          <w:szCs w:val="22"/>
          <w:lang w:eastAsia="en-US"/>
        </w:rPr>
        <w:t>‘allow communities to live, work and participate locally’</w:t>
      </w:r>
      <w:r>
        <w:rPr>
          <w:rFonts w:ascii="Arial" w:hAnsi="Arial" w:cs="Arial"/>
          <w:snapToGrid w:val="0"/>
          <w:sz w:val="22"/>
          <w:szCs w:val="22"/>
          <w:lang w:eastAsia="en-US"/>
        </w:rPr>
        <w:t xml:space="preserve">.  This clause includes the strategy to </w:t>
      </w:r>
      <w:r w:rsidRPr="008D0A38">
        <w:rPr>
          <w:rFonts w:ascii="Arial" w:hAnsi="Arial" w:cs="Arial"/>
          <w:i/>
          <w:snapToGrid w:val="0"/>
          <w:sz w:val="22"/>
          <w:szCs w:val="22"/>
          <w:lang w:eastAsia="en-US"/>
        </w:rPr>
        <w:t xml:space="preserve">‘facilitate infill development in Central Geelong and West </w:t>
      </w:r>
      <w:proofErr w:type="spellStart"/>
      <w:r w:rsidRPr="008D0A38">
        <w:rPr>
          <w:rFonts w:ascii="Arial" w:hAnsi="Arial" w:cs="Arial"/>
          <w:i/>
          <w:snapToGrid w:val="0"/>
          <w:sz w:val="22"/>
          <w:szCs w:val="22"/>
          <w:lang w:eastAsia="en-US"/>
        </w:rPr>
        <w:t>Fyans</w:t>
      </w:r>
      <w:proofErr w:type="spellEnd"/>
      <w:r w:rsidRPr="008D0A38">
        <w:rPr>
          <w:rFonts w:ascii="Arial" w:hAnsi="Arial" w:cs="Arial"/>
          <w:i/>
          <w:snapToGrid w:val="0"/>
          <w:sz w:val="22"/>
          <w:szCs w:val="22"/>
          <w:lang w:eastAsia="en-US"/>
        </w:rPr>
        <w:t xml:space="preserve"> and around activity areas within urban Geelong and district towns’</w:t>
      </w:r>
      <w:r>
        <w:rPr>
          <w:rFonts w:ascii="Arial" w:hAnsi="Arial" w:cs="Arial"/>
          <w:snapToGrid w:val="0"/>
          <w:sz w:val="22"/>
          <w:szCs w:val="22"/>
          <w:lang w:eastAsia="en-US"/>
        </w:rPr>
        <w:t xml:space="preserve">.  </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The Amendment is consistent with the objectives and strategies of the G21 Regional Growth Plan.  </w:t>
      </w:r>
    </w:p>
    <w:p w:rsidR="006C36F6" w:rsidRDefault="006C36F6" w:rsidP="006C36F6">
      <w:pPr>
        <w:pStyle w:val="StrategicAssessmentText"/>
        <w:ind w:left="0"/>
        <w:jc w:val="left"/>
        <w:rPr>
          <w:rFonts w:ascii="Arial" w:hAnsi="Arial" w:cs="Arial"/>
          <w:b/>
          <w:snapToGrid w:val="0"/>
          <w:sz w:val="22"/>
          <w:szCs w:val="22"/>
          <w:lang w:eastAsia="en-US"/>
        </w:rPr>
      </w:pPr>
      <w:r w:rsidRPr="00A05E72">
        <w:rPr>
          <w:rFonts w:ascii="Arial" w:hAnsi="Arial" w:cs="Arial"/>
          <w:b/>
          <w:snapToGrid w:val="0"/>
          <w:sz w:val="22"/>
          <w:szCs w:val="22"/>
          <w:lang w:eastAsia="en-US"/>
        </w:rPr>
        <w:t>Clause 13</w:t>
      </w:r>
      <w:r w:rsidR="001B23E6">
        <w:rPr>
          <w:rFonts w:ascii="Arial" w:hAnsi="Arial" w:cs="Arial"/>
          <w:b/>
          <w:snapToGrid w:val="0"/>
          <w:sz w:val="22"/>
          <w:szCs w:val="22"/>
          <w:lang w:eastAsia="en-US"/>
        </w:rPr>
        <w:t xml:space="preserve"> </w:t>
      </w:r>
      <w:r w:rsidRPr="00A05E72">
        <w:rPr>
          <w:rFonts w:ascii="Arial" w:hAnsi="Arial" w:cs="Arial"/>
          <w:b/>
          <w:snapToGrid w:val="0"/>
          <w:sz w:val="22"/>
          <w:szCs w:val="22"/>
          <w:lang w:eastAsia="en-US"/>
        </w:rPr>
        <w:t xml:space="preserve"> Environmental Risks</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This clause states that planning </w:t>
      </w:r>
      <w:r w:rsidRPr="00E0071D">
        <w:rPr>
          <w:rFonts w:ascii="Arial" w:hAnsi="Arial" w:cs="Arial"/>
          <w:i/>
          <w:snapToGrid w:val="0"/>
          <w:sz w:val="22"/>
          <w:szCs w:val="22"/>
          <w:lang w:eastAsia="en-US"/>
        </w:rPr>
        <w:t>‘should adopt a best practice environmental management and risk management approach which aims to avoid or minimise environmental degradation and hazards’</w:t>
      </w:r>
      <w:r>
        <w:rPr>
          <w:rFonts w:ascii="Arial" w:hAnsi="Arial" w:cs="Arial"/>
          <w:snapToGrid w:val="0"/>
          <w:sz w:val="22"/>
          <w:szCs w:val="22"/>
          <w:lang w:eastAsia="en-US"/>
        </w:rPr>
        <w:t xml:space="preserve">.  This clause also states that planning </w:t>
      </w:r>
      <w:r w:rsidRPr="00E0071D">
        <w:rPr>
          <w:rFonts w:ascii="Arial" w:hAnsi="Arial" w:cs="Arial"/>
          <w:i/>
          <w:snapToGrid w:val="0"/>
          <w:sz w:val="22"/>
          <w:szCs w:val="22"/>
          <w:lang w:eastAsia="en-US"/>
        </w:rPr>
        <w:t>‘should identify and manage the potential for the environment, and environmental changes, to impact upon the economic, environmental or social well-being of society’</w:t>
      </w:r>
      <w:r>
        <w:rPr>
          <w:rFonts w:ascii="Arial" w:hAnsi="Arial" w:cs="Arial"/>
          <w:snapToGrid w:val="0"/>
          <w:sz w:val="22"/>
          <w:szCs w:val="22"/>
          <w:lang w:eastAsia="en-US"/>
        </w:rPr>
        <w:t xml:space="preserve">.   </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This Amendment demonstrates appropriate mitigation measures and responses to floodplain and drainage management by applying the Special Building Overlay (SBO).  </w:t>
      </w:r>
    </w:p>
    <w:p w:rsidR="006C36F6" w:rsidRPr="00A05E72" w:rsidRDefault="001B23E6" w:rsidP="006C36F6">
      <w:pPr>
        <w:pStyle w:val="StrategicAssessmentText"/>
        <w:ind w:left="0"/>
        <w:jc w:val="left"/>
        <w:rPr>
          <w:rFonts w:ascii="Arial" w:hAnsi="Arial" w:cs="Arial"/>
          <w:b/>
          <w:snapToGrid w:val="0"/>
          <w:sz w:val="22"/>
          <w:szCs w:val="22"/>
          <w:lang w:eastAsia="en-US"/>
        </w:rPr>
      </w:pPr>
      <w:r>
        <w:rPr>
          <w:rFonts w:ascii="Arial" w:hAnsi="Arial" w:cs="Arial"/>
          <w:b/>
          <w:snapToGrid w:val="0"/>
          <w:sz w:val="22"/>
          <w:szCs w:val="22"/>
          <w:lang w:eastAsia="en-US"/>
        </w:rPr>
        <w:t xml:space="preserve">Clause 14 </w:t>
      </w:r>
      <w:r w:rsidR="006C36F6" w:rsidRPr="00A05E72">
        <w:rPr>
          <w:rFonts w:ascii="Arial" w:hAnsi="Arial" w:cs="Arial"/>
          <w:b/>
          <w:snapToGrid w:val="0"/>
          <w:sz w:val="22"/>
          <w:szCs w:val="22"/>
          <w:lang w:eastAsia="en-US"/>
        </w:rPr>
        <w:t xml:space="preserve"> Natural Resource Management</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Clause 14.02 aims </w:t>
      </w:r>
      <w:r w:rsidR="001B23E6">
        <w:rPr>
          <w:rFonts w:ascii="Arial" w:hAnsi="Arial" w:cs="Arial"/>
          <w:i/>
          <w:snapToGrid w:val="0"/>
          <w:sz w:val="22"/>
          <w:szCs w:val="22"/>
          <w:lang w:eastAsia="en-US"/>
        </w:rPr>
        <w:t xml:space="preserve">‘to assist the protection </w:t>
      </w:r>
      <w:r w:rsidRPr="004420EC">
        <w:rPr>
          <w:rFonts w:ascii="Arial" w:hAnsi="Arial" w:cs="Arial"/>
          <w:i/>
          <w:snapToGrid w:val="0"/>
          <w:sz w:val="22"/>
          <w:szCs w:val="22"/>
          <w:lang w:eastAsia="en-US"/>
        </w:rPr>
        <w:t>and, where possible, restoration of catchments, waterways, water bodies, groundwater, and the marine environment’.</w:t>
      </w:r>
      <w:r>
        <w:rPr>
          <w:rFonts w:ascii="Arial" w:hAnsi="Arial" w:cs="Arial"/>
          <w:snapToGrid w:val="0"/>
          <w:sz w:val="22"/>
          <w:szCs w:val="22"/>
          <w:lang w:eastAsia="en-US"/>
        </w:rPr>
        <w:t xml:space="preserve">  This clause has an overarching strategy to </w:t>
      </w:r>
      <w:r w:rsidRPr="004420EC">
        <w:rPr>
          <w:rFonts w:ascii="Arial" w:hAnsi="Arial" w:cs="Arial"/>
          <w:i/>
          <w:snapToGrid w:val="0"/>
          <w:sz w:val="22"/>
          <w:szCs w:val="22"/>
          <w:lang w:eastAsia="en-US"/>
        </w:rPr>
        <w:t>‘ensure land use and development proposals minimise nutrient contributions to waterways and water bodies and the potential for the development of algal blooms</w:t>
      </w:r>
      <w:r>
        <w:rPr>
          <w:rFonts w:ascii="Arial" w:hAnsi="Arial" w:cs="Arial"/>
          <w:i/>
          <w:snapToGrid w:val="0"/>
          <w:sz w:val="22"/>
          <w:szCs w:val="22"/>
          <w:lang w:eastAsia="en-US"/>
        </w:rPr>
        <w:t xml:space="preserve">’ </w:t>
      </w:r>
      <w:r w:rsidRPr="004420EC">
        <w:rPr>
          <w:rFonts w:ascii="Arial" w:hAnsi="Arial" w:cs="Arial"/>
          <w:snapToGrid w:val="0"/>
          <w:sz w:val="22"/>
          <w:szCs w:val="22"/>
          <w:lang w:eastAsia="en-US"/>
        </w:rPr>
        <w:t>and</w:t>
      </w:r>
      <w:r>
        <w:rPr>
          <w:rFonts w:ascii="Arial" w:hAnsi="Arial" w:cs="Arial"/>
          <w:i/>
          <w:snapToGrid w:val="0"/>
          <w:sz w:val="22"/>
          <w:szCs w:val="22"/>
          <w:lang w:eastAsia="en-US"/>
        </w:rPr>
        <w:t xml:space="preserve"> ‘ensure planning is coordinated with the activities of catchment management authorities’.  </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lastRenderedPageBreak/>
        <w:t xml:space="preserve">This Amendment has been designed cognisant of the flood conditions and surrounding natural waterway.  </w:t>
      </w:r>
    </w:p>
    <w:p w:rsidR="006C36F6" w:rsidRPr="00A05E72" w:rsidRDefault="001B23E6" w:rsidP="006C36F6">
      <w:pPr>
        <w:pStyle w:val="StrategicAssessmentText"/>
        <w:ind w:left="0"/>
        <w:jc w:val="left"/>
        <w:rPr>
          <w:rFonts w:ascii="Arial" w:hAnsi="Arial" w:cs="Arial"/>
          <w:b/>
          <w:snapToGrid w:val="0"/>
          <w:sz w:val="22"/>
          <w:szCs w:val="22"/>
          <w:lang w:eastAsia="en-US"/>
        </w:rPr>
      </w:pPr>
      <w:r>
        <w:rPr>
          <w:rFonts w:ascii="Arial" w:hAnsi="Arial" w:cs="Arial"/>
          <w:b/>
          <w:snapToGrid w:val="0"/>
          <w:sz w:val="22"/>
          <w:szCs w:val="22"/>
          <w:lang w:eastAsia="en-US"/>
        </w:rPr>
        <w:t xml:space="preserve">Clause 15 </w:t>
      </w:r>
      <w:r w:rsidR="006C36F6" w:rsidRPr="00A05E72">
        <w:rPr>
          <w:rFonts w:ascii="Arial" w:hAnsi="Arial" w:cs="Arial"/>
          <w:b/>
          <w:snapToGrid w:val="0"/>
          <w:sz w:val="22"/>
          <w:szCs w:val="22"/>
          <w:lang w:eastAsia="en-US"/>
        </w:rPr>
        <w:t xml:space="preserve"> Built Environment and Heritage </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This clause states that planning </w:t>
      </w:r>
      <w:r w:rsidRPr="00D60CC4">
        <w:rPr>
          <w:rFonts w:ascii="Arial" w:hAnsi="Arial" w:cs="Arial"/>
          <w:i/>
          <w:snapToGrid w:val="0"/>
          <w:sz w:val="22"/>
          <w:szCs w:val="22"/>
          <w:lang w:eastAsia="en-US"/>
        </w:rPr>
        <w:t>‘should ensure all new land use and development appropriately responds to its landscape, valued built form and cultural context, and protect places and sites with significant heritage, architectural, aesthetic, scientific and cultural value’</w:t>
      </w:r>
      <w:r>
        <w:rPr>
          <w:rFonts w:ascii="Arial" w:hAnsi="Arial" w:cs="Arial"/>
          <w:snapToGrid w:val="0"/>
          <w:sz w:val="22"/>
          <w:szCs w:val="22"/>
          <w:lang w:eastAsia="en-US"/>
        </w:rPr>
        <w:t xml:space="preserve">.  </w:t>
      </w:r>
    </w:p>
    <w:p w:rsidR="006C36F6" w:rsidRDefault="006C36F6" w:rsidP="006C36F6">
      <w:pPr>
        <w:pStyle w:val="StrategicAssessmentText"/>
        <w:ind w:left="0"/>
        <w:jc w:val="left"/>
        <w:rPr>
          <w:rFonts w:ascii="Arial" w:hAnsi="Arial" w:cs="Arial"/>
          <w:snapToGrid w:val="0"/>
          <w:sz w:val="22"/>
          <w:szCs w:val="22"/>
          <w:lang w:eastAsia="en-US"/>
        </w:rPr>
      </w:pPr>
      <w:r w:rsidRPr="00683142">
        <w:rPr>
          <w:rFonts w:ascii="Arial" w:hAnsi="Arial" w:cs="Arial"/>
          <w:snapToGrid w:val="0"/>
          <w:sz w:val="22"/>
          <w:szCs w:val="22"/>
          <w:lang w:eastAsia="en-US"/>
        </w:rPr>
        <w:t xml:space="preserve">A comprehensive Cultural Heritage Management Plan (CHMP) has been prepared which provides an agreed approach to developing the site in a manner that is acceptable to the </w:t>
      </w:r>
      <w:proofErr w:type="spellStart"/>
      <w:r w:rsidRPr="00683142">
        <w:rPr>
          <w:rFonts w:ascii="Arial" w:hAnsi="Arial" w:cs="Arial"/>
          <w:snapToGrid w:val="0"/>
          <w:sz w:val="22"/>
          <w:szCs w:val="22"/>
          <w:lang w:eastAsia="en-US"/>
        </w:rPr>
        <w:t>Wathaurung</w:t>
      </w:r>
      <w:proofErr w:type="spellEnd"/>
      <w:r w:rsidRPr="00683142">
        <w:rPr>
          <w:rFonts w:ascii="Arial" w:hAnsi="Arial" w:cs="Arial"/>
          <w:snapToGrid w:val="0"/>
          <w:sz w:val="22"/>
          <w:szCs w:val="22"/>
          <w:lang w:eastAsia="en-US"/>
        </w:rPr>
        <w:t xml:space="preserve"> Aboriginal Corporation including management measures and contingency plans.</w:t>
      </w:r>
      <w:r>
        <w:rPr>
          <w:rFonts w:ascii="Arial" w:hAnsi="Arial" w:cs="Arial"/>
          <w:snapToGrid w:val="0"/>
          <w:sz w:val="22"/>
          <w:szCs w:val="22"/>
          <w:lang w:eastAsia="en-US"/>
        </w:rPr>
        <w:t xml:space="preserve">  </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This clause also relates to sub clause 15.01-5 which has an objective </w:t>
      </w:r>
      <w:r w:rsidRPr="00D60CC4">
        <w:rPr>
          <w:rFonts w:ascii="Arial" w:hAnsi="Arial" w:cs="Arial"/>
          <w:i/>
          <w:snapToGrid w:val="0"/>
          <w:sz w:val="22"/>
          <w:szCs w:val="22"/>
          <w:lang w:eastAsia="en-US"/>
        </w:rPr>
        <w:t>‘to recognise and protect cultural identity, neighbourhood character and sense of place’</w:t>
      </w:r>
      <w:r>
        <w:rPr>
          <w:rFonts w:ascii="Arial" w:hAnsi="Arial" w:cs="Arial"/>
          <w:snapToGrid w:val="0"/>
          <w:sz w:val="22"/>
          <w:szCs w:val="22"/>
          <w:lang w:eastAsia="en-US"/>
        </w:rPr>
        <w:t xml:space="preserve">.  </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This Amendment respects its cultural context and also existing character of the area.  </w:t>
      </w:r>
    </w:p>
    <w:p w:rsidR="006C36F6" w:rsidRPr="00D23E2F" w:rsidRDefault="001B23E6" w:rsidP="006C36F6">
      <w:pPr>
        <w:pStyle w:val="StrategicAssessmentText"/>
        <w:ind w:left="0"/>
        <w:jc w:val="left"/>
        <w:rPr>
          <w:rFonts w:ascii="Arial" w:hAnsi="Arial" w:cs="Arial"/>
          <w:b/>
          <w:i/>
          <w:snapToGrid w:val="0"/>
          <w:sz w:val="22"/>
          <w:szCs w:val="22"/>
          <w:lang w:eastAsia="en-US"/>
        </w:rPr>
      </w:pPr>
      <w:r>
        <w:rPr>
          <w:rFonts w:ascii="Arial" w:hAnsi="Arial" w:cs="Arial"/>
          <w:b/>
          <w:snapToGrid w:val="0"/>
          <w:sz w:val="22"/>
          <w:szCs w:val="22"/>
          <w:lang w:eastAsia="en-US"/>
        </w:rPr>
        <w:t xml:space="preserve">Clause 16  </w:t>
      </w:r>
      <w:r w:rsidR="006C36F6" w:rsidRPr="00A05E72">
        <w:rPr>
          <w:rFonts w:ascii="Arial" w:hAnsi="Arial" w:cs="Arial"/>
          <w:b/>
          <w:snapToGrid w:val="0"/>
          <w:sz w:val="22"/>
          <w:szCs w:val="22"/>
          <w:lang w:eastAsia="en-US"/>
        </w:rPr>
        <w:t>Housing</w:t>
      </w:r>
    </w:p>
    <w:p w:rsidR="006C36F6" w:rsidRDefault="006C36F6" w:rsidP="006C36F6">
      <w:pPr>
        <w:pStyle w:val="StrategicAssessmentText"/>
        <w:ind w:left="0"/>
        <w:jc w:val="left"/>
        <w:rPr>
          <w:rFonts w:ascii="Arial" w:hAnsi="Arial" w:cs="Arial"/>
          <w:snapToGrid w:val="0"/>
          <w:sz w:val="22"/>
          <w:szCs w:val="22"/>
          <w:lang w:eastAsia="en-US"/>
        </w:rPr>
      </w:pPr>
      <w:r w:rsidRPr="00D23E2F">
        <w:rPr>
          <w:rFonts w:ascii="Arial" w:hAnsi="Arial" w:cs="Arial"/>
          <w:i/>
          <w:snapToGrid w:val="0"/>
          <w:sz w:val="22"/>
          <w:szCs w:val="22"/>
          <w:lang w:eastAsia="en-US"/>
        </w:rPr>
        <w:t>This clause states that planning ‘should provide for housing diversity, and ensure the efficient provision of supporting infrastructure’</w:t>
      </w:r>
      <w:r>
        <w:rPr>
          <w:rFonts w:ascii="Arial" w:hAnsi="Arial" w:cs="Arial"/>
          <w:snapToGrid w:val="0"/>
          <w:sz w:val="22"/>
          <w:szCs w:val="22"/>
          <w:lang w:eastAsia="en-US"/>
        </w:rPr>
        <w:t xml:space="preserve"> and </w:t>
      </w:r>
      <w:r w:rsidRPr="00D23E2F">
        <w:rPr>
          <w:rFonts w:ascii="Arial" w:hAnsi="Arial" w:cs="Arial"/>
          <w:i/>
          <w:snapToGrid w:val="0"/>
          <w:sz w:val="22"/>
          <w:szCs w:val="22"/>
          <w:lang w:eastAsia="en-US"/>
        </w:rPr>
        <w:t>‘planning for housing should include providing land for affordable housing’</w:t>
      </w:r>
      <w:r>
        <w:rPr>
          <w:rFonts w:ascii="Arial" w:hAnsi="Arial" w:cs="Arial"/>
          <w:snapToGrid w:val="0"/>
          <w:sz w:val="22"/>
          <w:szCs w:val="22"/>
          <w:lang w:eastAsia="en-US"/>
        </w:rPr>
        <w:t xml:space="preserve">.  This clause also supports sub-clause 16.01-1 with an objective to </w:t>
      </w:r>
      <w:r w:rsidRPr="00A53D70">
        <w:rPr>
          <w:rFonts w:ascii="Arial" w:hAnsi="Arial" w:cs="Arial"/>
          <w:i/>
          <w:snapToGrid w:val="0"/>
          <w:sz w:val="22"/>
          <w:szCs w:val="22"/>
          <w:lang w:eastAsia="en-US"/>
        </w:rPr>
        <w:t>‘promote a housing market that meets the community needs’</w:t>
      </w:r>
      <w:r>
        <w:rPr>
          <w:rFonts w:ascii="Arial" w:hAnsi="Arial" w:cs="Arial"/>
          <w:snapToGrid w:val="0"/>
          <w:sz w:val="22"/>
          <w:szCs w:val="22"/>
          <w:lang w:eastAsia="en-US"/>
        </w:rPr>
        <w:t xml:space="preserve">.  </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This Amendment will meet the community needs by providing infill housing lots and promote affordable housing options.  </w:t>
      </w:r>
    </w:p>
    <w:p w:rsidR="006C36F6" w:rsidRPr="00420225" w:rsidRDefault="00835BDA" w:rsidP="006C36F6">
      <w:pPr>
        <w:pStyle w:val="StrategicAssessmentText"/>
        <w:ind w:left="0"/>
        <w:jc w:val="left"/>
        <w:rPr>
          <w:rFonts w:ascii="Arial" w:hAnsi="Arial" w:cs="Arial"/>
          <w:b/>
          <w:snapToGrid w:val="0"/>
          <w:sz w:val="22"/>
          <w:szCs w:val="22"/>
          <w:lang w:eastAsia="en-US"/>
        </w:rPr>
      </w:pPr>
      <w:r>
        <w:rPr>
          <w:rFonts w:ascii="Arial" w:hAnsi="Arial" w:cs="Arial"/>
          <w:b/>
          <w:snapToGrid w:val="0"/>
          <w:sz w:val="22"/>
          <w:szCs w:val="22"/>
          <w:lang w:eastAsia="en-US"/>
        </w:rPr>
        <w:t xml:space="preserve">Clause </w:t>
      </w:r>
      <w:r w:rsidR="001B23E6">
        <w:rPr>
          <w:rFonts w:ascii="Arial" w:hAnsi="Arial" w:cs="Arial"/>
          <w:b/>
          <w:snapToGrid w:val="0"/>
          <w:sz w:val="22"/>
          <w:szCs w:val="22"/>
          <w:lang w:eastAsia="en-US"/>
        </w:rPr>
        <w:t xml:space="preserve">19 </w:t>
      </w:r>
      <w:r w:rsidR="006C36F6" w:rsidRPr="00420225">
        <w:rPr>
          <w:rFonts w:ascii="Arial" w:hAnsi="Arial" w:cs="Arial"/>
          <w:b/>
          <w:snapToGrid w:val="0"/>
          <w:sz w:val="22"/>
          <w:szCs w:val="22"/>
          <w:lang w:eastAsia="en-US"/>
        </w:rPr>
        <w:t xml:space="preserve"> Infrastructure</w:t>
      </w:r>
    </w:p>
    <w:p w:rsidR="006C36F6" w:rsidRDefault="006C36F6" w:rsidP="006C36F6">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The relevant sections of this clause relate to </w:t>
      </w:r>
      <w:r w:rsidR="00520DB9">
        <w:rPr>
          <w:rFonts w:ascii="Arial" w:hAnsi="Arial" w:cs="Arial"/>
          <w:snapToGrid w:val="0"/>
          <w:sz w:val="22"/>
          <w:szCs w:val="22"/>
          <w:lang w:eastAsia="en-US"/>
        </w:rPr>
        <w:t xml:space="preserve">the </w:t>
      </w:r>
      <w:r>
        <w:rPr>
          <w:rFonts w:ascii="Arial" w:hAnsi="Arial" w:cs="Arial"/>
          <w:snapToGrid w:val="0"/>
          <w:sz w:val="22"/>
          <w:szCs w:val="22"/>
          <w:lang w:eastAsia="en-US"/>
        </w:rPr>
        <w:t xml:space="preserve">objective in Clause 19.03-2 </w:t>
      </w:r>
      <w:r w:rsidRPr="00420225">
        <w:rPr>
          <w:rFonts w:ascii="Arial" w:hAnsi="Arial" w:cs="Arial"/>
          <w:i/>
          <w:snapToGrid w:val="0"/>
          <w:sz w:val="22"/>
          <w:szCs w:val="22"/>
          <w:lang w:eastAsia="en-US"/>
        </w:rPr>
        <w:t>“to plan for the provision of water supply, sewerage an</w:t>
      </w:r>
      <w:r w:rsidR="006838DB">
        <w:rPr>
          <w:rFonts w:ascii="Arial" w:hAnsi="Arial" w:cs="Arial"/>
          <w:i/>
          <w:snapToGrid w:val="0"/>
          <w:sz w:val="22"/>
          <w:szCs w:val="22"/>
          <w:lang w:eastAsia="en-US"/>
        </w:rPr>
        <w:t>d</w:t>
      </w:r>
      <w:r w:rsidRPr="00420225">
        <w:rPr>
          <w:rFonts w:ascii="Arial" w:hAnsi="Arial" w:cs="Arial"/>
          <w:i/>
          <w:snapToGrid w:val="0"/>
          <w:sz w:val="22"/>
          <w:szCs w:val="22"/>
          <w:lang w:eastAsia="en-US"/>
        </w:rPr>
        <w:t xml:space="preserve"> drainage services that efficiently and effectively meet State and community needs and protect the environment”.</w:t>
      </w:r>
      <w:r>
        <w:rPr>
          <w:rFonts w:ascii="Arial" w:hAnsi="Arial" w:cs="Arial"/>
          <w:snapToGrid w:val="0"/>
          <w:sz w:val="22"/>
          <w:szCs w:val="22"/>
          <w:lang w:eastAsia="en-US"/>
        </w:rPr>
        <w:t xml:space="preserve">   This Amendment will provide satisfactory infrastructure requirements to meet </w:t>
      </w:r>
      <w:r w:rsidR="00520DB9">
        <w:rPr>
          <w:rFonts w:ascii="Arial" w:hAnsi="Arial" w:cs="Arial"/>
          <w:snapToGrid w:val="0"/>
          <w:sz w:val="22"/>
          <w:szCs w:val="22"/>
          <w:lang w:eastAsia="en-US"/>
        </w:rPr>
        <w:t xml:space="preserve">this </w:t>
      </w:r>
      <w:r>
        <w:rPr>
          <w:rFonts w:ascii="Arial" w:hAnsi="Arial" w:cs="Arial"/>
          <w:snapToGrid w:val="0"/>
          <w:sz w:val="22"/>
          <w:szCs w:val="22"/>
          <w:lang w:eastAsia="en-US"/>
        </w:rPr>
        <w:t xml:space="preserve">objective. </w:t>
      </w:r>
    </w:p>
    <w:p w:rsidR="00F21E47" w:rsidRPr="00F21E47" w:rsidRDefault="00C12A91"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support or implement the Local Planning Policy Framework, and specifically the Municipal Strategic Statement?</w:t>
      </w:r>
    </w:p>
    <w:p w:rsidR="00520DB9" w:rsidRDefault="00520DB9" w:rsidP="00520DB9">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The Amendment is consistent with the Local Planning Policy Framework and supports its implementation by: </w:t>
      </w:r>
    </w:p>
    <w:p w:rsidR="00520DB9" w:rsidRPr="00520DB9" w:rsidRDefault="00520DB9" w:rsidP="00520DB9">
      <w:pPr>
        <w:pStyle w:val="StrategicAssessmentText"/>
        <w:ind w:left="0"/>
        <w:jc w:val="left"/>
        <w:rPr>
          <w:rFonts w:ascii="Arial" w:hAnsi="Arial" w:cs="Arial"/>
          <w:snapToGrid w:val="0"/>
          <w:sz w:val="22"/>
          <w:szCs w:val="22"/>
          <w:lang w:eastAsia="en-US"/>
        </w:rPr>
      </w:pPr>
      <w:r w:rsidRPr="00520DB9">
        <w:rPr>
          <w:rFonts w:ascii="Arial" w:hAnsi="Arial" w:cs="Arial"/>
          <w:snapToGrid w:val="0"/>
          <w:sz w:val="22"/>
          <w:szCs w:val="22"/>
          <w:lang w:eastAsia="en-US"/>
        </w:rPr>
        <w:t xml:space="preserve">Clause 21.02- City of Greater Geelong Sustainable Growth Framework </w:t>
      </w:r>
    </w:p>
    <w:p w:rsidR="00520DB9" w:rsidRDefault="00520DB9" w:rsidP="00520DB9">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This clause outlines a number of principles to ensure development is sustainable and meets the needs of the present community without compromising the ability of future generations to meet their own needs.  </w:t>
      </w:r>
    </w:p>
    <w:p w:rsidR="00520DB9" w:rsidRDefault="00520DB9" w:rsidP="00520DB9">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Clause 21.06- Settlement and Housing</w:t>
      </w:r>
    </w:p>
    <w:p w:rsidR="00520DB9" w:rsidRDefault="00520DB9" w:rsidP="00520DB9">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Clause 21.06 discusses the importance of urban consolidation and providing settlement in areas that are well serviced and that have the capacity to accommodate sustainable development. The rezoning of the land from Urban Floodway Zone</w:t>
      </w:r>
      <w:r w:rsidR="000D5064">
        <w:rPr>
          <w:rFonts w:ascii="Arial" w:hAnsi="Arial" w:cs="Arial"/>
          <w:snapToGrid w:val="0"/>
          <w:sz w:val="22"/>
          <w:szCs w:val="22"/>
          <w:lang w:eastAsia="en-US"/>
        </w:rPr>
        <w:t xml:space="preserve">s (UFZ) to General Residential Zone </w:t>
      </w:r>
      <w:r>
        <w:rPr>
          <w:rFonts w:ascii="Arial" w:hAnsi="Arial" w:cs="Arial"/>
          <w:snapToGrid w:val="0"/>
          <w:sz w:val="22"/>
          <w:szCs w:val="22"/>
          <w:lang w:eastAsia="en-US"/>
        </w:rPr>
        <w:t xml:space="preserve">Schedule 1 (GRZ1) will assist in meeting urban consolidation objectives.  Clause 21.06 also discusses the importance of development to respect neighbourhood character.  The amendment will support the existing character of the urban area and provide consistency of zoning in the area.  </w:t>
      </w:r>
    </w:p>
    <w:p w:rsidR="00520DB9" w:rsidRDefault="00520DB9" w:rsidP="00520DB9">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Clause 21.13 - Lara </w:t>
      </w:r>
    </w:p>
    <w:p w:rsidR="00520DB9" w:rsidRDefault="00520DB9" w:rsidP="00520DB9">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This clause outlines the importance of Lara to provide an adequate supply of residential land to meet the needs of the local and surrounding population.  The Lara Structure Plan supports the rezoning of this land for residential purposes.    </w:t>
      </w:r>
    </w:p>
    <w:p w:rsidR="00F21E47" w:rsidRPr="00F21E47" w:rsidRDefault="00182BB2" w:rsidP="008C2FC3">
      <w:pPr>
        <w:spacing w:before="120"/>
        <w:jc w:val="both"/>
        <w:rPr>
          <w:rFonts w:ascii="Arial" w:hAnsi="Arial" w:cs="Arial"/>
          <w:sz w:val="22"/>
          <w:szCs w:val="22"/>
        </w:rPr>
      </w:pPr>
    </w:p>
    <w:p w:rsidR="00F21E47" w:rsidRPr="00F21E47" w:rsidRDefault="00C12A91"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lastRenderedPageBreak/>
        <w:t>Does the amendment make proper use of the Victoria Planning Provisions?</w:t>
      </w:r>
    </w:p>
    <w:p w:rsidR="00520DB9" w:rsidRDefault="00520DB9" w:rsidP="00520DB9">
      <w:pPr>
        <w:pStyle w:val="StrategicAssessmentText"/>
        <w:ind w:left="0"/>
        <w:jc w:val="left"/>
        <w:rPr>
          <w:rFonts w:ascii="Arial" w:hAnsi="Arial" w:cs="Arial"/>
          <w:sz w:val="22"/>
          <w:szCs w:val="22"/>
        </w:rPr>
      </w:pPr>
      <w:r>
        <w:rPr>
          <w:rFonts w:ascii="Arial" w:hAnsi="Arial" w:cs="Arial"/>
          <w:sz w:val="22"/>
          <w:szCs w:val="22"/>
        </w:rPr>
        <w:t>The Amendment makes proper use of the Victoria Planning Provisions by using the most effective tools to achieve the strategic objective</w:t>
      </w:r>
      <w:r w:rsidR="000D5064">
        <w:rPr>
          <w:rFonts w:ascii="Arial" w:hAnsi="Arial" w:cs="Arial"/>
          <w:sz w:val="22"/>
          <w:szCs w:val="22"/>
        </w:rPr>
        <w:t>s</w:t>
      </w:r>
      <w:r>
        <w:rPr>
          <w:rFonts w:ascii="Arial" w:hAnsi="Arial" w:cs="Arial"/>
          <w:sz w:val="22"/>
          <w:szCs w:val="22"/>
        </w:rPr>
        <w:t xml:space="preserve">, namely the application of the General Residential Zone Schedule 1 and Special Building Overlay.  The amendment ensures the land is consistent with planning controls within the surrounding area. </w:t>
      </w:r>
    </w:p>
    <w:p w:rsidR="00F21E47" w:rsidRPr="00F21E47" w:rsidRDefault="00C12A91"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address the views of any relevant agency?</w:t>
      </w:r>
    </w:p>
    <w:p w:rsidR="00F21E47" w:rsidRPr="00F21E47" w:rsidRDefault="00520DB9" w:rsidP="00520DB9">
      <w:pPr>
        <w:pStyle w:val="StrategicAssessmentText"/>
        <w:ind w:left="0"/>
        <w:jc w:val="left"/>
        <w:rPr>
          <w:rFonts w:ascii="Arial" w:hAnsi="Arial" w:cs="Arial"/>
          <w:sz w:val="22"/>
          <w:szCs w:val="22"/>
        </w:rPr>
      </w:pPr>
      <w:r>
        <w:rPr>
          <w:rFonts w:ascii="Arial" w:hAnsi="Arial" w:cs="Arial"/>
          <w:sz w:val="22"/>
          <w:szCs w:val="22"/>
        </w:rPr>
        <w:t xml:space="preserve">All relevant agencies have been consulted in the preparation of the Amendment and conditions have been included on the permit as requested by the agencies.   </w:t>
      </w:r>
    </w:p>
    <w:p w:rsidR="00F21E47" w:rsidRPr="00F21E47" w:rsidRDefault="00C12A91" w:rsidP="008C2FC3">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Does the amendment address relevant requirements of the Transport Integration Act 2010?</w:t>
      </w:r>
    </w:p>
    <w:p w:rsidR="00F21E47" w:rsidRPr="00F21E47" w:rsidRDefault="00520DB9" w:rsidP="008C2FC3">
      <w:pPr>
        <w:spacing w:before="120"/>
        <w:jc w:val="both"/>
        <w:rPr>
          <w:rFonts w:ascii="Arial" w:hAnsi="Arial" w:cs="Arial"/>
          <w:sz w:val="22"/>
          <w:szCs w:val="22"/>
        </w:rPr>
      </w:pPr>
      <w:r>
        <w:rPr>
          <w:rFonts w:ascii="Arial" w:hAnsi="Arial" w:cs="Arial"/>
          <w:sz w:val="22"/>
          <w:szCs w:val="22"/>
        </w:rPr>
        <w:t xml:space="preserve">No requirements of the Transport Integration Act are relevant to this amendment.  </w:t>
      </w:r>
    </w:p>
    <w:p w:rsidR="00F21E47" w:rsidRPr="00F21E47" w:rsidRDefault="00C12A91" w:rsidP="00F21E47">
      <w:pPr>
        <w:spacing w:before="360"/>
        <w:jc w:val="both"/>
        <w:outlineLvl w:val="1"/>
        <w:rPr>
          <w:rFonts w:ascii="Arial" w:hAnsi="Arial" w:cs="Arial"/>
          <w:b/>
          <w:bCs/>
          <w:sz w:val="24"/>
        </w:rPr>
      </w:pPr>
      <w:r w:rsidRPr="00F21E47">
        <w:rPr>
          <w:rFonts w:ascii="Arial" w:hAnsi="Arial" w:cs="Arial"/>
          <w:b/>
          <w:bCs/>
          <w:sz w:val="24"/>
        </w:rPr>
        <w:t>Resource and administrative costs</w:t>
      </w:r>
    </w:p>
    <w:p w:rsidR="00F21E47" w:rsidRDefault="00C12A91" w:rsidP="00532C5A">
      <w:pPr>
        <w:pStyle w:val="Heading3"/>
        <w:keepNext w:val="0"/>
        <w:keepLines w:val="0"/>
        <w:numPr>
          <w:ilvl w:val="0"/>
          <w:numId w:val="2"/>
        </w:numPr>
        <w:tabs>
          <w:tab w:val="clear" w:pos="360"/>
          <w:tab w:val="num" w:pos="284"/>
        </w:tabs>
        <w:spacing w:line="240" w:lineRule="auto"/>
        <w:ind w:left="284" w:hanging="284"/>
        <w:jc w:val="both"/>
        <w:rPr>
          <w:rFonts w:ascii="Arial" w:hAnsi="Arial" w:cs="Arial"/>
          <w:b/>
          <w:smallCaps w:val="0"/>
          <w:szCs w:val="24"/>
        </w:rPr>
      </w:pPr>
      <w:r w:rsidRPr="00510A59">
        <w:rPr>
          <w:rFonts w:ascii="Arial" w:hAnsi="Arial" w:cs="Arial"/>
          <w:b/>
          <w:smallCaps w:val="0"/>
          <w:szCs w:val="24"/>
        </w:rPr>
        <w:t>What impact will the new planning provisions have on the resource and administrative costs of the responsible authority?</w:t>
      </w:r>
    </w:p>
    <w:p w:rsidR="000E3D2D" w:rsidRPr="00520DB9" w:rsidRDefault="00520DB9" w:rsidP="00520DB9">
      <w:pPr>
        <w:pStyle w:val="StrategicAssessmentText"/>
        <w:ind w:left="0"/>
        <w:jc w:val="left"/>
        <w:rPr>
          <w:rFonts w:ascii="Arial" w:hAnsi="Arial" w:cs="Arial"/>
          <w:sz w:val="22"/>
          <w:szCs w:val="22"/>
        </w:rPr>
      </w:pPr>
      <w:r w:rsidRPr="00520DB9">
        <w:rPr>
          <w:rFonts w:ascii="Arial" w:hAnsi="Arial" w:cs="Arial"/>
          <w:sz w:val="22"/>
          <w:szCs w:val="22"/>
        </w:rPr>
        <w:t>The Amend</w:t>
      </w:r>
      <w:r>
        <w:rPr>
          <w:rFonts w:ascii="Arial" w:hAnsi="Arial" w:cs="Arial"/>
          <w:sz w:val="22"/>
          <w:szCs w:val="22"/>
        </w:rPr>
        <w:t>m</w:t>
      </w:r>
      <w:r w:rsidRPr="00520DB9">
        <w:rPr>
          <w:rFonts w:ascii="Arial" w:hAnsi="Arial" w:cs="Arial"/>
          <w:sz w:val="22"/>
          <w:szCs w:val="22"/>
        </w:rPr>
        <w:t xml:space="preserve">ent </w:t>
      </w:r>
      <w:r>
        <w:rPr>
          <w:rFonts w:ascii="Arial" w:hAnsi="Arial" w:cs="Arial"/>
          <w:sz w:val="22"/>
          <w:szCs w:val="22"/>
        </w:rPr>
        <w:t xml:space="preserve">will have no impact on the resources and administrative costs of the responsibility authority. </w:t>
      </w:r>
    </w:p>
    <w:p w:rsidR="008C2FC3" w:rsidRPr="00F21E47" w:rsidRDefault="00C12A91" w:rsidP="008C2FC3">
      <w:pPr>
        <w:spacing w:before="360"/>
        <w:jc w:val="both"/>
        <w:outlineLvl w:val="1"/>
        <w:rPr>
          <w:rFonts w:ascii="Arial" w:hAnsi="Arial" w:cs="Arial"/>
          <w:b/>
          <w:bCs/>
          <w:sz w:val="24"/>
        </w:rPr>
      </w:pPr>
      <w:r w:rsidRPr="00F21E47">
        <w:rPr>
          <w:rFonts w:ascii="Arial" w:hAnsi="Arial" w:cs="Arial"/>
          <w:b/>
          <w:bCs/>
          <w:sz w:val="24"/>
        </w:rPr>
        <w:t>Where you may inspect this Amendment</w:t>
      </w:r>
    </w:p>
    <w:p w:rsidR="008C2FC3" w:rsidRDefault="00C12A91" w:rsidP="008C2FC3">
      <w:pPr>
        <w:spacing w:before="120" w:after="120"/>
        <w:jc w:val="both"/>
        <w:rPr>
          <w:rFonts w:ascii="Arial" w:hAnsi="Arial" w:cs="Arial"/>
          <w:sz w:val="22"/>
          <w:szCs w:val="22"/>
        </w:rPr>
      </w:pPr>
      <w:r w:rsidRPr="00F21E47">
        <w:rPr>
          <w:rFonts w:ascii="Arial" w:hAnsi="Arial" w:cs="Arial"/>
          <w:sz w:val="22"/>
          <w:szCs w:val="22"/>
        </w:rPr>
        <w:t>The amendment is available for public inspection, free of charge, during office hours at the following places: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4"/>
      </w:tblGrid>
      <w:tr w:rsidR="00AA4223" w:rsidTr="00761124">
        <w:tc>
          <w:tcPr>
            <w:tcW w:w="9134" w:type="dxa"/>
          </w:tcPr>
          <w:p w:rsidR="007F6B4C" w:rsidRPr="00761124" w:rsidRDefault="00C12A91" w:rsidP="00761124">
            <w:pPr>
              <w:tabs>
                <w:tab w:val="left" w:pos="742"/>
              </w:tabs>
              <w:spacing w:before="120" w:after="120"/>
              <w:rPr>
                <w:rFonts w:ascii="Arial" w:hAnsi="Arial" w:cs="Arial"/>
                <w:b/>
                <w:sz w:val="22"/>
                <w:szCs w:val="22"/>
              </w:rPr>
            </w:pPr>
            <w:r w:rsidRPr="00761124">
              <w:rPr>
                <w:rFonts w:ascii="Arial" w:hAnsi="Arial" w:cs="Arial"/>
                <w:b/>
                <w:sz w:val="22"/>
                <w:szCs w:val="22"/>
              </w:rPr>
              <w:t>Greater Geelong City Council</w:t>
            </w:r>
            <w:r w:rsidRPr="00761124">
              <w:rPr>
                <w:rFonts w:ascii="Arial" w:hAnsi="Arial" w:cs="Arial"/>
                <w:sz w:val="22"/>
                <w:szCs w:val="22"/>
              </w:rPr>
              <w:t xml:space="preserve">, Customer Service Centre, Ground Floor, 100 Brougham Street. GEELONG – 8.00am to 5.00pm weekdays </w:t>
            </w:r>
          </w:p>
        </w:tc>
      </w:tr>
      <w:tr w:rsidR="00AA4223" w:rsidTr="00761124">
        <w:tc>
          <w:tcPr>
            <w:tcW w:w="9134" w:type="dxa"/>
          </w:tcPr>
          <w:p w:rsidR="007F6B4C" w:rsidRPr="00761124" w:rsidRDefault="00C12A91" w:rsidP="00761124">
            <w:pPr>
              <w:tabs>
                <w:tab w:val="left" w:pos="742"/>
              </w:tabs>
              <w:spacing w:before="120" w:after="120"/>
              <w:rPr>
                <w:rFonts w:ascii="Arial" w:hAnsi="Arial" w:cs="Arial"/>
                <w:b/>
                <w:sz w:val="22"/>
                <w:szCs w:val="22"/>
              </w:rPr>
            </w:pPr>
            <w:r w:rsidRPr="00761124">
              <w:rPr>
                <w:rFonts w:ascii="Arial" w:hAnsi="Arial" w:cs="Arial"/>
                <w:b/>
                <w:sz w:val="22"/>
                <w:szCs w:val="22"/>
              </w:rPr>
              <w:t xml:space="preserve">‘Amendments’ </w:t>
            </w:r>
            <w:r w:rsidRPr="00761124">
              <w:rPr>
                <w:rFonts w:ascii="Arial" w:hAnsi="Arial" w:cs="Arial"/>
                <w:sz w:val="22"/>
                <w:szCs w:val="22"/>
              </w:rPr>
              <w:t xml:space="preserve">section of the City’s website </w:t>
            </w:r>
            <w:hyperlink r:id="rId8" w:history="1">
              <w:r w:rsidRPr="00761124">
                <w:rPr>
                  <w:rStyle w:val="Hyperlink"/>
                  <w:rFonts w:ascii="Arial" w:hAnsi="Arial" w:cs="Arial"/>
                  <w:sz w:val="22"/>
                  <w:szCs w:val="22"/>
                </w:rPr>
                <w:t>www.geelongaustralia.com.au/amendments/</w:t>
              </w:r>
            </w:hyperlink>
          </w:p>
        </w:tc>
      </w:tr>
    </w:tbl>
    <w:p w:rsidR="0061561F" w:rsidRDefault="00C12A91" w:rsidP="009E16AF">
      <w:pPr>
        <w:spacing w:before="120"/>
        <w:rPr>
          <w:rFonts w:ascii="Arial" w:hAnsi="Arial" w:cs="Arial"/>
          <w:sz w:val="22"/>
          <w:szCs w:val="22"/>
        </w:rPr>
      </w:pPr>
      <w:r>
        <w:rPr>
          <w:rFonts w:ascii="Arial" w:hAnsi="Arial" w:cs="Arial"/>
          <w:sz w:val="22"/>
          <w:szCs w:val="22"/>
        </w:rPr>
        <w:t xml:space="preserve">The Amendment can also be inspected free of charge at the Department of Environment, Land, Water and Planning website at </w:t>
      </w:r>
      <w:hyperlink r:id="rId9" w:history="1">
        <w:r w:rsidRPr="003F1E0E">
          <w:rPr>
            <w:rStyle w:val="Hyperlink"/>
            <w:rFonts w:ascii="Arial" w:hAnsi="Arial" w:cs="Arial"/>
            <w:sz w:val="22"/>
            <w:szCs w:val="22"/>
          </w:rPr>
          <w:t>www.delwp.vic.gov.au/public-inspection</w:t>
        </w:r>
      </w:hyperlink>
      <w:r>
        <w:rPr>
          <w:rFonts w:ascii="Arial" w:hAnsi="Arial" w:cs="Arial"/>
          <w:sz w:val="22"/>
          <w:szCs w:val="22"/>
        </w:rPr>
        <w:t xml:space="preserve"> .</w:t>
      </w:r>
    </w:p>
    <w:p w:rsidR="00E4211A" w:rsidRPr="007B4CF0" w:rsidRDefault="00C12A91" w:rsidP="00E4211A">
      <w:pPr>
        <w:spacing w:before="240" w:after="120"/>
        <w:rPr>
          <w:rFonts w:ascii="Arial" w:hAnsi="Arial" w:cs="Arial"/>
          <w:b/>
          <w:sz w:val="24"/>
          <w:szCs w:val="24"/>
        </w:rPr>
      </w:pPr>
      <w:r>
        <w:rPr>
          <w:rFonts w:ascii="Arial" w:hAnsi="Arial" w:cs="Arial"/>
          <w:b/>
          <w:sz w:val="24"/>
          <w:szCs w:val="24"/>
        </w:rPr>
        <w:t>Submissions</w:t>
      </w:r>
    </w:p>
    <w:p w:rsidR="000E3D2D" w:rsidRDefault="00C12A91" w:rsidP="000E3D2D">
      <w:pPr>
        <w:pStyle w:val="Bodytext1"/>
        <w:tabs>
          <w:tab w:val="left" w:pos="742"/>
        </w:tabs>
        <w:spacing w:after="0"/>
        <w:ind w:left="0"/>
        <w:rPr>
          <w:rFonts w:ascii="Arial" w:hAnsi="Arial" w:cs="Arial"/>
          <w:szCs w:val="22"/>
        </w:rPr>
      </w:pPr>
      <w:r>
        <w:rPr>
          <w:rFonts w:ascii="Arial" w:hAnsi="Arial" w:cs="Arial"/>
          <w:szCs w:val="22"/>
        </w:rPr>
        <w:t xml:space="preserve">Any person who may be affected by the Amendment may make a submission to the planning authority. </w:t>
      </w:r>
    </w:p>
    <w:p w:rsidR="00E4211A" w:rsidRPr="00C60089" w:rsidRDefault="00C12A91" w:rsidP="000E3D2D">
      <w:pPr>
        <w:pStyle w:val="Bodytext1"/>
        <w:tabs>
          <w:tab w:val="left" w:pos="742"/>
        </w:tabs>
        <w:spacing w:before="120" w:after="0"/>
        <w:ind w:left="0"/>
        <w:rPr>
          <w:rFonts w:ascii="Arial" w:hAnsi="Arial" w:cs="Arial"/>
          <w:szCs w:val="22"/>
        </w:rPr>
      </w:pPr>
      <w:r w:rsidRPr="00C60089">
        <w:rPr>
          <w:rFonts w:ascii="Arial" w:hAnsi="Arial" w:cs="Arial"/>
          <w:szCs w:val="22"/>
        </w:rPr>
        <w:t xml:space="preserve">Submissions about Amendment </w:t>
      </w:r>
      <w:r>
        <w:rPr>
          <w:rFonts w:ascii="Arial" w:hAnsi="Arial" w:cs="Arial"/>
          <w:szCs w:val="22"/>
        </w:rPr>
        <w:t>C</w:t>
      </w:r>
      <w:r w:rsidR="00520DB9">
        <w:rPr>
          <w:rFonts w:ascii="Arial" w:hAnsi="Arial" w:cs="Arial"/>
          <w:szCs w:val="22"/>
        </w:rPr>
        <w:t>356</w:t>
      </w:r>
      <w:r w:rsidR="00835BDA">
        <w:rPr>
          <w:rFonts w:ascii="Arial" w:hAnsi="Arial" w:cs="Arial"/>
          <w:szCs w:val="22"/>
        </w:rPr>
        <w:t xml:space="preserve"> </w:t>
      </w:r>
      <w:r w:rsidRPr="00C60089">
        <w:rPr>
          <w:rFonts w:ascii="Arial" w:hAnsi="Arial" w:cs="Arial"/>
          <w:szCs w:val="22"/>
        </w:rPr>
        <w:t xml:space="preserve">should be received by </w:t>
      </w:r>
      <w:r w:rsidR="00182BB2">
        <w:rPr>
          <w:rFonts w:ascii="Arial" w:hAnsi="Arial" w:cs="Arial"/>
          <w:b/>
          <w:szCs w:val="22"/>
        </w:rPr>
        <w:t>Monday 13</w:t>
      </w:r>
      <w:r w:rsidR="00182BB2" w:rsidRPr="00182BB2">
        <w:rPr>
          <w:rFonts w:ascii="Arial" w:hAnsi="Arial" w:cs="Arial"/>
          <w:b/>
          <w:szCs w:val="22"/>
          <w:vertAlign w:val="superscript"/>
        </w:rPr>
        <w:t>th</w:t>
      </w:r>
      <w:r w:rsidR="00182BB2">
        <w:rPr>
          <w:rFonts w:ascii="Arial" w:hAnsi="Arial" w:cs="Arial"/>
          <w:b/>
          <w:szCs w:val="22"/>
        </w:rPr>
        <w:t xml:space="preserve"> March 2017</w:t>
      </w:r>
      <w:r w:rsidRPr="00C60089">
        <w:rPr>
          <w:rFonts w:ascii="Arial" w:hAnsi="Arial" w:cs="Arial"/>
          <w:szCs w:val="22"/>
        </w:rPr>
        <w:t xml:space="preserve"> and addressed to:</w:t>
      </w:r>
    </w:p>
    <w:p w:rsidR="00E4211A" w:rsidRPr="00C60089" w:rsidRDefault="00C12A91" w:rsidP="000E3D2D">
      <w:pPr>
        <w:pStyle w:val="Bodytext1"/>
        <w:tabs>
          <w:tab w:val="left" w:pos="742"/>
        </w:tabs>
        <w:spacing w:before="120" w:after="0"/>
        <w:ind w:left="0"/>
        <w:rPr>
          <w:rFonts w:ascii="Arial" w:hAnsi="Arial" w:cs="Arial"/>
          <w:szCs w:val="22"/>
        </w:rPr>
      </w:pPr>
      <w:r w:rsidRPr="00C60089">
        <w:rPr>
          <w:rFonts w:ascii="Arial" w:hAnsi="Arial" w:cs="Arial"/>
          <w:szCs w:val="22"/>
        </w:rPr>
        <w:t>The Coordinator</w:t>
      </w:r>
    </w:p>
    <w:p w:rsidR="00E4211A" w:rsidRPr="00C60089" w:rsidRDefault="00C12A91" w:rsidP="00E4211A">
      <w:pPr>
        <w:pStyle w:val="Bodytext1"/>
        <w:tabs>
          <w:tab w:val="left" w:pos="742"/>
        </w:tabs>
        <w:spacing w:after="0"/>
        <w:ind w:left="0"/>
        <w:rPr>
          <w:rFonts w:ascii="Arial" w:hAnsi="Arial" w:cs="Arial"/>
          <w:szCs w:val="22"/>
        </w:rPr>
      </w:pPr>
      <w:r w:rsidRPr="00C60089">
        <w:rPr>
          <w:rFonts w:ascii="Arial" w:hAnsi="Arial" w:cs="Arial"/>
          <w:szCs w:val="22"/>
        </w:rPr>
        <w:t>Strategic Implementation</w:t>
      </w:r>
    </w:p>
    <w:p w:rsidR="00E4211A" w:rsidRPr="00C60089" w:rsidRDefault="00C12A91" w:rsidP="00E4211A">
      <w:pPr>
        <w:pStyle w:val="Bodytext1"/>
        <w:tabs>
          <w:tab w:val="left" w:pos="742"/>
        </w:tabs>
        <w:spacing w:after="0"/>
        <w:ind w:left="0"/>
        <w:rPr>
          <w:rFonts w:ascii="Arial" w:hAnsi="Arial" w:cs="Arial"/>
          <w:szCs w:val="22"/>
        </w:rPr>
      </w:pPr>
      <w:r w:rsidRPr="00C60089">
        <w:rPr>
          <w:rFonts w:ascii="Arial" w:hAnsi="Arial" w:cs="Arial"/>
          <w:szCs w:val="22"/>
        </w:rPr>
        <w:t xml:space="preserve">City of Greater </w:t>
      </w:r>
      <w:smartTag w:uri="urn:schemas-microsoft-com:office:smarttags" w:element="place">
        <w:smartTag w:uri="urn:schemas-microsoft-com:office:smarttags" w:element="City">
          <w:r w:rsidRPr="00C60089">
            <w:rPr>
              <w:rFonts w:ascii="Arial" w:hAnsi="Arial" w:cs="Arial"/>
              <w:szCs w:val="22"/>
            </w:rPr>
            <w:t>Geelong</w:t>
          </w:r>
        </w:smartTag>
      </w:smartTag>
    </w:p>
    <w:p w:rsidR="00E4211A" w:rsidRPr="00C60089" w:rsidRDefault="00C12A91" w:rsidP="00A433D7">
      <w:pPr>
        <w:pStyle w:val="Bodytext1"/>
        <w:numPr>
          <w:ilvl w:val="0"/>
          <w:numId w:val="7"/>
        </w:numPr>
        <w:tabs>
          <w:tab w:val="left" w:pos="426"/>
        </w:tabs>
        <w:spacing w:before="120" w:after="0"/>
        <w:ind w:left="426" w:hanging="426"/>
        <w:rPr>
          <w:rFonts w:ascii="Arial" w:hAnsi="Arial" w:cs="Arial"/>
          <w:szCs w:val="22"/>
        </w:rPr>
      </w:pPr>
      <w:r w:rsidRPr="00C60089">
        <w:rPr>
          <w:rFonts w:ascii="Arial" w:hAnsi="Arial" w:cs="Arial"/>
          <w:szCs w:val="22"/>
        </w:rPr>
        <w:t>either by mail to:</w:t>
      </w:r>
      <w:r>
        <w:rPr>
          <w:rFonts w:ascii="Arial" w:hAnsi="Arial" w:cs="Arial"/>
          <w:szCs w:val="22"/>
        </w:rPr>
        <w:t xml:space="preserve"> P</w:t>
      </w:r>
      <w:r w:rsidRPr="00C60089">
        <w:rPr>
          <w:rFonts w:ascii="Arial" w:hAnsi="Arial" w:cs="Arial"/>
          <w:szCs w:val="22"/>
        </w:rPr>
        <w:t>O Box 104, GEELONG VIC 3220</w:t>
      </w:r>
    </w:p>
    <w:p w:rsidR="009E16AF" w:rsidRDefault="00C12A91" w:rsidP="00A433D7">
      <w:pPr>
        <w:pStyle w:val="Bodytext1"/>
        <w:numPr>
          <w:ilvl w:val="0"/>
          <w:numId w:val="7"/>
        </w:numPr>
        <w:tabs>
          <w:tab w:val="left" w:pos="426"/>
        </w:tabs>
        <w:spacing w:before="120" w:after="0"/>
        <w:ind w:left="426" w:hanging="426"/>
      </w:pPr>
      <w:r w:rsidRPr="00C60089">
        <w:rPr>
          <w:rFonts w:ascii="Arial" w:hAnsi="Arial" w:cs="Arial"/>
          <w:szCs w:val="22"/>
        </w:rPr>
        <w:t>or by email to:</w:t>
      </w:r>
      <w:r>
        <w:rPr>
          <w:rFonts w:ascii="Arial" w:hAnsi="Arial" w:cs="Arial"/>
          <w:szCs w:val="22"/>
        </w:rPr>
        <w:t xml:space="preserve"> </w:t>
      </w:r>
      <w:hyperlink r:id="rId10" w:history="1">
        <w:r w:rsidRPr="00E12295">
          <w:rPr>
            <w:rStyle w:val="Hyperlink"/>
            <w:rFonts w:ascii="Arial" w:hAnsi="Arial" w:cs="Arial"/>
            <w:szCs w:val="22"/>
          </w:rPr>
          <w:t>strategicplanning@geelongcity.vic.gov.au</w:t>
        </w:r>
      </w:hyperlink>
      <w:r>
        <w:t xml:space="preserve"> </w:t>
      </w:r>
    </w:p>
    <w:p w:rsidR="00346961" w:rsidRDefault="00C12A91" w:rsidP="00A433D7">
      <w:pPr>
        <w:pStyle w:val="Bodytext1"/>
        <w:numPr>
          <w:ilvl w:val="0"/>
          <w:numId w:val="7"/>
        </w:numPr>
        <w:tabs>
          <w:tab w:val="left" w:pos="426"/>
        </w:tabs>
        <w:spacing w:before="120" w:after="0"/>
        <w:ind w:left="426" w:hanging="426"/>
        <w:rPr>
          <w:rFonts w:ascii="Arial" w:hAnsi="Arial" w:cs="Arial"/>
          <w:szCs w:val="22"/>
        </w:rPr>
      </w:pPr>
      <w:r>
        <w:rPr>
          <w:rFonts w:ascii="Arial" w:hAnsi="Arial" w:cs="Arial"/>
          <w:szCs w:val="22"/>
        </w:rPr>
        <w:t xml:space="preserve">or lodged online at: </w:t>
      </w:r>
      <w:hyperlink r:id="rId11" w:history="1">
        <w:r w:rsidRPr="00D3557A">
          <w:rPr>
            <w:rStyle w:val="Hyperlink"/>
            <w:rFonts w:ascii="Arial" w:hAnsi="Arial" w:cs="Arial"/>
            <w:szCs w:val="22"/>
          </w:rPr>
          <w:t>www.geelongaustralia.com.au/amendments/</w:t>
        </w:r>
      </w:hyperlink>
    </w:p>
    <w:p w:rsidR="00520DB9" w:rsidRPr="007B4CF0" w:rsidRDefault="00520DB9" w:rsidP="00520DB9">
      <w:pPr>
        <w:numPr>
          <w:ilvl w:val="0"/>
          <w:numId w:val="7"/>
        </w:numPr>
        <w:spacing w:before="360" w:after="120"/>
        <w:rPr>
          <w:rFonts w:ascii="Arial" w:hAnsi="Arial" w:cs="Arial"/>
          <w:b/>
          <w:sz w:val="24"/>
          <w:szCs w:val="24"/>
        </w:rPr>
      </w:pPr>
      <w:r w:rsidRPr="007B4CF0">
        <w:rPr>
          <w:rFonts w:ascii="Arial" w:hAnsi="Arial" w:cs="Arial"/>
          <w:b/>
          <w:sz w:val="24"/>
          <w:szCs w:val="24"/>
        </w:rPr>
        <w:t>Further information</w:t>
      </w:r>
    </w:p>
    <w:p w:rsidR="00520DB9" w:rsidRDefault="00520DB9" w:rsidP="00182BB2">
      <w:pPr>
        <w:pStyle w:val="Bodytext1"/>
        <w:numPr>
          <w:ilvl w:val="0"/>
          <w:numId w:val="7"/>
        </w:numPr>
        <w:tabs>
          <w:tab w:val="left" w:pos="426"/>
        </w:tabs>
        <w:spacing w:after="120"/>
        <w:ind w:left="426" w:hanging="426"/>
        <w:jc w:val="left"/>
        <w:rPr>
          <w:rFonts w:ascii="Arial" w:hAnsi="Arial" w:cs="Arial"/>
          <w:szCs w:val="22"/>
        </w:rPr>
      </w:pPr>
      <w:r w:rsidRPr="00C60089">
        <w:rPr>
          <w:rFonts w:ascii="Arial" w:hAnsi="Arial" w:cs="Arial"/>
          <w:szCs w:val="22"/>
        </w:rPr>
        <w:t xml:space="preserve">For further information about Amendment </w:t>
      </w:r>
      <w:r w:rsidR="000D5064">
        <w:rPr>
          <w:rFonts w:ascii="Arial" w:hAnsi="Arial" w:cs="Arial"/>
          <w:szCs w:val="22"/>
        </w:rPr>
        <w:t>C356</w:t>
      </w:r>
      <w:r w:rsidRPr="00C60089">
        <w:rPr>
          <w:rFonts w:ascii="Arial" w:hAnsi="Arial" w:cs="Arial"/>
          <w:szCs w:val="22"/>
        </w:rPr>
        <w:t xml:space="preserve"> please contact the Strategic Implementation Unit at the City of Greater Geelong on (03) 5272 4820 or via email </w:t>
      </w:r>
      <w:hyperlink r:id="rId12" w:history="1">
        <w:r w:rsidRPr="00E12295">
          <w:rPr>
            <w:rStyle w:val="Hyperlink"/>
            <w:rFonts w:ascii="Arial" w:hAnsi="Arial" w:cs="Arial"/>
            <w:szCs w:val="22"/>
          </w:rPr>
          <w:t>strategicplanning@geelongcity.vic.gov.au</w:t>
        </w:r>
      </w:hyperlink>
    </w:p>
    <w:p w:rsidR="00F21E47" w:rsidRPr="00F21E47" w:rsidRDefault="00C12A91" w:rsidP="00F21E47">
      <w:pPr>
        <w:spacing w:before="360"/>
        <w:jc w:val="both"/>
        <w:outlineLvl w:val="1"/>
        <w:rPr>
          <w:rFonts w:ascii="Arial" w:hAnsi="Arial" w:cs="Arial"/>
          <w:b/>
          <w:bCs/>
          <w:sz w:val="24"/>
        </w:rPr>
      </w:pPr>
      <w:r w:rsidRPr="00F21E47">
        <w:rPr>
          <w:rFonts w:ascii="Arial" w:hAnsi="Arial" w:cs="Arial"/>
          <w:b/>
          <w:bCs/>
          <w:sz w:val="24"/>
        </w:rPr>
        <w:lastRenderedPageBreak/>
        <w:t>Panel hearing dates</w:t>
      </w:r>
    </w:p>
    <w:p w:rsidR="00F21E47" w:rsidRPr="00F21E47" w:rsidRDefault="00C12A91" w:rsidP="00F21E47">
      <w:pPr>
        <w:spacing w:before="120"/>
        <w:jc w:val="both"/>
        <w:rPr>
          <w:rFonts w:ascii="Arial" w:hAnsi="Arial" w:cs="Arial"/>
          <w:sz w:val="22"/>
          <w:szCs w:val="22"/>
        </w:rPr>
      </w:pPr>
      <w:r w:rsidRPr="00F21E47">
        <w:rPr>
          <w:rFonts w:ascii="Arial" w:hAnsi="Arial" w:cs="Arial"/>
          <w:sz w:val="22"/>
          <w:szCs w:val="22"/>
        </w:rPr>
        <w:t>In accordance with clause 4(2) of Ministerial Direction No.15 the following panel hearing dates have been set for this amendment:</w:t>
      </w:r>
    </w:p>
    <w:p w:rsidR="00F21E47" w:rsidRPr="00182BB2" w:rsidRDefault="00C12A91" w:rsidP="00532C5A">
      <w:pPr>
        <w:numPr>
          <w:ilvl w:val="0"/>
          <w:numId w:val="5"/>
        </w:numPr>
        <w:spacing w:before="120" w:after="120"/>
        <w:ind w:left="357" w:hanging="357"/>
        <w:jc w:val="both"/>
        <w:rPr>
          <w:rFonts w:ascii="New York" w:hAnsi="New York"/>
          <w:color w:val="000000" w:themeColor="text1"/>
          <w:sz w:val="22"/>
          <w:szCs w:val="22"/>
        </w:rPr>
      </w:pPr>
      <w:r w:rsidRPr="00182BB2">
        <w:rPr>
          <w:rFonts w:ascii="Arial" w:hAnsi="Arial" w:cs="Arial"/>
          <w:color w:val="000000" w:themeColor="text1"/>
          <w:sz w:val="22"/>
          <w:szCs w:val="22"/>
        </w:rPr>
        <w:t xml:space="preserve">directions hearing:  </w:t>
      </w:r>
      <w:r w:rsidR="00182BB2" w:rsidRPr="00182BB2">
        <w:rPr>
          <w:rFonts w:ascii="Arial" w:hAnsi="Arial" w:cs="Arial"/>
          <w:color w:val="000000" w:themeColor="text1"/>
          <w:sz w:val="22"/>
          <w:szCs w:val="22"/>
        </w:rPr>
        <w:t>week commencing 24</w:t>
      </w:r>
      <w:r w:rsidR="00182BB2" w:rsidRPr="00182BB2">
        <w:rPr>
          <w:rFonts w:ascii="Arial" w:hAnsi="Arial" w:cs="Arial"/>
          <w:color w:val="000000" w:themeColor="text1"/>
          <w:sz w:val="22"/>
          <w:szCs w:val="22"/>
          <w:vertAlign w:val="superscript"/>
        </w:rPr>
        <w:t xml:space="preserve"> </w:t>
      </w:r>
      <w:r w:rsidR="00182BB2" w:rsidRPr="00182BB2">
        <w:rPr>
          <w:rFonts w:ascii="Arial" w:hAnsi="Arial" w:cs="Arial"/>
          <w:color w:val="000000" w:themeColor="text1"/>
          <w:sz w:val="22"/>
          <w:szCs w:val="22"/>
        </w:rPr>
        <w:t xml:space="preserve">April 2017. </w:t>
      </w:r>
    </w:p>
    <w:p w:rsidR="00F21E47" w:rsidRPr="00182BB2" w:rsidRDefault="00C12A91" w:rsidP="00532C5A">
      <w:pPr>
        <w:numPr>
          <w:ilvl w:val="0"/>
          <w:numId w:val="5"/>
        </w:numPr>
        <w:spacing w:before="120" w:after="120"/>
        <w:ind w:left="357" w:hanging="357"/>
        <w:jc w:val="both"/>
        <w:rPr>
          <w:color w:val="000000" w:themeColor="text1"/>
          <w:sz w:val="22"/>
          <w:szCs w:val="22"/>
        </w:rPr>
      </w:pPr>
      <w:r w:rsidRPr="00182BB2">
        <w:rPr>
          <w:rFonts w:ascii="Arial" w:hAnsi="Arial" w:cs="Arial"/>
          <w:color w:val="000000" w:themeColor="text1"/>
          <w:sz w:val="22"/>
          <w:szCs w:val="22"/>
        </w:rPr>
        <w:t xml:space="preserve">panel hearing:  </w:t>
      </w:r>
      <w:r w:rsidR="00182BB2" w:rsidRPr="00182BB2">
        <w:rPr>
          <w:rFonts w:ascii="Arial" w:hAnsi="Arial" w:cs="Arial"/>
          <w:color w:val="000000" w:themeColor="text1"/>
          <w:sz w:val="22"/>
          <w:szCs w:val="22"/>
        </w:rPr>
        <w:t>week commencing 15 May 2017.</w:t>
      </w:r>
    </w:p>
    <w:p w:rsidR="009A2369" w:rsidRPr="00F21E47" w:rsidRDefault="00182BB2" w:rsidP="00F21E47"/>
    <w:sectPr w:rsidR="009A2369" w:rsidRPr="00F21E47" w:rsidSect="008C2FC3">
      <w:headerReference w:type="even" r:id="rId13"/>
      <w:headerReference w:type="default" r:id="rId14"/>
      <w:footerReference w:type="even" r:id="rId15"/>
      <w:footerReference w:type="default" r:id="rId16"/>
      <w:headerReference w:type="first" r:id="rId17"/>
      <w:footerReference w:type="first" r:id="rId18"/>
      <w:pgSz w:w="11906" w:h="16838"/>
      <w:pgMar w:top="821" w:right="1440" w:bottom="1276" w:left="1440" w:header="5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223" w:rsidRDefault="00AA4223" w:rsidP="00AA4223">
      <w:r>
        <w:separator/>
      </w:r>
    </w:p>
  </w:endnote>
  <w:endnote w:type="continuationSeparator" w:id="0">
    <w:p w:rsidR="00AA4223" w:rsidRDefault="00AA4223" w:rsidP="00AA42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182B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B4C" w:rsidRPr="00B869D6" w:rsidRDefault="00C12A91" w:rsidP="001C5ED4">
    <w:pPr>
      <w:pStyle w:val="Footer"/>
      <w:tabs>
        <w:tab w:val="clear" w:pos="8306"/>
        <w:tab w:val="right" w:pos="8789"/>
      </w:tabs>
      <w:rPr>
        <w:rFonts w:ascii="Arial" w:hAnsi="Arial" w:cs="Arial"/>
        <w:sz w:val="16"/>
        <w:szCs w:val="16"/>
      </w:rPr>
    </w:pPr>
    <w:r w:rsidRPr="00B869D6">
      <w:rPr>
        <w:rFonts w:ascii="Arial" w:hAnsi="Arial" w:cs="Arial"/>
        <w:sz w:val="16"/>
        <w:szCs w:val="16"/>
      </w:rPr>
      <w:t>C03</w:t>
    </w:r>
    <w:r w:rsidRPr="00B869D6">
      <w:rPr>
        <w:rFonts w:ascii="Arial" w:hAnsi="Arial" w:cs="Arial"/>
        <w:sz w:val="16"/>
        <w:szCs w:val="16"/>
      </w:rPr>
      <w:tab/>
    </w:r>
    <w:r w:rsidRPr="00B869D6">
      <w:rPr>
        <w:rFonts w:ascii="Arial" w:hAnsi="Arial" w:cs="Arial"/>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182B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223" w:rsidRDefault="00AA4223" w:rsidP="00AA4223">
      <w:r>
        <w:separator/>
      </w:r>
    </w:p>
  </w:footnote>
  <w:footnote w:type="continuationSeparator" w:id="0">
    <w:p w:rsidR="00AA4223" w:rsidRDefault="00AA4223" w:rsidP="00AA4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182B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182B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182B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809EC"/>
    <w:multiLevelType w:val="hybridMultilevel"/>
    <w:tmpl w:val="BDE4476A"/>
    <w:lvl w:ilvl="0" w:tplc="D8C48CCA">
      <w:start w:val="1"/>
      <w:numFmt w:val="bullet"/>
      <w:lvlText w:val=""/>
      <w:lvlJc w:val="left"/>
      <w:pPr>
        <w:ind w:left="360" w:hanging="360"/>
      </w:pPr>
      <w:rPr>
        <w:rFonts w:ascii="Symbol" w:hAnsi="Symbol" w:hint="default"/>
      </w:rPr>
    </w:lvl>
    <w:lvl w:ilvl="1" w:tplc="9E6C1FC2" w:tentative="1">
      <w:start w:val="1"/>
      <w:numFmt w:val="bullet"/>
      <w:lvlText w:val="o"/>
      <w:lvlJc w:val="left"/>
      <w:pPr>
        <w:ind w:left="1080" w:hanging="360"/>
      </w:pPr>
      <w:rPr>
        <w:rFonts w:ascii="Courier New" w:hAnsi="Courier New" w:cs="Courier New" w:hint="default"/>
      </w:rPr>
    </w:lvl>
    <w:lvl w:ilvl="2" w:tplc="BF74454E" w:tentative="1">
      <w:start w:val="1"/>
      <w:numFmt w:val="bullet"/>
      <w:lvlText w:val=""/>
      <w:lvlJc w:val="left"/>
      <w:pPr>
        <w:ind w:left="1800" w:hanging="360"/>
      </w:pPr>
      <w:rPr>
        <w:rFonts w:ascii="Wingdings" w:hAnsi="Wingdings" w:hint="default"/>
      </w:rPr>
    </w:lvl>
    <w:lvl w:ilvl="3" w:tplc="4AE476B4" w:tentative="1">
      <w:start w:val="1"/>
      <w:numFmt w:val="bullet"/>
      <w:lvlText w:val=""/>
      <w:lvlJc w:val="left"/>
      <w:pPr>
        <w:ind w:left="2520" w:hanging="360"/>
      </w:pPr>
      <w:rPr>
        <w:rFonts w:ascii="Symbol" w:hAnsi="Symbol" w:hint="default"/>
      </w:rPr>
    </w:lvl>
    <w:lvl w:ilvl="4" w:tplc="4FF0328A" w:tentative="1">
      <w:start w:val="1"/>
      <w:numFmt w:val="bullet"/>
      <w:lvlText w:val="o"/>
      <w:lvlJc w:val="left"/>
      <w:pPr>
        <w:ind w:left="3240" w:hanging="360"/>
      </w:pPr>
      <w:rPr>
        <w:rFonts w:ascii="Courier New" w:hAnsi="Courier New" w:cs="Courier New" w:hint="default"/>
      </w:rPr>
    </w:lvl>
    <w:lvl w:ilvl="5" w:tplc="2EA4A482" w:tentative="1">
      <w:start w:val="1"/>
      <w:numFmt w:val="bullet"/>
      <w:lvlText w:val=""/>
      <w:lvlJc w:val="left"/>
      <w:pPr>
        <w:ind w:left="3960" w:hanging="360"/>
      </w:pPr>
      <w:rPr>
        <w:rFonts w:ascii="Wingdings" w:hAnsi="Wingdings" w:hint="default"/>
      </w:rPr>
    </w:lvl>
    <w:lvl w:ilvl="6" w:tplc="AD541D04" w:tentative="1">
      <w:start w:val="1"/>
      <w:numFmt w:val="bullet"/>
      <w:lvlText w:val=""/>
      <w:lvlJc w:val="left"/>
      <w:pPr>
        <w:ind w:left="4680" w:hanging="360"/>
      </w:pPr>
      <w:rPr>
        <w:rFonts w:ascii="Symbol" w:hAnsi="Symbol" w:hint="default"/>
      </w:rPr>
    </w:lvl>
    <w:lvl w:ilvl="7" w:tplc="69FC7B6A" w:tentative="1">
      <w:start w:val="1"/>
      <w:numFmt w:val="bullet"/>
      <w:lvlText w:val="o"/>
      <w:lvlJc w:val="left"/>
      <w:pPr>
        <w:ind w:left="5400" w:hanging="360"/>
      </w:pPr>
      <w:rPr>
        <w:rFonts w:ascii="Courier New" w:hAnsi="Courier New" w:cs="Courier New" w:hint="default"/>
      </w:rPr>
    </w:lvl>
    <w:lvl w:ilvl="8" w:tplc="2DACA044" w:tentative="1">
      <w:start w:val="1"/>
      <w:numFmt w:val="bullet"/>
      <w:lvlText w:val=""/>
      <w:lvlJc w:val="left"/>
      <w:pPr>
        <w:ind w:left="6120" w:hanging="360"/>
      </w:pPr>
      <w:rPr>
        <w:rFonts w:ascii="Wingdings" w:hAnsi="Wingdings" w:hint="default"/>
      </w:rPr>
    </w:lvl>
  </w:abstractNum>
  <w:abstractNum w:abstractNumId="1">
    <w:nsid w:val="27680BCE"/>
    <w:multiLevelType w:val="hybridMultilevel"/>
    <w:tmpl w:val="54DAA7A0"/>
    <w:lvl w:ilvl="0" w:tplc="6158DE78">
      <w:start w:val="1"/>
      <w:numFmt w:val="bullet"/>
      <w:lvlText w:val=""/>
      <w:lvlJc w:val="left"/>
      <w:pPr>
        <w:ind w:left="6" w:hanging="360"/>
      </w:pPr>
      <w:rPr>
        <w:rFonts w:ascii="Symbol" w:hAnsi="Symbol" w:hint="default"/>
      </w:rPr>
    </w:lvl>
    <w:lvl w:ilvl="1" w:tplc="3EE2E118">
      <w:start w:val="1"/>
      <w:numFmt w:val="decimal"/>
      <w:lvlText w:val="%2."/>
      <w:lvlJc w:val="left"/>
      <w:pPr>
        <w:tabs>
          <w:tab w:val="num" w:pos="726"/>
        </w:tabs>
        <w:ind w:left="726" w:hanging="360"/>
      </w:pPr>
    </w:lvl>
    <w:lvl w:ilvl="2" w:tplc="04708382">
      <w:start w:val="1"/>
      <w:numFmt w:val="decimal"/>
      <w:lvlText w:val="%3."/>
      <w:lvlJc w:val="left"/>
      <w:pPr>
        <w:tabs>
          <w:tab w:val="num" w:pos="1446"/>
        </w:tabs>
        <w:ind w:left="1446" w:hanging="360"/>
      </w:pPr>
    </w:lvl>
    <w:lvl w:ilvl="3" w:tplc="A5F66E10">
      <w:start w:val="1"/>
      <w:numFmt w:val="decimal"/>
      <w:lvlText w:val="%4."/>
      <w:lvlJc w:val="left"/>
      <w:pPr>
        <w:tabs>
          <w:tab w:val="num" w:pos="2166"/>
        </w:tabs>
        <w:ind w:left="2166" w:hanging="360"/>
      </w:pPr>
    </w:lvl>
    <w:lvl w:ilvl="4" w:tplc="FD30C54A">
      <w:start w:val="1"/>
      <w:numFmt w:val="decimal"/>
      <w:lvlText w:val="%5."/>
      <w:lvlJc w:val="left"/>
      <w:pPr>
        <w:tabs>
          <w:tab w:val="num" w:pos="2886"/>
        </w:tabs>
        <w:ind w:left="2886" w:hanging="360"/>
      </w:pPr>
    </w:lvl>
    <w:lvl w:ilvl="5" w:tplc="45262A4A">
      <w:start w:val="1"/>
      <w:numFmt w:val="decimal"/>
      <w:lvlText w:val="%6."/>
      <w:lvlJc w:val="left"/>
      <w:pPr>
        <w:tabs>
          <w:tab w:val="num" w:pos="3606"/>
        </w:tabs>
        <w:ind w:left="3606" w:hanging="360"/>
      </w:pPr>
    </w:lvl>
    <w:lvl w:ilvl="6" w:tplc="A0EACC38">
      <w:start w:val="1"/>
      <w:numFmt w:val="decimal"/>
      <w:lvlText w:val="%7."/>
      <w:lvlJc w:val="left"/>
      <w:pPr>
        <w:tabs>
          <w:tab w:val="num" w:pos="4326"/>
        </w:tabs>
        <w:ind w:left="4326" w:hanging="360"/>
      </w:pPr>
    </w:lvl>
    <w:lvl w:ilvl="7" w:tplc="241457F6">
      <w:start w:val="1"/>
      <w:numFmt w:val="decimal"/>
      <w:lvlText w:val="%8."/>
      <w:lvlJc w:val="left"/>
      <w:pPr>
        <w:tabs>
          <w:tab w:val="num" w:pos="5046"/>
        </w:tabs>
        <w:ind w:left="5046" w:hanging="360"/>
      </w:pPr>
    </w:lvl>
    <w:lvl w:ilvl="8" w:tplc="CC8E053A">
      <w:start w:val="1"/>
      <w:numFmt w:val="decimal"/>
      <w:lvlText w:val="%9."/>
      <w:lvlJc w:val="left"/>
      <w:pPr>
        <w:tabs>
          <w:tab w:val="num" w:pos="5766"/>
        </w:tabs>
        <w:ind w:left="5766" w:hanging="360"/>
      </w:pPr>
    </w:lvl>
  </w:abstractNum>
  <w:abstractNum w:abstractNumId="2">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3">
    <w:nsid w:val="3B7531E9"/>
    <w:multiLevelType w:val="hybridMultilevel"/>
    <w:tmpl w:val="04D25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F6425CE"/>
    <w:multiLevelType w:val="hybridMultilevel"/>
    <w:tmpl w:val="0764E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25415CE"/>
    <w:multiLevelType w:val="hybridMultilevel"/>
    <w:tmpl w:val="6310EF9E"/>
    <w:lvl w:ilvl="0" w:tplc="64B87324">
      <w:start w:val="1"/>
      <w:numFmt w:val="bullet"/>
      <w:pStyle w:val="Bodytext"/>
      <w:lvlText w:val=""/>
      <w:lvlJc w:val="left"/>
      <w:pPr>
        <w:tabs>
          <w:tab w:val="num" w:pos="284"/>
        </w:tabs>
        <w:ind w:left="284" w:hanging="284"/>
      </w:pPr>
      <w:rPr>
        <w:rFonts w:ascii="Wingdings" w:hAnsi="Wingdings" w:hint="default"/>
        <w:sz w:val="20"/>
      </w:rPr>
    </w:lvl>
    <w:lvl w:ilvl="1" w:tplc="957C500E" w:tentative="1">
      <w:start w:val="1"/>
      <w:numFmt w:val="bullet"/>
      <w:lvlText w:val="o"/>
      <w:lvlJc w:val="left"/>
      <w:pPr>
        <w:tabs>
          <w:tab w:val="num" w:pos="306"/>
        </w:tabs>
        <w:ind w:left="306" w:hanging="360"/>
      </w:pPr>
      <w:rPr>
        <w:rFonts w:ascii="Courier New" w:hAnsi="Courier New" w:cs="Courier New" w:hint="default"/>
      </w:rPr>
    </w:lvl>
    <w:lvl w:ilvl="2" w:tplc="B5CE2D1A" w:tentative="1">
      <w:start w:val="1"/>
      <w:numFmt w:val="bullet"/>
      <w:lvlText w:val=""/>
      <w:lvlJc w:val="left"/>
      <w:pPr>
        <w:tabs>
          <w:tab w:val="num" w:pos="1026"/>
        </w:tabs>
        <w:ind w:left="1026" w:hanging="360"/>
      </w:pPr>
      <w:rPr>
        <w:rFonts w:ascii="Wingdings" w:hAnsi="Wingdings" w:hint="default"/>
      </w:rPr>
    </w:lvl>
    <w:lvl w:ilvl="3" w:tplc="A7B66338" w:tentative="1">
      <w:start w:val="1"/>
      <w:numFmt w:val="bullet"/>
      <w:lvlText w:val=""/>
      <w:lvlJc w:val="left"/>
      <w:pPr>
        <w:tabs>
          <w:tab w:val="num" w:pos="1746"/>
        </w:tabs>
        <w:ind w:left="1746" w:hanging="360"/>
      </w:pPr>
      <w:rPr>
        <w:rFonts w:ascii="Symbol" w:hAnsi="Symbol" w:hint="default"/>
      </w:rPr>
    </w:lvl>
    <w:lvl w:ilvl="4" w:tplc="BF1293F0" w:tentative="1">
      <w:start w:val="1"/>
      <w:numFmt w:val="bullet"/>
      <w:lvlText w:val="o"/>
      <w:lvlJc w:val="left"/>
      <w:pPr>
        <w:tabs>
          <w:tab w:val="num" w:pos="2466"/>
        </w:tabs>
        <w:ind w:left="2466" w:hanging="360"/>
      </w:pPr>
      <w:rPr>
        <w:rFonts w:ascii="Courier New" w:hAnsi="Courier New" w:cs="Courier New" w:hint="default"/>
      </w:rPr>
    </w:lvl>
    <w:lvl w:ilvl="5" w:tplc="D19033FC" w:tentative="1">
      <w:start w:val="1"/>
      <w:numFmt w:val="bullet"/>
      <w:lvlText w:val=""/>
      <w:lvlJc w:val="left"/>
      <w:pPr>
        <w:tabs>
          <w:tab w:val="num" w:pos="3186"/>
        </w:tabs>
        <w:ind w:left="3186" w:hanging="360"/>
      </w:pPr>
      <w:rPr>
        <w:rFonts w:ascii="Wingdings" w:hAnsi="Wingdings" w:hint="default"/>
      </w:rPr>
    </w:lvl>
    <w:lvl w:ilvl="6" w:tplc="90520A94" w:tentative="1">
      <w:start w:val="1"/>
      <w:numFmt w:val="bullet"/>
      <w:lvlText w:val=""/>
      <w:lvlJc w:val="left"/>
      <w:pPr>
        <w:tabs>
          <w:tab w:val="num" w:pos="3906"/>
        </w:tabs>
        <w:ind w:left="3906" w:hanging="360"/>
      </w:pPr>
      <w:rPr>
        <w:rFonts w:ascii="Symbol" w:hAnsi="Symbol" w:hint="default"/>
      </w:rPr>
    </w:lvl>
    <w:lvl w:ilvl="7" w:tplc="0B5283C0" w:tentative="1">
      <w:start w:val="1"/>
      <w:numFmt w:val="bullet"/>
      <w:lvlText w:val="o"/>
      <w:lvlJc w:val="left"/>
      <w:pPr>
        <w:tabs>
          <w:tab w:val="num" w:pos="4626"/>
        </w:tabs>
        <w:ind w:left="4626" w:hanging="360"/>
      </w:pPr>
      <w:rPr>
        <w:rFonts w:ascii="Courier New" w:hAnsi="Courier New" w:cs="Courier New" w:hint="default"/>
      </w:rPr>
    </w:lvl>
    <w:lvl w:ilvl="8" w:tplc="C3785194" w:tentative="1">
      <w:start w:val="1"/>
      <w:numFmt w:val="bullet"/>
      <w:lvlText w:val=""/>
      <w:lvlJc w:val="left"/>
      <w:pPr>
        <w:tabs>
          <w:tab w:val="num" w:pos="5346"/>
        </w:tabs>
        <w:ind w:left="5346" w:hanging="360"/>
      </w:pPr>
      <w:rPr>
        <w:rFonts w:ascii="Wingdings" w:hAnsi="Wingdings" w:hint="default"/>
      </w:rPr>
    </w:lvl>
  </w:abstractNum>
  <w:abstractNum w:abstractNumId="6">
    <w:nsid w:val="52942FBD"/>
    <w:multiLevelType w:val="hybridMultilevel"/>
    <w:tmpl w:val="6170607C"/>
    <w:lvl w:ilvl="0" w:tplc="98F201A0">
      <w:start w:val="1"/>
      <w:numFmt w:val="bullet"/>
      <w:lvlText w:val=""/>
      <w:lvlJc w:val="left"/>
      <w:pPr>
        <w:ind w:left="360" w:hanging="360"/>
      </w:pPr>
      <w:rPr>
        <w:rFonts w:ascii="Symbol" w:hAnsi="Symbol" w:hint="default"/>
      </w:rPr>
    </w:lvl>
    <w:lvl w:ilvl="1" w:tplc="CA6AE1B8" w:tentative="1">
      <w:start w:val="1"/>
      <w:numFmt w:val="bullet"/>
      <w:lvlText w:val="o"/>
      <w:lvlJc w:val="left"/>
      <w:pPr>
        <w:ind w:left="1080" w:hanging="360"/>
      </w:pPr>
      <w:rPr>
        <w:rFonts w:ascii="Courier New" w:hAnsi="Courier New" w:cs="Courier New" w:hint="default"/>
      </w:rPr>
    </w:lvl>
    <w:lvl w:ilvl="2" w:tplc="CCC06E6E" w:tentative="1">
      <w:start w:val="1"/>
      <w:numFmt w:val="bullet"/>
      <w:lvlText w:val=""/>
      <w:lvlJc w:val="left"/>
      <w:pPr>
        <w:ind w:left="1800" w:hanging="360"/>
      </w:pPr>
      <w:rPr>
        <w:rFonts w:ascii="Wingdings" w:hAnsi="Wingdings" w:hint="default"/>
      </w:rPr>
    </w:lvl>
    <w:lvl w:ilvl="3" w:tplc="05A6230C" w:tentative="1">
      <w:start w:val="1"/>
      <w:numFmt w:val="bullet"/>
      <w:lvlText w:val=""/>
      <w:lvlJc w:val="left"/>
      <w:pPr>
        <w:ind w:left="2520" w:hanging="360"/>
      </w:pPr>
      <w:rPr>
        <w:rFonts w:ascii="Symbol" w:hAnsi="Symbol" w:hint="default"/>
      </w:rPr>
    </w:lvl>
    <w:lvl w:ilvl="4" w:tplc="02361936" w:tentative="1">
      <w:start w:val="1"/>
      <w:numFmt w:val="bullet"/>
      <w:lvlText w:val="o"/>
      <w:lvlJc w:val="left"/>
      <w:pPr>
        <w:ind w:left="3240" w:hanging="360"/>
      </w:pPr>
      <w:rPr>
        <w:rFonts w:ascii="Courier New" w:hAnsi="Courier New" w:cs="Courier New" w:hint="default"/>
      </w:rPr>
    </w:lvl>
    <w:lvl w:ilvl="5" w:tplc="ACCEF604" w:tentative="1">
      <w:start w:val="1"/>
      <w:numFmt w:val="bullet"/>
      <w:lvlText w:val=""/>
      <w:lvlJc w:val="left"/>
      <w:pPr>
        <w:ind w:left="3960" w:hanging="360"/>
      </w:pPr>
      <w:rPr>
        <w:rFonts w:ascii="Wingdings" w:hAnsi="Wingdings" w:hint="default"/>
      </w:rPr>
    </w:lvl>
    <w:lvl w:ilvl="6" w:tplc="B55C38CC" w:tentative="1">
      <w:start w:val="1"/>
      <w:numFmt w:val="bullet"/>
      <w:lvlText w:val=""/>
      <w:lvlJc w:val="left"/>
      <w:pPr>
        <w:ind w:left="4680" w:hanging="360"/>
      </w:pPr>
      <w:rPr>
        <w:rFonts w:ascii="Symbol" w:hAnsi="Symbol" w:hint="default"/>
      </w:rPr>
    </w:lvl>
    <w:lvl w:ilvl="7" w:tplc="37A8A236" w:tentative="1">
      <w:start w:val="1"/>
      <w:numFmt w:val="bullet"/>
      <w:lvlText w:val="o"/>
      <w:lvlJc w:val="left"/>
      <w:pPr>
        <w:ind w:left="5400" w:hanging="360"/>
      </w:pPr>
      <w:rPr>
        <w:rFonts w:ascii="Courier New" w:hAnsi="Courier New" w:cs="Courier New" w:hint="default"/>
      </w:rPr>
    </w:lvl>
    <w:lvl w:ilvl="8" w:tplc="9A5C3B3A" w:tentative="1">
      <w:start w:val="1"/>
      <w:numFmt w:val="bullet"/>
      <w:lvlText w:val=""/>
      <w:lvlJc w:val="left"/>
      <w:pPr>
        <w:ind w:left="6120" w:hanging="360"/>
      </w:pPr>
      <w:rPr>
        <w:rFonts w:ascii="Wingdings" w:hAnsi="Wingdings" w:hint="default"/>
      </w:rPr>
    </w:lvl>
  </w:abstractNum>
  <w:abstractNum w:abstractNumId="7">
    <w:nsid w:val="54B4402B"/>
    <w:multiLevelType w:val="hybridMultilevel"/>
    <w:tmpl w:val="CFEE7EA8"/>
    <w:lvl w:ilvl="0" w:tplc="04EC332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0A14C00"/>
    <w:multiLevelType w:val="hybridMultilevel"/>
    <w:tmpl w:val="1C069290"/>
    <w:lvl w:ilvl="0" w:tplc="A768F492">
      <w:start w:val="1"/>
      <w:numFmt w:val="bullet"/>
      <w:pStyle w:val="Heading3"/>
      <w:lvlText w:val=""/>
      <w:lvlJc w:val="left"/>
      <w:pPr>
        <w:tabs>
          <w:tab w:val="num" w:pos="284"/>
        </w:tabs>
        <w:ind w:left="284" w:hanging="284"/>
      </w:pPr>
      <w:rPr>
        <w:rFonts w:ascii="Symbol" w:hAnsi="Symbol" w:hint="default"/>
        <w:sz w:val="20"/>
      </w:rPr>
    </w:lvl>
    <w:lvl w:ilvl="1" w:tplc="4DD440DC">
      <w:start w:val="1"/>
      <w:numFmt w:val="bullet"/>
      <w:pStyle w:val="List2"/>
      <w:lvlText w:val=""/>
      <w:lvlJc w:val="left"/>
      <w:pPr>
        <w:tabs>
          <w:tab w:val="num" w:pos="1440"/>
        </w:tabs>
        <w:ind w:left="1440" w:hanging="360"/>
      </w:pPr>
      <w:rPr>
        <w:rFonts w:ascii="Wingdings" w:hAnsi="Wingdings" w:hint="default"/>
        <w:sz w:val="20"/>
      </w:rPr>
    </w:lvl>
    <w:lvl w:ilvl="2" w:tplc="A5900156" w:tentative="1">
      <w:start w:val="1"/>
      <w:numFmt w:val="bullet"/>
      <w:lvlText w:val=""/>
      <w:lvlJc w:val="left"/>
      <w:pPr>
        <w:tabs>
          <w:tab w:val="num" w:pos="2160"/>
        </w:tabs>
        <w:ind w:left="2160" w:hanging="360"/>
      </w:pPr>
      <w:rPr>
        <w:rFonts w:ascii="Wingdings" w:hAnsi="Wingdings" w:hint="default"/>
      </w:rPr>
    </w:lvl>
    <w:lvl w:ilvl="3" w:tplc="A1A0E54E" w:tentative="1">
      <w:start w:val="1"/>
      <w:numFmt w:val="bullet"/>
      <w:lvlText w:val=""/>
      <w:lvlJc w:val="left"/>
      <w:pPr>
        <w:tabs>
          <w:tab w:val="num" w:pos="2880"/>
        </w:tabs>
        <w:ind w:left="2880" w:hanging="360"/>
      </w:pPr>
      <w:rPr>
        <w:rFonts w:ascii="Symbol" w:hAnsi="Symbol" w:hint="default"/>
      </w:rPr>
    </w:lvl>
    <w:lvl w:ilvl="4" w:tplc="9ACABAD6" w:tentative="1">
      <w:start w:val="1"/>
      <w:numFmt w:val="bullet"/>
      <w:lvlText w:val="o"/>
      <w:lvlJc w:val="left"/>
      <w:pPr>
        <w:tabs>
          <w:tab w:val="num" w:pos="3600"/>
        </w:tabs>
        <w:ind w:left="3600" w:hanging="360"/>
      </w:pPr>
      <w:rPr>
        <w:rFonts w:ascii="Courier New" w:hAnsi="Courier New" w:cs="Courier New" w:hint="default"/>
      </w:rPr>
    </w:lvl>
    <w:lvl w:ilvl="5" w:tplc="5D504EB0" w:tentative="1">
      <w:start w:val="1"/>
      <w:numFmt w:val="bullet"/>
      <w:lvlText w:val=""/>
      <w:lvlJc w:val="left"/>
      <w:pPr>
        <w:tabs>
          <w:tab w:val="num" w:pos="4320"/>
        </w:tabs>
        <w:ind w:left="4320" w:hanging="360"/>
      </w:pPr>
      <w:rPr>
        <w:rFonts w:ascii="Wingdings" w:hAnsi="Wingdings" w:hint="default"/>
      </w:rPr>
    </w:lvl>
    <w:lvl w:ilvl="6" w:tplc="2BE2EBD2" w:tentative="1">
      <w:start w:val="1"/>
      <w:numFmt w:val="bullet"/>
      <w:lvlText w:val=""/>
      <w:lvlJc w:val="left"/>
      <w:pPr>
        <w:tabs>
          <w:tab w:val="num" w:pos="5040"/>
        </w:tabs>
        <w:ind w:left="5040" w:hanging="360"/>
      </w:pPr>
      <w:rPr>
        <w:rFonts w:ascii="Symbol" w:hAnsi="Symbol" w:hint="default"/>
      </w:rPr>
    </w:lvl>
    <w:lvl w:ilvl="7" w:tplc="774AD048" w:tentative="1">
      <w:start w:val="1"/>
      <w:numFmt w:val="bullet"/>
      <w:lvlText w:val="o"/>
      <w:lvlJc w:val="left"/>
      <w:pPr>
        <w:tabs>
          <w:tab w:val="num" w:pos="5760"/>
        </w:tabs>
        <w:ind w:left="5760" w:hanging="360"/>
      </w:pPr>
      <w:rPr>
        <w:rFonts w:ascii="Courier New" w:hAnsi="Courier New" w:cs="Courier New" w:hint="default"/>
      </w:rPr>
    </w:lvl>
    <w:lvl w:ilvl="8" w:tplc="162AB81E" w:tentative="1">
      <w:start w:val="1"/>
      <w:numFmt w:val="bullet"/>
      <w:lvlText w:val=""/>
      <w:lvlJc w:val="left"/>
      <w:pPr>
        <w:tabs>
          <w:tab w:val="num" w:pos="6480"/>
        </w:tabs>
        <w:ind w:left="6480" w:hanging="360"/>
      </w:pPr>
      <w:rPr>
        <w:rFonts w:ascii="Wingdings" w:hAnsi="Wingdings" w:hint="default"/>
      </w:rPr>
    </w:lvl>
  </w:abstractNum>
  <w:abstractNum w:abstractNumId="9">
    <w:nsid w:val="74483B2F"/>
    <w:multiLevelType w:val="hybridMultilevel"/>
    <w:tmpl w:val="EAF66BF2"/>
    <w:lvl w:ilvl="0" w:tplc="C07AA09E">
      <w:start w:val="1"/>
      <w:numFmt w:val="bullet"/>
      <w:lvlText w:val=""/>
      <w:lvlJc w:val="left"/>
      <w:pPr>
        <w:tabs>
          <w:tab w:val="num" w:pos="360"/>
        </w:tabs>
        <w:ind w:left="360" w:hanging="360"/>
      </w:pPr>
      <w:rPr>
        <w:rFonts w:ascii="Symbol" w:hAnsi="Symbol" w:hint="default"/>
      </w:rPr>
    </w:lvl>
    <w:lvl w:ilvl="1" w:tplc="56BE100A">
      <w:start w:val="1"/>
      <w:numFmt w:val="decimal"/>
      <w:lvlText w:val="%2."/>
      <w:lvlJc w:val="left"/>
      <w:pPr>
        <w:tabs>
          <w:tab w:val="num" w:pos="1440"/>
        </w:tabs>
        <w:ind w:left="1440" w:hanging="360"/>
      </w:pPr>
    </w:lvl>
    <w:lvl w:ilvl="2" w:tplc="BD24AF10">
      <w:start w:val="1"/>
      <w:numFmt w:val="decimal"/>
      <w:lvlText w:val="%3."/>
      <w:lvlJc w:val="left"/>
      <w:pPr>
        <w:tabs>
          <w:tab w:val="num" w:pos="2160"/>
        </w:tabs>
        <w:ind w:left="2160" w:hanging="360"/>
      </w:pPr>
    </w:lvl>
    <w:lvl w:ilvl="3" w:tplc="A7B664DC">
      <w:start w:val="1"/>
      <w:numFmt w:val="decimal"/>
      <w:lvlText w:val="%4."/>
      <w:lvlJc w:val="left"/>
      <w:pPr>
        <w:tabs>
          <w:tab w:val="num" w:pos="2880"/>
        </w:tabs>
        <w:ind w:left="2880" w:hanging="360"/>
      </w:pPr>
    </w:lvl>
    <w:lvl w:ilvl="4" w:tplc="BC72F33A">
      <w:start w:val="1"/>
      <w:numFmt w:val="decimal"/>
      <w:lvlText w:val="%5."/>
      <w:lvlJc w:val="left"/>
      <w:pPr>
        <w:tabs>
          <w:tab w:val="num" w:pos="3600"/>
        </w:tabs>
        <w:ind w:left="3600" w:hanging="360"/>
      </w:pPr>
    </w:lvl>
    <w:lvl w:ilvl="5" w:tplc="88D4A56E">
      <w:start w:val="1"/>
      <w:numFmt w:val="decimal"/>
      <w:lvlText w:val="%6."/>
      <w:lvlJc w:val="left"/>
      <w:pPr>
        <w:tabs>
          <w:tab w:val="num" w:pos="4320"/>
        </w:tabs>
        <w:ind w:left="4320" w:hanging="360"/>
      </w:pPr>
    </w:lvl>
    <w:lvl w:ilvl="6" w:tplc="F356B190">
      <w:start w:val="1"/>
      <w:numFmt w:val="decimal"/>
      <w:lvlText w:val="%7."/>
      <w:lvlJc w:val="left"/>
      <w:pPr>
        <w:tabs>
          <w:tab w:val="num" w:pos="5040"/>
        </w:tabs>
        <w:ind w:left="5040" w:hanging="360"/>
      </w:pPr>
    </w:lvl>
    <w:lvl w:ilvl="7" w:tplc="7BD2B628">
      <w:start w:val="1"/>
      <w:numFmt w:val="decimal"/>
      <w:lvlText w:val="%8."/>
      <w:lvlJc w:val="left"/>
      <w:pPr>
        <w:tabs>
          <w:tab w:val="num" w:pos="5760"/>
        </w:tabs>
        <w:ind w:left="5760" w:hanging="360"/>
      </w:pPr>
    </w:lvl>
    <w:lvl w:ilvl="8" w:tplc="95B23B08">
      <w:start w:val="1"/>
      <w:numFmt w:val="decimal"/>
      <w:lvlText w:val="%9."/>
      <w:lvlJc w:val="left"/>
      <w:pPr>
        <w:tabs>
          <w:tab w:val="num" w:pos="6480"/>
        </w:tabs>
        <w:ind w:left="6480" w:hanging="360"/>
      </w:pPr>
    </w:lvl>
  </w:abstractNum>
  <w:abstractNum w:abstractNumId="10">
    <w:nsid w:val="76B00085"/>
    <w:multiLevelType w:val="singleLevel"/>
    <w:tmpl w:val="789C8126"/>
    <w:lvl w:ilvl="0">
      <w:start w:val="1"/>
      <w:numFmt w:val="decimal"/>
      <w:pStyle w:val="NumberedText"/>
      <w:lvlText w:val="%1."/>
      <w:lvlJc w:val="left"/>
      <w:pPr>
        <w:tabs>
          <w:tab w:val="num" w:pos="360"/>
        </w:tabs>
        <w:ind w:left="360" w:hanging="360"/>
      </w:pPr>
    </w:lvl>
  </w:abstractNum>
  <w:num w:numId="1">
    <w:abstractNumId w:val="9"/>
  </w:num>
  <w:num w:numId="2">
    <w:abstractNumId w:val="2"/>
  </w:num>
  <w:num w:numId="3">
    <w:abstractNumId w:val="5"/>
  </w:num>
  <w:num w:numId="4">
    <w:abstractNumId w:val="10"/>
    <w:lvlOverride w:ilvl="0">
      <w:startOverride w:val="1"/>
    </w:lvlOverride>
  </w:num>
  <w:num w:numId="5">
    <w:abstractNumId w:val="0"/>
  </w:num>
  <w:num w:numId="6">
    <w:abstractNumId w:val="8"/>
  </w:num>
  <w:num w:numId="7">
    <w:abstractNumId w:val="6"/>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4"/>
  </w:num>
  <w:num w:numId="12">
    <w:abstractNumId w:val="8"/>
  </w:num>
  <w:num w:numId="13">
    <w:abstractNumId w:val="8"/>
  </w:num>
  <w:num w:numId="14">
    <w:abstractNumId w:val="8"/>
  </w:num>
  <w:num w:numId="15">
    <w:abstractNumId w:val="8"/>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30680"/>
  </w:docVars>
  <w:rsids>
    <w:rsidRoot w:val="00AA4223"/>
    <w:rsid w:val="000A01D6"/>
    <w:rsid w:val="000D5064"/>
    <w:rsid w:val="0017096E"/>
    <w:rsid w:val="00182BB2"/>
    <w:rsid w:val="001B23E6"/>
    <w:rsid w:val="002067FB"/>
    <w:rsid w:val="0021774C"/>
    <w:rsid w:val="003360F0"/>
    <w:rsid w:val="00427AE8"/>
    <w:rsid w:val="004D0144"/>
    <w:rsid w:val="00520DB9"/>
    <w:rsid w:val="006838DB"/>
    <w:rsid w:val="006C36F6"/>
    <w:rsid w:val="006D53C7"/>
    <w:rsid w:val="007749E2"/>
    <w:rsid w:val="00835BDA"/>
    <w:rsid w:val="00A84192"/>
    <w:rsid w:val="00AA4223"/>
    <w:rsid w:val="00C12A91"/>
    <w:rsid w:val="00C5778A"/>
    <w:rsid w:val="00CA11B1"/>
    <w:rsid w:val="00DA673E"/>
    <w:rsid w:val="00EC2BD6"/>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69"/>
    <w:rPr>
      <w:rFonts w:ascii="Times" w:hAnsi="Times"/>
    </w:rPr>
  </w:style>
  <w:style w:type="paragraph" w:styleId="Heading1">
    <w:name w:val="heading 1"/>
    <w:basedOn w:val="Normal"/>
    <w:link w:val="Heading1Char"/>
    <w:qFormat/>
    <w:rsid w:val="00AD20BF"/>
    <w:pPr>
      <w:keepNext/>
      <w:keepLines/>
      <w:spacing w:before="240"/>
      <w:jc w:val="center"/>
      <w:outlineLvl w:val="0"/>
    </w:pPr>
    <w:rPr>
      <w:rFonts w:ascii="Arial" w:hAnsi="Arial"/>
      <w:b/>
      <w:bCs/>
      <w:caps/>
      <w:sz w:val="24"/>
    </w:rPr>
  </w:style>
  <w:style w:type="paragraph" w:styleId="Heading2">
    <w:name w:val="heading 2"/>
    <w:basedOn w:val="Normal"/>
    <w:next w:val="Normal"/>
    <w:qFormat/>
    <w:rsid w:val="00525977"/>
    <w:pPr>
      <w:keepNext/>
      <w:spacing w:before="240" w:after="60"/>
      <w:outlineLvl w:val="1"/>
    </w:pPr>
    <w:rPr>
      <w:rFonts w:ascii="Arial" w:hAnsi="Arial" w:cs="Arial"/>
      <w:b/>
      <w:bCs/>
      <w:i/>
      <w:iCs/>
      <w:sz w:val="28"/>
      <w:szCs w:val="28"/>
    </w:rPr>
  </w:style>
  <w:style w:type="paragraph" w:styleId="Heading3">
    <w:name w:val="heading 3"/>
    <w:basedOn w:val="Heading2"/>
    <w:next w:val="ST"/>
    <w:qFormat/>
    <w:rsid w:val="00525977"/>
    <w:pPr>
      <w:keepLines/>
      <w:numPr>
        <w:numId w:val="6"/>
      </w:numPr>
      <w:spacing w:after="0" w:line="240" w:lineRule="atLeast"/>
      <w:outlineLvl w:val="2"/>
    </w:pPr>
    <w:rPr>
      <w:rFonts w:ascii="Times" w:hAnsi="Times" w:cs="Times New Roman"/>
      <w:b w:val="0"/>
      <w:bCs w:val="0"/>
      <w:i w:val="0"/>
      <w:iCs w:val="0"/>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5977"/>
    <w:rPr>
      <w:color w:val="0000FF"/>
      <w:u w:val="single"/>
    </w:rPr>
  </w:style>
  <w:style w:type="paragraph" w:customStyle="1" w:styleId="ST">
    <w:name w:val="ST"/>
    <w:basedOn w:val="Normal"/>
    <w:rsid w:val="00525977"/>
    <w:pPr>
      <w:spacing w:before="240" w:line="240" w:lineRule="atLeast"/>
    </w:pPr>
    <w:rPr>
      <w:sz w:val="24"/>
    </w:rPr>
  </w:style>
  <w:style w:type="paragraph" w:styleId="BodyText0">
    <w:name w:val="Body Text"/>
    <w:basedOn w:val="Normal"/>
    <w:rsid w:val="00525977"/>
    <w:rPr>
      <w:i/>
      <w:sz w:val="24"/>
    </w:rPr>
  </w:style>
  <w:style w:type="paragraph" w:styleId="BodyText2">
    <w:name w:val="Body Text 2"/>
    <w:basedOn w:val="Normal"/>
    <w:rsid w:val="00525977"/>
    <w:rPr>
      <w:rFonts w:ascii="Times New Roman" w:hAnsi="Times New Roman"/>
      <w:color w:val="0000FF"/>
      <w:sz w:val="24"/>
    </w:rPr>
  </w:style>
  <w:style w:type="paragraph" w:customStyle="1" w:styleId="Bodytext1">
    <w:name w:val="Body text"/>
    <w:basedOn w:val="Normal"/>
    <w:rsid w:val="00525977"/>
    <w:pPr>
      <w:overflowPunct w:val="0"/>
      <w:autoSpaceDE w:val="0"/>
      <w:autoSpaceDN w:val="0"/>
      <w:adjustRightInd w:val="0"/>
      <w:spacing w:after="119"/>
      <w:ind w:left="1134"/>
      <w:jc w:val="both"/>
    </w:pPr>
    <w:rPr>
      <w:sz w:val="22"/>
    </w:rPr>
  </w:style>
  <w:style w:type="paragraph" w:styleId="Header">
    <w:name w:val="header"/>
    <w:basedOn w:val="Normal"/>
    <w:rsid w:val="00DD1CB8"/>
    <w:pPr>
      <w:tabs>
        <w:tab w:val="center" w:pos="4153"/>
        <w:tab w:val="right" w:pos="8306"/>
      </w:tabs>
    </w:pPr>
  </w:style>
  <w:style w:type="paragraph" w:styleId="Footer">
    <w:name w:val="footer"/>
    <w:basedOn w:val="Normal"/>
    <w:rsid w:val="00DD1CB8"/>
    <w:pPr>
      <w:tabs>
        <w:tab w:val="center" w:pos="4153"/>
        <w:tab w:val="right" w:pos="8306"/>
      </w:tabs>
    </w:pPr>
  </w:style>
  <w:style w:type="paragraph" w:customStyle="1" w:styleId="Body">
    <w:name w:val="Body"/>
    <w:aliases w:val="b"/>
    <w:rsid w:val="00754DC4"/>
    <w:pPr>
      <w:spacing w:before="60" w:after="120" w:line="280" w:lineRule="atLeast"/>
    </w:pPr>
    <w:rPr>
      <w:rFonts w:ascii="Arial" w:hAnsi="Arial"/>
      <w:sz w:val="19"/>
      <w:lang w:eastAsia="en-US"/>
    </w:rPr>
  </w:style>
  <w:style w:type="paragraph" w:customStyle="1" w:styleId="Bullet">
    <w:name w:val="Bullet"/>
    <w:aliases w:val="b1"/>
    <w:basedOn w:val="Body"/>
    <w:rsid w:val="00754DC4"/>
    <w:pPr>
      <w:tabs>
        <w:tab w:val="left" w:pos="284"/>
      </w:tabs>
      <w:spacing w:before="0" w:after="100"/>
    </w:pPr>
  </w:style>
  <w:style w:type="paragraph" w:styleId="Title">
    <w:name w:val="Title"/>
    <w:basedOn w:val="Normal"/>
    <w:qFormat/>
    <w:rsid w:val="00754DC4"/>
    <w:pPr>
      <w:jc w:val="center"/>
    </w:pPr>
    <w:rPr>
      <w:rFonts w:ascii="Times New Roman" w:hAnsi="Times New Roman"/>
      <w:sz w:val="24"/>
    </w:rPr>
  </w:style>
  <w:style w:type="paragraph" w:styleId="BalloonText">
    <w:name w:val="Balloon Text"/>
    <w:basedOn w:val="Normal"/>
    <w:semiHidden/>
    <w:rsid w:val="00375651"/>
    <w:rPr>
      <w:rFonts w:ascii="Tahoma" w:hAnsi="Tahoma" w:cs="Tahoma"/>
      <w:sz w:val="16"/>
      <w:szCs w:val="16"/>
    </w:rPr>
  </w:style>
  <w:style w:type="paragraph" w:customStyle="1" w:styleId="ScheduleTitle">
    <w:name w:val="Schedule Title"/>
    <w:basedOn w:val="Normal"/>
    <w:next w:val="Normal"/>
    <w:rsid w:val="00C317CE"/>
    <w:pPr>
      <w:spacing w:before="240" w:after="120"/>
      <w:jc w:val="center"/>
    </w:pPr>
    <w:rPr>
      <w:b/>
      <w:sz w:val="22"/>
    </w:rPr>
  </w:style>
  <w:style w:type="paragraph" w:styleId="Subtitle">
    <w:name w:val="Subtitle"/>
    <w:basedOn w:val="Normal"/>
    <w:qFormat/>
    <w:rsid w:val="00B27E26"/>
    <w:pPr>
      <w:jc w:val="center"/>
    </w:pPr>
    <w:rPr>
      <w:rFonts w:ascii="Times New Roman" w:hAnsi="Times New Roman"/>
      <w:b/>
      <w:sz w:val="28"/>
    </w:rPr>
  </w:style>
  <w:style w:type="paragraph" w:styleId="ListNumber">
    <w:name w:val="List Number"/>
    <w:basedOn w:val="BodyText0"/>
    <w:rsid w:val="00B27E26"/>
    <w:pPr>
      <w:spacing w:after="120"/>
      <w:ind w:left="737" w:hanging="737"/>
    </w:pPr>
    <w:rPr>
      <w:rFonts w:ascii="Times New Roman" w:hAnsi="Times New Roman"/>
      <w:i w:val="0"/>
    </w:rPr>
  </w:style>
  <w:style w:type="table" w:styleId="TableGrid">
    <w:name w:val="Table Grid"/>
    <w:basedOn w:val="TableNormal"/>
    <w:rsid w:val="00B27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 text •"/>
    <w:basedOn w:val="Normal"/>
    <w:rsid w:val="00B27E26"/>
    <w:pPr>
      <w:numPr>
        <w:numId w:val="3"/>
      </w:numPr>
    </w:pPr>
    <w:rPr>
      <w:rFonts w:ascii="Times New Roman" w:hAnsi="Times New Roman"/>
      <w:sz w:val="24"/>
    </w:rPr>
  </w:style>
  <w:style w:type="paragraph" w:customStyle="1" w:styleId="NumberedText">
    <w:name w:val="Numbered Text"/>
    <w:basedOn w:val="Normal"/>
    <w:rsid w:val="0003761B"/>
    <w:pPr>
      <w:numPr>
        <w:numId w:val="4"/>
      </w:numPr>
      <w:spacing w:after="120"/>
      <w:jc w:val="both"/>
    </w:pPr>
    <w:rPr>
      <w:rFonts w:ascii="Times New Roman" w:hAnsi="Times New Roman"/>
      <w:sz w:val="24"/>
    </w:rPr>
  </w:style>
  <w:style w:type="character" w:customStyle="1" w:styleId="Heading1Char">
    <w:name w:val="Heading 1 Char"/>
    <w:basedOn w:val="DefaultParagraphFont"/>
    <w:link w:val="Heading1"/>
    <w:rsid w:val="00AD20BF"/>
    <w:rPr>
      <w:rFonts w:ascii="Arial" w:hAnsi="Arial"/>
      <w:b/>
      <w:bCs/>
      <w:caps/>
      <w:sz w:val="24"/>
    </w:rPr>
  </w:style>
  <w:style w:type="paragraph" w:customStyle="1" w:styleId="ActTitle">
    <w:name w:val="Act Title"/>
    <w:basedOn w:val="Normal"/>
    <w:rsid w:val="00AD20BF"/>
    <w:pPr>
      <w:spacing w:before="120"/>
      <w:jc w:val="center"/>
    </w:pPr>
    <w:rPr>
      <w:rFonts w:ascii="Arial" w:hAnsi="Arial"/>
      <w:i/>
      <w:iCs/>
      <w:sz w:val="24"/>
    </w:rPr>
  </w:style>
  <w:style w:type="paragraph" w:customStyle="1" w:styleId="Instructions">
    <w:name w:val="Instructions"/>
    <w:basedOn w:val="Normal"/>
    <w:link w:val="InstructionsChar"/>
    <w:rsid w:val="00AD20BF"/>
    <w:pPr>
      <w:spacing w:before="120"/>
      <w:jc w:val="both"/>
    </w:pPr>
    <w:rPr>
      <w:rFonts w:ascii="Arial" w:hAnsi="Arial" w:cs="Arial"/>
      <w:i/>
      <w:color w:val="0000FF"/>
    </w:rPr>
  </w:style>
  <w:style w:type="character" w:customStyle="1" w:styleId="InstructionsChar">
    <w:name w:val="Instructions Char"/>
    <w:basedOn w:val="DefaultParagraphFont"/>
    <w:link w:val="Instructions"/>
    <w:rsid w:val="00AD20BF"/>
    <w:rPr>
      <w:rFonts w:ascii="Arial" w:hAnsi="Arial" w:cs="Arial"/>
      <w:i/>
      <w:color w:val="0000FF"/>
    </w:rPr>
  </w:style>
  <w:style w:type="paragraph" w:customStyle="1" w:styleId="StrategicAssessmentText">
    <w:name w:val="Strategic Assessment Text"/>
    <w:basedOn w:val="Normal"/>
    <w:rsid w:val="00AD20BF"/>
    <w:pPr>
      <w:spacing w:before="120"/>
      <w:ind w:left="284"/>
      <w:jc w:val="both"/>
    </w:pPr>
    <w:rPr>
      <w:sz w:val="24"/>
    </w:rPr>
  </w:style>
  <w:style w:type="paragraph" w:styleId="List2">
    <w:name w:val="List 2"/>
    <w:basedOn w:val="Normal"/>
    <w:rsid w:val="00AD20BF"/>
    <w:pPr>
      <w:numPr>
        <w:ilvl w:val="1"/>
        <w:numId w:val="6"/>
      </w:numPr>
      <w:spacing w:before="120"/>
      <w:jc w:val="both"/>
    </w:pPr>
    <w:rPr>
      <w:sz w:val="24"/>
    </w:rPr>
  </w:style>
  <w:style w:type="paragraph" w:customStyle="1" w:styleId="Tablelabel">
    <w:name w:val="Table label"/>
    <w:basedOn w:val="Normal"/>
    <w:rsid w:val="004F6352"/>
    <w:pPr>
      <w:spacing w:before="120" w:after="80"/>
      <w:ind w:left="113"/>
    </w:pPr>
    <w:rPr>
      <w:rFonts w:ascii="Arial" w:hAnsi="Arial"/>
      <w:b/>
      <w:color w:val="FFFFFF"/>
      <w:sz w:val="18"/>
    </w:rPr>
  </w:style>
  <w:style w:type="paragraph" w:customStyle="1" w:styleId="Tabletext">
    <w:name w:val="Table text"/>
    <w:rsid w:val="004F6352"/>
    <w:pPr>
      <w:spacing w:before="60" w:after="60"/>
      <w:jc w:val="both"/>
    </w:pPr>
    <w:rPr>
      <w:rFonts w:ascii="Arial" w:hAnsi="Arial"/>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eelongaustralia.com.au/amendmen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trategicplanning@geelongcity.vic.gov.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elongaustralia.com.au/amendmen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trategicplanning@geelongcity.vic.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lwp.vic.gov.au/public-inspec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Greater Geelong City Council</Company>
  <LinksUpToDate>false</LinksUpToDate>
  <CharactersWithSpaces>12518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Lyn Cramer</dc:creator>
  <cp:lastModifiedBy>Cramer</cp:lastModifiedBy>
  <cp:revision>3</cp:revision>
  <cp:lastPrinted>2016-12-05T22:49:00Z</cp:lastPrinted>
  <dcterms:created xsi:type="dcterms:W3CDTF">2016-12-12T22:40:00Z</dcterms:created>
  <dcterms:modified xsi:type="dcterms:W3CDTF">2017-01-17T01:01:00Z</dcterms:modified>
</cp:coreProperties>
</file>