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E6" w:rsidRPr="006109DA" w:rsidRDefault="00A068E6" w:rsidP="00996878">
      <w:pPr>
        <w:pStyle w:val="ActTitle"/>
        <w:rPr>
          <w:rFonts w:cs="Arial"/>
          <w:sz w:val="20"/>
        </w:rPr>
      </w:pPr>
      <w:r w:rsidRPr="006109DA">
        <w:rPr>
          <w:rFonts w:cs="Arial"/>
          <w:sz w:val="20"/>
        </w:rPr>
        <w:t>Planning and Environment Act 1987</w:t>
      </w:r>
    </w:p>
    <w:p w:rsidR="00A068E6" w:rsidRPr="00793014" w:rsidRDefault="00A1578C" w:rsidP="00684895">
      <w:pPr>
        <w:pStyle w:val="Heading1"/>
        <w:rPr>
          <w:rFonts w:cs="Arial"/>
          <w:sz w:val="28"/>
          <w:szCs w:val="28"/>
        </w:rPr>
      </w:pPr>
      <w:r w:rsidRPr="00793014">
        <w:rPr>
          <w:rFonts w:cs="Arial"/>
          <w:sz w:val="28"/>
          <w:szCs w:val="28"/>
        </w:rPr>
        <w:t>GREATER GEELONG</w:t>
      </w:r>
      <w:r w:rsidR="00A068E6" w:rsidRPr="00793014">
        <w:rPr>
          <w:rFonts w:cs="Arial"/>
          <w:sz w:val="28"/>
          <w:szCs w:val="28"/>
        </w:rPr>
        <w:t xml:space="preserve"> PLANNING SCHEME</w:t>
      </w:r>
    </w:p>
    <w:p w:rsidR="00A068E6" w:rsidRPr="00793014" w:rsidRDefault="00A068E6" w:rsidP="00684895">
      <w:pPr>
        <w:pStyle w:val="Heading1"/>
        <w:rPr>
          <w:rFonts w:cs="Arial"/>
          <w:sz w:val="28"/>
          <w:szCs w:val="28"/>
        </w:rPr>
      </w:pPr>
      <w:r w:rsidRPr="00793014">
        <w:rPr>
          <w:rFonts w:cs="Arial"/>
          <w:sz w:val="28"/>
          <w:szCs w:val="28"/>
        </w:rPr>
        <w:t>AMENDMENT C</w:t>
      </w:r>
      <w:r w:rsidR="00A1578C" w:rsidRPr="00793014">
        <w:rPr>
          <w:rFonts w:cs="Arial"/>
          <w:sz w:val="28"/>
          <w:szCs w:val="28"/>
        </w:rPr>
        <w:t>3</w:t>
      </w:r>
      <w:r w:rsidR="00014ED7">
        <w:rPr>
          <w:rFonts w:cs="Arial"/>
          <w:sz w:val="28"/>
          <w:szCs w:val="28"/>
        </w:rPr>
        <w:t>58</w:t>
      </w:r>
    </w:p>
    <w:p w:rsidR="00A068E6" w:rsidRPr="00793014" w:rsidRDefault="006109DA" w:rsidP="00684895">
      <w:pPr>
        <w:pStyle w:val="Heading1"/>
        <w:rPr>
          <w:rFonts w:cs="Arial"/>
          <w:szCs w:val="24"/>
        </w:rPr>
      </w:pPr>
      <w:r w:rsidRPr="00793014">
        <w:rPr>
          <w:rFonts w:cs="Arial"/>
          <w:szCs w:val="24"/>
        </w:rPr>
        <w:t>E</w:t>
      </w:r>
      <w:r w:rsidR="00A068E6" w:rsidRPr="00793014">
        <w:rPr>
          <w:rFonts w:cs="Arial"/>
          <w:szCs w:val="24"/>
        </w:rPr>
        <w:t>XPLANATORY REPORT</w:t>
      </w:r>
    </w:p>
    <w:p w:rsidR="00A068E6" w:rsidRPr="00793014" w:rsidRDefault="00A068E6" w:rsidP="00684895">
      <w:pPr>
        <w:pStyle w:val="Heading2"/>
        <w:rPr>
          <w:rFonts w:cs="Arial"/>
        </w:rPr>
      </w:pPr>
      <w:r w:rsidRPr="00793014">
        <w:rPr>
          <w:rFonts w:cs="Arial"/>
        </w:rPr>
        <w:t>Who is the planning authority?</w:t>
      </w:r>
    </w:p>
    <w:p w:rsidR="00A068E6" w:rsidRPr="00793014" w:rsidRDefault="00A068E6" w:rsidP="00996878">
      <w:pPr>
        <w:rPr>
          <w:rFonts w:ascii="Arial" w:hAnsi="Arial" w:cs="Arial"/>
          <w:sz w:val="22"/>
          <w:szCs w:val="22"/>
        </w:rPr>
      </w:pPr>
      <w:r w:rsidRPr="00793014">
        <w:rPr>
          <w:rFonts w:ascii="Arial" w:hAnsi="Arial" w:cs="Arial"/>
          <w:sz w:val="22"/>
          <w:szCs w:val="22"/>
        </w:rPr>
        <w:t>This amendment has been prepared by the</w:t>
      </w:r>
      <w:r w:rsidR="00A1578C" w:rsidRPr="00793014">
        <w:rPr>
          <w:rFonts w:ascii="Arial" w:hAnsi="Arial" w:cs="Arial"/>
          <w:sz w:val="22"/>
          <w:szCs w:val="22"/>
        </w:rPr>
        <w:t xml:space="preserve"> Greater Geelong City Council</w:t>
      </w:r>
      <w:r w:rsidR="00FE71B0" w:rsidRPr="00793014">
        <w:rPr>
          <w:rFonts w:ascii="Arial" w:hAnsi="Arial" w:cs="Arial"/>
          <w:sz w:val="22"/>
          <w:szCs w:val="22"/>
        </w:rPr>
        <w:t xml:space="preserve">, </w:t>
      </w:r>
      <w:r w:rsidR="00C93B2C" w:rsidRPr="00793014">
        <w:rPr>
          <w:rFonts w:ascii="Arial" w:hAnsi="Arial" w:cs="Arial"/>
          <w:sz w:val="22"/>
          <w:szCs w:val="22"/>
        </w:rPr>
        <w:t>which</w:t>
      </w:r>
      <w:r w:rsidRPr="00793014">
        <w:rPr>
          <w:rFonts w:ascii="Arial" w:hAnsi="Arial" w:cs="Arial"/>
          <w:sz w:val="22"/>
          <w:szCs w:val="22"/>
        </w:rPr>
        <w:t xml:space="preserve"> is the planning authority for this amendment.</w:t>
      </w:r>
    </w:p>
    <w:p w:rsidR="00A068E6" w:rsidRPr="00793014" w:rsidRDefault="00A068E6" w:rsidP="00996878">
      <w:pPr>
        <w:rPr>
          <w:rFonts w:ascii="Arial" w:hAnsi="Arial" w:cs="Arial"/>
          <w:sz w:val="22"/>
          <w:szCs w:val="22"/>
        </w:rPr>
      </w:pPr>
      <w:r w:rsidRPr="00793014">
        <w:rPr>
          <w:rFonts w:ascii="Arial" w:hAnsi="Arial" w:cs="Arial"/>
          <w:sz w:val="22"/>
          <w:szCs w:val="22"/>
        </w:rPr>
        <w:t>The amendment has been made at the request of</w:t>
      </w:r>
      <w:r w:rsidR="00FE71B0" w:rsidRPr="00793014">
        <w:rPr>
          <w:rFonts w:ascii="Arial" w:hAnsi="Arial" w:cs="Arial"/>
          <w:sz w:val="22"/>
          <w:szCs w:val="22"/>
        </w:rPr>
        <w:t xml:space="preserve"> </w:t>
      </w:r>
      <w:r w:rsidR="00A75E7D">
        <w:rPr>
          <w:rFonts w:ascii="Arial" w:hAnsi="Arial" w:cs="Arial"/>
          <w:sz w:val="22"/>
          <w:szCs w:val="22"/>
        </w:rPr>
        <w:t xml:space="preserve">Sincock Planning on behalf of </w:t>
      </w:r>
      <w:r w:rsidR="00014ED7">
        <w:rPr>
          <w:rFonts w:ascii="Arial" w:hAnsi="Arial" w:cs="Arial"/>
          <w:sz w:val="22"/>
          <w:szCs w:val="22"/>
        </w:rPr>
        <w:t>Mr Frank Furnari and Mr Steven Li</w:t>
      </w:r>
      <w:r w:rsidRPr="00793014">
        <w:rPr>
          <w:rFonts w:ascii="Arial" w:hAnsi="Arial" w:cs="Arial"/>
          <w:sz w:val="22"/>
          <w:szCs w:val="22"/>
        </w:rPr>
        <w:t>.</w:t>
      </w:r>
    </w:p>
    <w:p w:rsidR="00A068E6" w:rsidRPr="00793014" w:rsidRDefault="00814A45" w:rsidP="00684895">
      <w:pPr>
        <w:pStyle w:val="Heading2"/>
        <w:rPr>
          <w:rFonts w:cs="Arial"/>
        </w:rPr>
      </w:pPr>
      <w:r w:rsidRPr="00793014">
        <w:rPr>
          <w:rFonts w:cs="Arial"/>
        </w:rPr>
        <w:t>Land affected by the amendment</w:t>
      </w:r>
    </w:p>
    <w:p w:rsidR="00A068E6" w:rsidRDefault="00A068E6" w:rsidP="00996878">
      <w:pPr>
        <w:rPr>
          <w:rFonts w:ascii="Arial" w:hAnsi="Arial" w:cs="Arial"/>
          <w:sz w:val="22"/>
          <w:szCs w:val="22"/>
        </w:rPr>
      </w:pPr>
      <w:r w:rsidRPr="00793014">
        <w:rPr>
          <w:rFonts w:ascii="Arial" w:hAnsi="Arial" w:cs="Arial"/>
          <w:sz w:val="22"/>
          <w:szCs w:val="22"/>
        </w:rPr>
        <w:t>The amendment applies to</w:t>
      </w:r>
      <w:r w:rsidR="00C221E8">
        <w:rPr>
          <w:rFonts w:ascii="Arial" w:hAnsi="Arial" w:cs="Arial"/>
          <w:sz w:val="22"/>
          <w:szCs w:val="22"/>
        </w:rPr>
        <w:t xml:space="preserve"> the land at 55, 57 &amp; 59</w:t>
      </w:r>
      <w:r w:rsidR="00014ED7">
        <w:rPr>
          <w:rFonts w:ascii="Arial" w:hAnsi="Arial" w:cs="Arial"/>
          <w:sz w:val="22"/>
          <w:szCs w:val="22"/>
        </w:rPr>
        <w:t xml:space="preserve"> Kilgour Street and 322-328 Moorabool Street Geelong</w:t>
      </w:r>
      <w:r w:rsidR="001A3A76">
        <w:rPr>
          <w:rFonts w:ascii="Arial" w:hAnsi="Arial" w:cs="Arial"/>
          <w:sz w:val="22"/>
          <w:szCs w:val="22"/>
        </w:rPr>
        <w:t>, as</w:t>
      </w:r>
      <w:r w:rsidR="00A75E7D">
        <w:rPr>
          <w:rFonts w:ascii="Arial" w:hAnsi="Arial" w:cs="Arial"/>
          <w:sz w:val="22"/>
          <w:szCs w:val="22"/>
        </w:rPr>
        <w:t xml:space="preserve"> red line</w:t>
      </w:r>
      <w:r w:rsidR="001A3A76">
        <w:rPr>
          <w:rFonts w:ascii="Arial" w:hAnsi="Arial" w:cs="Arial"/>
          <w:sz w:val="22"/>
          <w:szCs w:val="22"/>
        </w:rPr>
        <w:t>d below</w:t>
      </w:r>
      <w:r w:rsidR="00C221E8">
        <w:rPr>
          <w:rFonts w:ascii="Arial" w:hAnsi="Arial" w:cs="Arial"/>
          <w:sz w:val="22"/>
          <w:szCs w:val="22"/>
        </w:rPr>
        <w:t>:</w:t>
      </w:r>
    </w:p>
    <w:p w:rsidR="00C221E8" w:rsidRPr="00793014" w:rsidRDefault="006A078B" w:rsidP="00996878">
      <w:pPr>
        <w:rPr>
          <w:rFonts w:ascii="Arial" w:hAnsi="Arial" w:cs="Arial"/>
          <w:sz w:val="22"/>
          <w:szCs w:val="22"/>
        </w:rPr>
      </w:pPr>
      <w:r>
        <w:rPr>
          <w:noProof/>
        </w:rPr>
        <w:drawing>
          <wp:inline distT="0" distB="0" distL="0" distR="0">
            <wp:extent cx="5838825" cy="2352675"/>
            <wp:effectExtent l="19050" t="0" r="9525" b="0"/>
            <wp:docPr id="1" name="Picture 1" descr="http://prodpla02.cogg.local:8091/weave/docstore/EEEKECEJEEEJEBEKEGKTGQGKEPEBEKEGEMEEEAEGEMEPEFEEEBEEEBEPEEEGEMKTJFJZJEKEKFJZKCJG/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dpla02.cogg.local:8091/weave/docstore/EEEKECEJEEEJEBEKEGKTGQGKEPEBEKEGEMEEEAEGEMEPEFEEEBEEEBEPEEEGEMKTJFJZJEKEKFJZKCJG/map.png"/>
                    <pic:cNvPicPr>
                      <a:picLocks noChangeAspect="1" noChangeArrowheads="1"/>
                    </pic:cNvPicPr>
                  </pic:nvPicPr>
                  <pic:blipFill>
                    <a:blip r:embed="rId8" cstate="print"/>
                    <a:srcRect/>
                    <a:stretch>
                      <a:fillRect/>
                    </a:stretch>
                  </pic:blipFill>
                  <pic:spPr bwMode="auto">
                    <a:xfrm>
                      <a:off x="0" y="0"/>
                      <a:ext cx="5838825" cy="2352675"/>
                    </a:xfrm>
                    <a:prstGeom prst="rect">
                      <a:avLst/>
                    </a:prstGeom>
                    <a:noFill/>
                    <a:ln w="9525">
                      <a:noFill/>
                      <a:miter lim="800000"/>
                      <a:headEnd/>
                      <a:tailEnd/>
                    </a:ln>
                  </pic:spPr>
                </pic:pic>
              </a:graphicData>
            </a:graphic>
          </wp:inline>
        </w:drawing>
      </w:r>
    </w:p>
    <w:p w:rsidR="00A068E6" w:rsidRPr="00793014" w:rsidRDefault="00814A45" w:rsidP="00684895">
      <w:pPr>
        <w:pStyle w:val="Heading2"/>
        <w:rPr>
          <w:rFonts w:cs="Arial"/>
        </w:rPr>
      </w:pPr>
      <w:r w:rsidRPr="00793014">
        <w:rPr>
          <w:rFonts w:cs="Arial"/>
        </w:rPr>
        <w:t>What the amendment does</w:t>
      </w:r>
    </w:p>
    <w:p w:rsidR="00CD64B8" w:rsidRPr="00793014" w:rsidRDefault="001E53D0" w:rsidP="001E53D0">
      <w:pPr>
        <w:rPr>
          <w:rFonts w:ascii="Arial" w:hAnsi="Arial" w:cs="Arial"/>
          <w:sz w:val="22"/>
          <w:szCs w:val="22"/>
        </w:rPr>
      </w:pPr>
      <w:r w:rsidRPr="00793014">
        <w:rPr>
          <w:rFonts w:ascii="Arial" w:hAnsi="Arial" w:cs="Arial"/>
          <w:sz w:val="22"/>
          <w:szCs w:val="22"/>
        </w:rPr>
        <w:t xml:space="preserve">The amendment </w:t>
      </w:r>
      <w:r w:rsidR="00A1578C" w:rsidRPr="00793014">
        <w:rPr>
          <w:rFonts w:ascii="Arial" w:hAnsi="Arial" w:cs="Arial"/>
          <w:sz w:val="22"/>
          <w:szCs w:val="22"/>
        </w:rPr>
        <w:t xml:space="preserve">rezones the land from </w:t>
      </w:r>
      <w:r w:rsidR="004724B6">
        <w:rPr>
          <w:rFonts w:ascii="Arial" w:hAnsi="Arial" w:cs="Arial"/>
          <w:sz w:val="22"/>
          <w:szCs w:val="22"/>
        </w:rPr>
        <w:t xml:space="preserve">the </w:t>
      </w:r>
      <w:r w:rsidR="00A1578C" w:rsidRPr="00793014">
        <w:rPr>
          <w:rFonts w:ascii="Arial" w:hAnsi="Arial" w:cs="Arial"/>
          <w:sz w:val="22"/>
          <w:szCs w:val="22"/>
        </w:rPr>
        <w:t xml:space="preserve">General Residential Zone Schedule 1 to </w:t>
      </w:r>
      <w:r w:rsidR="004724B6">
        <w:rPr>
          <w:rFonts w:ascii="Arial" w:hAnsi="Arial" w:cs="Arial"/>
          <w:sz w:val="22"/>
          <w:szCs w:val="22"/>
        </w:rPr>
        <w:t xml:space="preserve">the </w:t>
      </w:r>
      <w:r w:rsidR="00014ED7">
        <w:rPr>
          <w:rFonts w:ascii="Arial" w:hAnsi="Arial" w:cs="Arial"/>
          <w:sz w:val="22"/>
          <w:szCs w:val="22"/>
        </w:rPr>
        <w:t>Mixed Use Zone</w:t>
      </w:r>
      <w:r w:rsidR="00DC5939" w:rsidRPr="00793014">
        <w:rPr>
          <w:rFonts w:ascii="Arial" w:hAnsi="Arial" w:cs="Arial"/>
          <w:sz w:val="22"/>
          <w:szCs w:val="22"/>
        </w:rPr>
        <w:t>.</w:t>
      </w:r>
    </w:p>
    <w:p w:rsidR="00A068E6" w:rsidRPr="00823BB7" w:rsidRDefault="00A068E6" w:rsidP="00684895">
      <w:pPr>
        <w:pStyle w:val="Heading2"/>
        <w:rPr>
          <w:rFonts w:cs="Arial"/>
          <w:smallCaps/>
        </w:rPr>
      </w:pPr>
      <w:r w:rsidRPr="00823BB7">
        <w:rPr>
          <w:rFonts w:cs="Arial"/>
        </w:rPr>
        <w:t xml:space="preserve">Strategic assessment of the amendment </w:t>
      </w:r>
    </w:p>
    <w:p w:rsidR="00A068E6" w:rsidRPr="00420A5B" w:rsidRDefault="00A068E6" w:rsidP="00AC418E">
      <w:pPr>
        <w:pStyle w:val="Heading3"/>
        <w:numPr>
          <w:ilvl w:val="0"/>
          <w:numId w:val="0"/>
        </w:numPr>
        <w:rPr>
          <w:rFonts w:ascii="Arial" w:hAnsi="Arial" w:cs="Arial"/>
          <w:szCs w:val="24"/>
        </w:rPr>
      </w:pPr>
      <w:r w:rsidRPr="00420A5B">
        <w:rPr>
          <w:rFonts w:ascii="Arial" w:hAnsi="Arial" w:cs="Arial"/>
          <w:szCs w:val="24"/>
        </w:rPr>
        <w:t>Why is the amendment required?</w:t>
      </w:r>
    </w:p>
    <w:p w:rsidR="00A068E6" w:rsidRDefault="008D6E1E" w:rsidP="00AC418E">
      <w:pPr>
        <w:pStyle w:val="StrategicAssessmentText"/>
        <w:ind w:left="0"/>
        <w:rPr>
          <w:rFonts w:ascii="Arial" w:hAnsi="Arial" w:cs="Arial"/>
          <w:sz w:val="22"/>
          <w:szCs w:val="22"/>
        </w:rPr>
      </w:pPr>
      <w:r>
        <w:rPr>
          <w:rFonts w:ascii="Arial" w:hAnsi="Arial" w:cs="Arial"/>
          <w:sz w:val="22"/>
          <w:szCs w:val="22"/>
        </w:rPr>
        <w:t>The s</w:t>
      </w:r>
      <w:r w:rsidR="00AE0804">
        <w:rPr>
          <w:rFonts w:ascii="Arial" w:hAnsi="Arial" w:cs="Arial"/>
          <w:sz w:val="22"/>
          <w:szCs w:val="22"/>
        </w:rPr>
        <w:t>ubject site is currently zoned G</w:t>
      </w:r>
      <w:r>
        <w:rPr>
          <w:rFonts w:ascii="Arial" w:hAnsi="Arial" w:cs="Arial"/>
          <w:sz w:val="22"/>
          <w:szCs w:val="22"/>
        </w:rPr>
        <w:t>eneral Residential Zone Schedule 1 and this prohibits the use of the</w:t>
      </w:r>
      <w:r w:rsidR="00014ED7">
        <w:rPr>
          <w:rFonts w:ascii="Arial" w:hAnsi="Arial" w:cs="Arial"/>
          <w:sz w:val="22"/>
          <w:szCs w:val="22"/>
        </w:rPr>
        <w:t xml:space="preserve"> commercial tenancies at the lower level for </w:t>
      </w:r>
      <w:r w:rsidR="00C221E8">
        <w:rPr>
          <w:rFonts w:ascii="Arial" w:hAnsi="Arial" w:cs="Arial"/>
          <w:sz w:val="22"/>
          <w:szCs w:val="22"/>
        </w:rPr>
        <w:t xml:space="preserve">an office </w:t>
      </w:r>
      <w:r w:rsidR="00014ED7">
        <w:rPr>
          <w:rFonts w:ascii="Arial" w:hAnsi="Arial" w:cs="Arial"/>
          <w:sz w:val="22"/>
          <w:szCs w:val="22"/>
        </w:rPr>
        <w:t>or shop use</w:t>
      </w:r>
      <w:r>
        <w:rPr>
          <w:rFonts w:ascii="Arial" w:hAnsi="Arial" w:cs="Arial"/>
          <w:sz w:val="22"/>
          <w:szCs w:val="22"/>
        </w:rPr>
        <w:t xml:space="preserve">.  The amendment is required to facilitate the </w:t>
      </w:r>
      <w:r w:rsidR="00014ED7">
        <w:rPr>
          <w:rFonts w:ascii="Arial" w:hAnsi="Arial" w:cs="Arial"/>
          <w:sz w:val="22"/>
          <w:szCs w:val="22"/>
        </w:rPr>
        <w:t>broader potential of the land as the three tenancies have been vacant for an extended period.  This would be facilitated by the Mixed Use Zone.</w:t>
      </w:r>
    </w:p>
    <w:p w:rsidR="00A068E6" w:rsidRPr="00420A5B" w:rsidRDefault="00A068E6" w:rsidP="00AC418E">
      <w:pPr>
        <w:pStyle w:val="Heading3"/>
        <w:numPr>
          <w:ilvl w:val="0"/>
          <w:numId w:val="0"/>
        </w:numPr>
        <w:rPr>
          <w:rFonts w:ascii="Arial" w:hAnsi="Arial" w:cs="Arial"/>
          <w:szCs w:val="24"/>
        </w:rPr>
      </w:pPr>
      <w:r w:rsidRPr="00420A5B">
        <w:rPr>
          <w:rFonts w:ascii="Arial" w:hAnsi="Arial" w:cs="Arial"/>
          <w:szCs w:val="24"/>
        </w:rPr>
        <w:t>How does the amendment implement the objectives of planning in Victoria?</w:t>
      </w:r>
    </w:p>
    <w:p w:rsidR="0030757B" w:rsidRDefault="008D6E1E" w:rsidP="00AC418E">
      <w:pPr>
        <w:pStyle w:val="StrategicAssessmentText"/>
        <w:ind w:left="0"/>
        <w:rPr>
          <w:rFonts w:ascii="Arial" w:hAnsi="Arial" w:cs="Arial"/>
          <w:sz w:val="22"/>
          <w:szCs w:val="22"/>
        </w:rPr>
      </w:pPr>
      <w:r>
        <w:rPr>
          <w:rFonts w:ascii="Arial" w:hAnsi="Arial" w:cs="Arial"/>
          <w:sz w:val="22"/>
          <w:szCs w:val="22"/>
        </w:rPr>
        <w:t>The amendment implements the objectives of planning in Victoria as follows:</w:t>
      </w:r>
    </w:p>
    <w:p w:rsidR="008D6E1E" w:rsidRPr="00AE0804" w:rsidRDefault="00B562A6" w:rsidP="008D6E1E">
      <w:pPr>
        <w:pStyle w:val="StrategicAssessmentText"/>
        <w:numPr>
          <w:ilvl w:val="0"/>
          <w:numId w:val="43"/>
        </w:numPr>
        <w:rPr>
          <w:rFonts w:ascii="Arial" w:hAnsi="Arial" w:cs="Arial"/>
          <w:i/>
          <w:sz w:val="22"/>
          <w:szCs w:val="22"/>
        </w:rPr>
      </w:pPr>
      <w:r w:rsidRPr="00AE0804">
        <w:rPr>
          <w:rFonts w:ascii="Arial" w:hAnsi="Arial" w:cs="Arial"/>
          <w:i/>
          <w:sz w:val="22"/>
          <w:szCs w:val="22"/>
        </w:rPr>
        <w:t>To provide for the fair, orderly, economic and sustainable use, and development of land;</w:t>
      </w:r>
    </w:p>
    <w:p w:rsidR="00C52892" w:rsidRPr="00C52892" w:rsidRDefault="00B562A6" w:rsidP="00B562A6">
      <w:pPr>
        <w:pStyle w:val="StrategicAssessmentText"/>
        <w:ind w:left="0"/>
        <w:rPr>
          <w:rFonts w:ascii="Arial" w:hAnsi="Arial" w:cs="Arial"/>
          <w:sz w:val="22"/>
          <w:szCs w:val="22"/>
        </w:rPr>
      </w:pPr>
      <w:r w:rsidRPr="00C52892">
        <w:rPr>
          <w:rFonts w:ascii="Arial" w:hAnsi="Arial" w:cs="Arial"/>
          <w:sz w:val="22"/>
          <w:szCs w:val="22"/>
        </w:rPr>
        <w:t xml:space="preserve">The amendment rezones land </w:t>
      </w:r>
      <w:r w:rsidR="00C52892" w:rsidRPr="00C52892">
        <w:rPr>
          <w:rFonts w:ascii="Arial" w:hAnsi="Arial" w:cs="Arial"/>
          <w:sz w:val="22"/>
          <w:szCs w:val="22"/>
        </w:rPr>
        <w:t xml:space="preserve">within Central Geelong but outside of the core retail area </w:t>
      </w:r>
      <w:r w:rsidRPr="00C52892">
        <w:rPr>
          <w:rFonts w:ascii="Arial" w:hAnsi="Arial" w:cs="Arial"/>
          <w:sz w:val="22"/>
          <w:szCs w:val="22"/>
        </w:rPr>
        <w:t xml:space="preserve">and </w:t>
      </w:r>
      <w:r w:rsidR="00C52892" w:rsidRPr="00C52892">
        <w:rPr>
          <w:rFonts w:ascii="Arial" w:hAnsi="Arial" w:cs="Arial"/>
          <w:sz w:val="22"/>
          <w:szCs w:val="22"/>
        </w:rPr>
        <w:t>the proposed Mixed Use Zone provides greater flexibility for</w:t>
      </w:r>
      <w:r w:rsidRPr="00C52892">
        <w:rPr>
          <w:rFonts w:ascii="Arial" w:hAnsi="Arial" w:cs="Arial"/>
          <w:sz w:val="22"/>
          <w:szCs w:val="22"/>
        </w:rPr>
        <w:t xml:space="preserve"> </w:t>
      </w:r>
      <w:r w:rsidR="00C52892" w:rsidRPr="00C52892">
        <w:rPr>
          <w:rFonts w:ascii="Arial" w:hAnsi="Arial" w:cs="Arial"/>
          <w:sz w:val="22"/>
          <w:szCs w:val="22"/>
        </w:rPr>
        <w:t>the use of the existing commercial tenancies.  The zone</w:t>
      </w:r>
      <w:r w:rsidR="00C221E8">
        <w:rPr>
          <w:rFonts w:ascii="Arial" w:hAnsi="Arial" w:cs="Arial"/>
          <w:sz w:val="22"/>
          <w:szCs w:val="22"/>
        </w:rPr>
        <w:t xml:space="preserve"> is appropriate for a small mix</w:t>
      </w:r>
      <w:r w:rsidR="00C52892" w:rsidRPr="00C52892">
        <w:rPr>
          <w:rFonts w:ascii="Arial" w:hAnsi="Arial" w:cs="Arial"/>
          <w:sz w:val="22"/>
          <w:szCs w:val="22"/>
        </w:rPr>
        <w:t xml:space="preserve">ed use proposal that abuts residentially zoned land. </w:t>
      </w:r>
      <w:r w:rsidR="00C52892">
        <w:rPr>
          <w:rFonts w:ascii="Arial" w:hAnsi="Arial" w:cs="Arial"/>
          <w:sz w:val="22"/>
          <w:szCs w:val="22"/>
        </w:rPr>
        <w:t xml:space="preserve"> The tenancies hav</w:t>
      </w:r>
      <w:r w:rsidR="00C221E8">
        <w:rPr>
          <w:rFonts w:ascii="Arial" w:hAnsi="Arial" w:cs="Arial"/>
          <w:sz w:val="22"/>
          <w:szCs w:val="22"/>
        </w:rPr>
        <w:t>e been vacant for an extended period</w:t>
      </w:r>
      <w:r w:rsidR="00C52892">
        <w:rPr>
          <w:rFonts w:ascii="Arial" w:hAnsi="Arial" w:cs="Arial"/>
          <w:sz w:val="22"/>
          <w:szCs w:val="22"/>
        </w:rPr>
        <w:t xml:space="preserve"> and the </w:t>
      </w:r>
      <w:r w:rsidR="00C52892">
        <w:rPr>
          <w:rFonts w:ascii="Arial" w:hAnsi="Arial" w:cs="Arial"/>
          <w:sz w:val="22"/>
          <w:szCs w:val="22"/>
        </w:rPr>
        <w:lastRenderedPageBreak/>
        <w:t xml:space="preserve">Mixed Use Zone provides the flexibility for small scale offie or boutique shop uses that would enhance the </w:t>
      </w:r>
      <w:r w:rsidR="005B3AA7">
        <w:rPr>
          <w:rFonts w:ascii="Arial" w:hAnsi="Arial" w:cs="Arial"/>
          <w:sz w:val="22"/>
          <w:szCs w:val="22"/>
        </w:rPr>
        <w:t xml:space="preserve">street frontage activity and provide life at the ground floor of the building </w:t>
      </w:r>
    </w:p>
    <w:p w:rsidR="00B562A6" w:rsidRPr="00AE0804" w:rsidRDefault="00B562A6" w:rsidP="00B562A6">
      <w:pPr>
        <w:pStyle w:val="StrategicAssessmentText"/>
        <w:numPr>
          <w:ilvl w:val="0"/>
          <w:numId w:val="43"/>
        </w:numPr>
        <w:rPr>
          <w:rFonts w:ascii="Arial" w:hAnsi="Arial" w:cs="Arial"/>
          <w:i/>
          <w:sz w:val="22"/>
          <w:szCs w:val="22"/>
        </w:rPr>
      </w:pPr>
      <w:r w:rsidRPr="00AE0804">
        <w:rPr>
          <w:rFonts w:ascii="Arial" w:hAnsi="Arial" w:cs="Arial"/>
          <w:i/>
          <w:sz w:val="22"/>
          <w:szCs w:val="22"/>
        </w:rPr>
        <w:t>To secure a pleasant, efficient and safe working, living and recreational environment for all Victorians and visitors to Victoria;</w:t>
      </w:r>
    </w:p>
    <w:p w:rsidR="005B3AA7" w:rsidRPr="005B3AA7" w:rsidRDefault="00B562A6" w:rsidP="00B562A6">
      <w:pPr>
        <w:pStyle w:val="StrategicAssessmentText"/>
        <w:ind w:left="0"/>
        <w:rPr>
          <w:rFonts w:ascii="Arial" w:hAnsi="Arial" w:cs="Arial"/>
          <w:sz w:val="22"/>
          <w:szCs w:val="22"/>
        </w:rPr>
      </w:pPr>
      <w:r w:rsidRPr="005B3AA7">
        <w:rPr>
          <w:rFonts w:ascii="Arial" w:hAnsi="Arial" w:cs="Arial"/>
          <w:sz w:val="22"/>
          <w:szCs w:val="22"/>
        </w:rPr>
        <w:t xml:space="preserve">The amendment </w:t>
      </w:r>
      <w:r w:rsidR="005B3AA7" w:rsidRPr="005B3AA7">
        <w:rPr>
          <w:rFonts w:ascii="Arial" w:hAnsi="Arial" w:cs="Arial"/>
          <w:sz w:val="22"/>
          <w:szCs w:val="22"/>
        </w:rPr>
        <w:t>would allow the tenancies to be used for a small number of boutique uses including shop, office, food and drink premises or medical centre, and these uses would be less detrimental to the residential neighbours than the convenience restaurant use that was originally approved with extended opening hours.  These uses permitted by the zone are likely to operate with fewer hours and less customers, therefore maintain</w:t>
      </w:r>
      <w:r w:rsidR="00C221E8">
        <w:rPr>
          <w:rFonts w:ascii="Arial" w:hAnsi="Arial" w:cs="Arial"/>
          <w:sz w:val="22"/>
          <w:szCs w:val="22"/>
        </w:rPr>
        <w:t>ing</w:t>
      </w:r>
      <w:r w:rsidR="005B3AA7" w:rsidRPr="005B3AA7">
        <w:rPr>
          <w:rFonts w:ascii="Arial" w:hAnsi="Arial" w:cs="Arial"/>
          <w:sz w:val="22"/>
          <w:szCs w:val="22"/>
        </w:rPr>
        <w:t xml:space="preserve"> a high quality residential envir</w:t>
      </w:r>
      <w:r w:rsidR="00C221E8">
        <w:rPr>
          <w:rFonts w:ascii="Arial" w:hAnsi="Arial" w:cs="Arial"/>
          <w:sz w:val="22"/>
          <w:szCs w:val="22"/>
        </w:rPr>
        <w:t xml:space="preserve">onment for </w:t>
      </w:r>
      <w:r w:rsidR="005B3AA7" w:rsidRPr="005B3AA7">
        <w:rPr>
          <w:rFonts w:ascii="Arial" w:hAnsi="Arial" w:cs="Arial"/>
          <w:sz w:val="22"/>
          <w:szCs w:val="22"/>
        </w:rPr>
        <w:t>upper l</w:t>
      </w:r>
      <w:r w:rsidR="00C221E8">
        <w:rPr>
          <w:rFonts w:ascii="Arial" w:hAnsi="Arial" w:cs="Arial"/>
          <w:sz w:val="22"/>
          <w:szCs w:val="22"/>
        </w:rPr>
        <w:t>evels and nearby residents</w:t>
      </w:r>
      <w:r w:rsidR="005B3AA7" w:rsidRPr="005B3AA7">
        <w:rPr>
          <w:rFonts w:ascii="Arial" w:hAnsi="Arial" w:cs="Arial"/>
          <w:sz w:val="22"/>
          <w:szCs w:val="22"/>
        </w:rPr>
        <w:t xml:space="preserve">.  </w:t>
      </w:r>
    </w:p>
    <w:p w:rsidR="00B562A6" w:rsidRDefault="005B3AA7" w:rsidP="00B562A6">
      <w:pPr>
        <w:pStyle w:val="StrategicAssessmentText"/>
        <w:ind w:left="0"/>
        <w:rPr>
          <w:rFonts w:ascii="Arial" w:hAnsi="Arial" w:cs="Arial"/>
          <w:sz w:val="22"/>
          <w:szCs w:val="22"/>
        </w:rPr>
      </w:pPr>
      <w:r w:rsidRPr="005B3AA7">
        <w:rPr>
          <w:rFonts w:ascii="Arial" w:hAnsi="Arial" w:cs="Arial"/>
          <w:sz w:val="22"/>
          <w:szCs w:val="22"/>
        </w:rPr>
        <w:t>The amendment will</w:t>
      </w:r>
      <w:r w:rsidR="00B562A6" w:rsidRPr="005B3AA7">
        <w:rPr>
          <w:rFonts w:ascii="Arial" w:hAnsi="Arial" w:cs="Arial"/>
          <w:sz w:val="22"/>
          <w:szCs w:val="22"/>
        </w:rPr>
        <w:t xml:space="preserve"> provide for a </w:t>
      </w:r>
      <w:r w:rsidR="007F00B4" w:rsidRPr="005B3AA7">
        <w:rPr>
          <w:rFonts w:ascii="Arial" w:hAnsi="Arial" w:cs="Arial"/>
          <w:sz w:val="22"/>
          <w:szCs w:val="22"/>
        </w:rPr>
        <w:t xml:space="preserve">pleasant, efficient and safe working and living environment for the </w:t>
      </w:r>
      <w:r w:rsidRPr="005B3AA7">
        <w:rPr>
          <w:rFonts w:ascii="Arial" w:hAnsi="Arial" w:cs="Arial"/>
          <w:sz w:val="22"/>
          <w:szCs w:val="22"/>
        </w:rPr>
        <w:t xml:space="preserve">broader community within the neighbourhood via greater street activity and will provide the opportunity for boutique commercial uses that are </w:t>
      </w:r>
      <w:r w:rsidR="007F00B4" w:rsidRPr="005B3AA7">
        <w:rPr>
          <w:rFonts w:ascii="Arial" w:hAnsi="Arial" w:cs="Arial"/>
          <w:sz w:val="22"/>
          <w:szCs w:val="22"/>
        </w:rPr>
        <w:t>pleasant</w:t>
      </w:r>
      <w:r w:rsidRPr="005B3AA7">
        <w:rPr>
          <w:rFonts w:ascii="Arial" w:hAnsi="Arial" w:cs="Arial"/>
          <w:sz w:val="22"/>
          <w:szCs w:val="22"/>
        </w:rPr>
        <w:t xml:space="preserve"> and enjoyable places</w:t>
      </w:r>
      <w:r w:rsidR="007F00B4" w:rsidRPr="005B3AA7">
        <w:rPr>
          <w:rFonts w:ascii="Arial" w:hAnsi="Arial" w:cs="Arial"/>
          <w:sz w:val="22"/>
          <w:szCs w:val="22"/>
        </w:rPr>
        <w:t xml:space="preserve"> to work and live.</w:t>
      </w:r>
      <w:r w:rsidR="007F00B4">
        <w:rPr>
          <w:rFonts w:ascii="Arial" w:hAnsi="Arial" w:cs="Arial"/>
          <w:sz w:val="22"/>
          <w:szCs w:val="22"/>
        </w:rPr>
        <w:t xml:space="preserve"> </w:t>
      </w:r>
    </w:p>
    <w:p w:rsidR="007F00B4" w:rsidRPr="00AE0804" w:rsidRDefault="007F00B4" w:rsidP="007F00B4">
      <w:pPr>
        <w:pStyle w:val="StrategicAssessmentText"/>
        <w:numPr>
          <w:ilvl w:val="0"/>
          <w:numId w:val="43"/>
        </w:numPr>
        <w:rPr>
          <w:rFonts w:ascii="Arial" w:hAnsi="Arial" w:cs="Arial"/>
          <w:i/>
          <w:sz w:val="22"/>
          <w:szCs w:val="22"/>
        </w:rPr>
      </w:pPr>
      <w:r w:rsidRPr="00AE0804">
        <w:rPr>
          <w:rFonts w:ascii="Arial" w:hAnsi="Arial" w:cs="Arial"/>
          <w:i/>
          <w:sz w:val="22"/>
          <w:szCs w:val="22"/>
        </w:rPr>
        <w:t>To balance the present and future interests of all Victorians.</w:t>
      </w:r>
    </w:p>
    <w:p w:rsidR="005B3AA7" w:rsidRPr="005B3AA7" w:rsidRDefault="007F00B4" w:rsidP="00B562A6">
      <w:pPr>
        <w:pStyle w:val="StrategicAssessmentText"/>
        <w:ind w:left="0"/>
        <w:rPr>
          <w:rFonts w:ascii="Arial" w:hAnsi="Arial" w:cs="Arial"/>
          <w:sz w:val="22"/>
          <w:szCs w:val="22"/>
        </w:rPr>
      </w:pPr>
      <w:r w:rsidRPr="005B3AA7">
        <w:rPr>
          <w:rFonts w:ascii="Arial" w:hAnsi="Arial" w:cs="Arial"/>
          <w:sz w:val="22"/>
          <w:szCs w:val="22"/>
        </w:rPr>
        <w:t xml:space="preserve">The subject site is </w:t>
      </w:r>
      <w:r w:rsidR="005B3AA7" w:rsidRPr="005B3AA7">
        <w:rPr>
          <w:rFonts w:ascii="Arial" w:hAnsi="Arial" w:cs="Arial"/>
          <w:sz w:val="22"/>
          <w:szCs w:val="22"/>
        </w:rPr>
        <w:t>developed specifically for commercial tenants within Central Geelong and the rezoning enables the spaces to be used for a small range of more flexible commercial uses that will enhance the site and liven the activity around the ground floor of the building.</w:t>
      </w:r>
      <w:r w:rsidR="005B3AA7">
        <w:rPr>
          <w:rFonts w:ascii="Arial" w:hAnsi="Arial" w:cs="Arial"/>
          <w:sz w:val="22"/>
          <w:szCs w:val="22"/>
        </w:rPr>
        <w:t xml:space="preserve">  The rezoning will give the owners greater flexibility in their search for tenants.</w:t>
      </w:r>
    </w:p>
    <w:p w:rsidR="00A068E6" w:rsidRDefault="00646305" w:rsidP="00646305">
      <w:pPr>
        <w:pStyle w:val="Heading3"/>
        <w:numPr>
          <w:ilvl w:val="0"/>
          <w:numId w:val="0"/>
        </w:numPr>
        <w:rPr>
          <w:rFonts w:ascii="Arial" w:hAnsi="Arial" w:cs="Arial"/>
          <w:szCs w:val="24"/>
        </w:rPr>
      </w:pPr>
      <w:r w:rsidRPr="00646305">
        <w:rPr>
          <w:rFonts w:ascii="Arial" w:hAnsi="Arial" w:cs="Arial"/>
          <w:szCs w:val="24"/>
        </w:rPr>
        <w:t>How does the amendment address any environmenta</w:t>
      </w:r>
      <w:r w:rsidR="00EE21EB">
        <w:rPr>
          <w:rFonts w:ascii="Arial" w:hAnsi="Arial" w:cs="Arial"/>
          <w:szCs w:val="24"/>
        </w:rPr>
        <w:t>l, social and economic effects?</w:t>
      </w:r>
    </w:p>
    <w:p w:rsidR="00646305" w:rsidRPr="005B3AA7" w:rsidRDefault="007F00B4" w:rsidP="00646305">
      <w:pPr>
        <w:pStyle w:val="StrategicAssessmentText"/>
        <w:ind w:left="0"/>
        <w:rPr>
          <w:rFonts w:ascii="Arial" w:hAnsi="Arial" w:cs="Arial"/>
          <w:sz w:val="22"/>
          <w:szCs w:val="22"/>
        </w:rPr>
      </w:pPr>
      <w:r w:rsidRPr="005B3AA7">
        <w:rPr>
          <w:rFonts w:ascii="Arial" w:hAnsi="Arial" w:cs="Arial"/>
          <w:sz w:val="22"/>
          <w:szCs w:val="22"/>
        </w:rPr>
        <w:t xml:space="preserve">The land has no environment significance, nor will the amendment have any environmental effects. </w:t>
      </w:r>
    </w:p>
    <w:p w:rsidR="006735BA" w:rsidRDefault="007F00B4" w:rsidP="00646305">
      <w:pPr>
        <w:pStyle w:val="StrategicAssessmentText"/>
        <w:ind w:left="0"/>
        <w:rPr>
          <w:rFonts w:ascii="Arial" w:hAnsi="Arial" w:cs="Arial"/>
          <w:sz w:val="22"/>
          <w:szCs w:val="22"/>
        </w:rPr>
      </w:pPr>
      <w:r w:rsidRPr="005B3AA7">
        <w:rPr>
          <w:rFonts w:ascii="Arial" w:hAnsi="Arial" w:cs="Arial"/>
          <w:sz w:val="22"/>
          <w:szCs w:val="22"/>
        </w:rPr>
        <w:t xml:space="preserve">The amendment will assist to maintain and enhance the social and economic vibrancy of the </w:t>
      </w:r>
      <w:r w:rsidR="00AE0804">
        <w:rPr>
          <w:rFonts w:ascii="Arial" w:hAnsi="Arial" w:cs="Arial"/>
          <w:sz w:val="22"/>
          <w:szCs w:val="22"/>
        </w:rPr>
        <w:t>area by</w:t>
      </w:r>
      <w:r w:rsidRPr="006C4A88">
        <w:rPr>
          <w:rFonts w:ascii="Arial" w:hAnsi="Arial" w:cs="Arial"/>
          <w:sz w:val="22"/>
          <w:szCs w:val="22"/>
        </w:rPr>
        <w:t xml:space="preserve"> the provision of ground floor </w:t>
      </w:r>
      <w:r w:rsidR="005B3AA7" w:rsidRPr="006C4A88">
        <w:rPr>
          <w:rFonts w:ascii="Arial" w:hAnsi="Arial" w:cs="Arial"/>
          <w:sz w:val="22"/>
          <w:szCs w:val="22"/>
        </w:rPr>
        <w:t xml:space="preserve">flexible spaces in a purpose built building.  </w:t>
      </w:r>
      <w:r w:rsidRPr="006C4A88">
        <w:rPr>
          <w:rFonts w:ascii="Arial" w:hAnsi="Arial" w:cs="Arial"/>
          <w:sz w:val="22"/>
          <w:szCs w:val="22"/>
        </w:rPr>
        <w:t xml:space="preserve">The amendment will therefore add to the range of commercial services </w:t>
      </w:r>
      <w:r w:rsidR="005B3AA7" w:rsidRPr="006C4A88">
        <w:rPr>
          <w:rFonts w:ascii="Arial" w:hAnsi="Arial" w:cs="Arial"/>
          <w:sz w:val="22"/>
          <w:szCs w:val="22"/>
        </w:rPr>
        <w:t>that can be accommodated within the building</w:t>
      </w:r>
      <w:r w:rsidRPr="006C4A88">
        <w:rPr>
          <w:rFonts w:ascii="Arial" w:hAnsi="Arial" w:cs="Arial"/>
          <w:sz w:val="22"/>
          <w:szCs w:val="22"/>
        </w:rPr>
        <w:t xml:space="preserve">, creating greater employment opportunities and enhancing the </w:t>
      </w:r>
      <w:r w:rsidR="00AE0804">
        <w:rPr>
          <w:rFonts w:ascii="Arial" w:hAnsi="Arial" w:cs="Arial"/>
          <w:sz w:val="22"/>
          <w:szCs w:val="22"/>
        </w:rPr>
        <w:t>amenity</w:t>
      </w:r>
      <w:r w:rsidR="00556655" w:rsidRPr="006C4A88">
        <w:rPr>
          <w:rFonts w:ascii="Arial" w:hAnsi="Arial" w:cs="Arial"/>
          <w:sz w:val="22"/>
          <w:szCs w:val="22"/>
        </w:rPr>
        <w:t xml:space="preserve"> of the area.</w:t>
      </w:r>
    </w:p>
    <w:p w:rsidR="007F00B4" w:rsidRPr="006735BA" w:rsidRDefault="006735BA" w:rsidP="00646305">
      <w:pPr>
        <w:pStyle w:val="StrategicAssessmentText"/>
        <w:ind w:left="0"/>
        <w:rPr>
          <w:rFonts w:ascii="Arial" w:hAnsi="Arial" w:cs="Arial"/>
          <w:snapToGrid w:val="0"/>
          <w:sz w:val="22"/>
          <w:szCs w:val="22"/>
          <w:lang w:eastAsia="en-US"/>
        </w:rPr>
      </w:pPr>
      <w:r>
        <w:rPr>
          <w:rFonts w:ascii="Arial" w:hAnsi="Arial" w:cs="Arial"/>
          <w:snapToGrid w:val="0"/>
          <w:sz w:val="22"/>
          <w:szCs w:val="22"/>
          <w:lang w:eastAsia="en-US"/>
        </w:rPr>
        <w:t>The use of the land for apartments ‘as-of-right’ will not be affected. The building upper levels are owned by Loddon Mallee Housing Services and provide accommodation in 30 apartments. The proposed Mixed Use Zone allows non-residential uses without a permit such as shop, office and food and drink premises (su</w:t>
      </w:r>
      <w:r w:rsidR="00617DA6">
        <w:rPr>
          <w:rFonts w:ascii="Arial" w:hAnsi="Arial" w:cs="Arial"/>
          <w:snapToGrid w:val="0"/>
          <w:sz w:val="22"/>
          <w:szCs w:val="22"/>
          <w:lang w:eastAsia="en-US"/>
        </w:rPr>
        <w:t>bject to floor area limits</w:t>
      </w:r>
      <w:r>
        <w:rPr>
          <w:rFonts w:ascii="Arial" w:hAnsi="Arial" w:cs="Arial"/>
          <w:snapToGrid w:val="0"/>
          <w:sz w:val="22"/>
          <w:szCs w:val="22"/>
          <w:lang w:eastAsia="en-US"/>
        </w:rPr>
        <w:t>), which could be established in an apartment. The scale of any such use</w:t>
      </w:r>
      <w:r w:rsidR="00617DA6">
        <w:rPr>
          <w:rFonts w:ascii="Arial" w:hAnsi="Arial" w:cs="Arial"/>
          <w:snapToGrid w:val="0"/>
          <w:sz w:val="22"/>
          <w:szCs w:val="22"/>
          <w:lang w:eastAsia="en-US"/>
        </w:rPr>
        <w:t xml:space="preserve"> would be minor and not considered to cause</w:t>
      </w:r>
      <w:r>
        <w:rPr>
          <w:rFonts w:ascii="Arial" w:hAnsi="Arial" w:cs="Arial"/>
          <w:snapToGrid w:val="0"/>
          <w:sz w:val="22"/>
          <w:szCs w:val="22"/>
          <w:lang w:eastAsia="en-US"/>
        </w:rPr>
        <w:t xml:space="preserve"> amenity impacts to apartment residents.</w:t>
      </w:r>
    </w:p>
    <w:p w:rsidR="0047628B" w:rsidRPr="0047628B" w:rsidRDefault="0047628B" w:rsidP="00AC418E">
      <w:pPr>
        <w:pStyle w:val="Heading3"/>
        <w:numPr>
          <w:ilvl w:val="0"/>
          <w:numId w:val="0"/>
        </w:numPr>
        <w:rPr>
          <w:rFonts w:ascii="Arial" w:hAnsi="Arial" w:cs="Arial"/>
          <w:szCs w:val="24"/>
        </w:rPr>
      </w:pPr>
      <w:r w:rsidRPr="0047628B">
        <w:rPr>
          <w:rFonts w:ascii="Arial" w:hAnsi="Arial" w:cs="Arial"/>
          <w:szCs w:val="24"/>
        </w:rPr>
        <w:t>Does the amendment address relevant bushfire risk?</w:t>
      </w:r>
    </w:p>
    <w:p w:rsidR="0047628B" w:rsidRPr="00F27102" w:rsidRDefault="00556655" w:rsidP="00AC418E">
      <w:pPr>
        <w:pStyle w:val="StrategicAssessmentText"/>
        <w:ind w:left="0"/>
        <w:rPr>
          <w:rFonts w:ascii="Arial" w:hAnsi="Arial" w:cs="Arial"/>
          <w:snapToGrid w:val="0"/>
          <w:sz w:val="22"/>
          <w:szCs w:val="22"/>
          <w:lang w:eastAsia="en-US"/>
        </w:rPr>
      </w:pPr>
      <w:r>
        <w:rPr>
          <w:rFonts w:ascii="Arial" w:hAnsi="Arial" w:cs="Arial"/>
          <w:snapToGrid w:val="0"/>
          <w:sz w:val="22"/>
          <w:szCs w:val="22"/>
          <w:lang w:eastAsia="en-US"/>
        </w:rPr>
        <w:t xml:space="preserve">The land is not identified as being subject to bushfire risk and therefore does not necessitate the incorporation of measures to minimise risk. </w:t>
      </w:r>
    </w:p>
    <w:p w:rsidR="00A068E6" w:rsidRPr="00420A5B" w:rsidRDefault="00A068E6" w:rsidP="00AC418E">
      <w:pPr>
        <w:pStyle w:val="Heading3"/>
        <w:numPr>
          <w:ilvl w:val="0"/>
          <w:numId w:val="0"/>
        </w:numPr>
        <w:rPr>
          <w:rFonts w:ascii="Arial" w:hAnsi="Arial" w:cs="Arial"/>
          <w:szCs w:val="24"/>
        </w:rPr>
      </w:pPr>
      <w:r w:rsidRPr="00420A5B">
        <w:rPr>
          <w:rFonts w:ascii="Arial" w:hAnsi="Arial" w:cs="Arial"/>
          <w:szCs w:val="24"/>
        </w:rPr>
        <w:t>Does the amendment comply with the requirements of any Minister’s Direction applicable to the amendment?</w:t>
      </w:r>
    </w:p>
    <w:p w:rsidR="0030757B" w:rsidRPr="00F27102" w:rsidRDefault="00556655" w:rsidP="002B21F6">
      <w:pPr>
        <w:pStyle w:val="StrategicAssessmentText"/>
        <w:ind w:left="0"/>
        <w:rPr>
          <w:rFonts w:ascii="Arial" w:hAnsi="Arial" w:cs="Arial"/>
          <w:sz w:val="22"/>
          <w:szCs w:val="22"/>
        </w:rPr>
      </w:pPr>
      <w:r w:rsidRPr="00556655">
        <w:rPr>
          <w:rFonts w:ascii="Arial" w:hAnsi="Arial" w:cs="Arial"/>
          <w:sz w:val="22"/>
          <w:szCs w:val="22"/>
        </w:rPr>
        <w:t xml:space="preserve">The </w:t>
      </w:r>
      <w:r w:rsidR="002B21F6" w:rsidRPr="00EF3398">
        <w:rPr>
          <w:rFonts w:ascii="Arial" w:hAnsi="Arial" w:cs="Arial"/>
          <w:sz w:val="22"/>
          <w:szCs w:val="22"/>
        </w:rPr>
        <w:t>amendment is consistent with the Ministerial Direction regarding the form and content of Planning Schemes under section 7(5) of the Act and Ministerial Direction No. 11 – Strat</w:t>
      </w:r>
      <w:r w:rsidR="002B21F6">
        <w:rPr>
          <w:rFonts w:ascii="Arial" w:hAnsi="Arial" w:cs="Arial"/>
          <w:sz w:val="22"/>
          <w:szCs w:val="22"/>
        </w:rPr>
        <w:t>egic Assessment of Amendments.</w:t>
      </w:r>
    </w:p>
    <w:p w:rsidR="00A068E6" w:rsidRPr="00420A5B" w:rsidRDefault="00A068E6" w:rsidP="00AC418E">
      <w:pPr>
        <w:pStyle w:val="Heading3"/>
        <w:numPr>
          <w:ilvl w:val="0"/>
          <w:numId w:val="0"/>
        </w:numPr>
        <w:rPr>
          <w:rFonts w:ascii="Arial" w:hAnsi="Arial" w:cs="Arial"/>
          <w:szCs w:val="24"/>
        </w:rPr>
      </w:pPr>
      <w:r w:rsidRPr="00420A5B">
        <w:rPr>
          <w:rFonts w:ascii="Arial" w:hAnsi="Arial" w:cs="Arial"/>
          <w:szCs w:val="24"/>
        </w:rPr>
        <w:t xml:space="preserve">How does the amendment support or implement the </w:t>
      </w:r>
      <w:r w:rsidR="007A4DF1">
        <w:rPr>
          <w:rFonts w:ascii="Arial" w:hAnsi="Arial" w:cs="Arial"/>
          <w:szCs w:val="24"/>
        </w:rPr>
        <w:t>State Planning Policy Framework and any adopted State policy?</w:t>
      </w:r>
    </w:p>
    <w:p w:rsidR="005D5D08" w:rsidRPr="006C4A88" w:rsidRDefault="00DF4F36" w:rsidP="00AC418E">
      <w:pPr>
        <w:pStyle w:val="StrategicAssessmentText"/>
        <w:ind w:left="0"/>
        <w:rPr>
          <w:rFonts w:ascii="Arial" w:hAnsi="Arial" w:cs="Arial"/>
          <w:snapToGrid w:val="0"/>
          <w:sz w:val="22"/>
          <w:szCs w:val="22"/>
          <w:lang w:eastAsia="en-US"/>
        </w:rPr>
      </w:pPr>
      <w:r w:rsidRPr="006C4A88">
        <w:rPr>
          <w:rFonts w:ascii="Arial" w:hAnsi="Arial" w:cs="Arial"/>
          <w:snapToGrid w:val="0"/>
          <w:sz w:val="22"/>
          <w:szCs w:val="22"/>
          <w:lang w:eastAsia="en-US"/>
        </w:rPr>
        <w:t>The amendment is consistent with the State Planning Policy Framework as follows:</w:t>
      </w:r>
    </w:p>
    <w:p w:rsidR="00DF4F36" w:rsidRPr="006C4A88" w:rsidRDefault="00DF4F36" w:rsidP="00AC418E">
      <w:pPr>
        <w:pStyle w:val="StrategicAssessmentText"/>
        <w:ind w:left="0"/>
        <w:rPr>
          <w:rFonts w:ascii="Arial" w:hAnsi="Arial" w:cs="Arial"/>
          <w:snapToGrid w:val="0"/>
          <w:sz w:val="22"/>
          <w:szCs w:val="22"/>
          <w:u w:val="single"/>
          <w:lang w:eastAsia="en-US"/>
        </w:rPr>
      </w:pPr>
      <w:r w:rsidRPr="006C4A88">
        <w:rPr>
          <w:rFonts w:ascii="Arial" w:hAnsi="Arial" w:cs="Arial"/>
          <w:snapToGrid w:val="0"/>
          <w:sz w:val="22"/>
          <w:szCs w:val="22"/>
          <w:u w:val="single"/>
          <w:lang w:eastAsia="en-US"/>
        </w:rPr>
        <w:t>Clause 11.01 Activity Centres</w:t>
      </w:r>
    </w:p>
    <w:p w:rsidR="002B21F6" w:rsidRPr="006C4A88" w:rsidRDefault="00DF4F36" w:rsidP="00AC418E">
      <w:pPr>
        <w:pStyle w:val="StrategicAssessmentText"/>
        <w:ind w:left="0"/>
        <w:rPr>
          <w:rFonts w:ascii="Arial" w:hAnsi="Arial" w:cs="Arial"/>
          <w:snapToGrid w:val="0"/>
          <w:sz w:val="22"/>
          <w:szCs w:val="22"/>
          <w:lang w:eastAsia="en-US"/>
        </w:rPr>
      </w:pPr>
      <w:r w:rsidRPr="006C4A88">
        <w:rPr>
          <w:rFonts w:ascii="Arial" w:hAnsi="Arial" w:cs="Arial"/>
          <w:snapToGrid w:val="0"/>
          <w:sz w:val="22"/>
          <w:szCs w:val="22"/>
          <w:lang w:eastAsia="en-US"/>
        </w:rPr>
        <w:t xml:space="preserve">The objectives of Clause 11.01 include to build up activity centres as a focus for high-quality development, activity and living, and to encourage the concentration of major retail, </w:t>
      </w:r>
      <w:r w:rsidRPr="006C4A88">
        <w:rPr>
          <w:rFonts w:ascii="Arial" w:hAnsi="Arial" w:cs="Arial"/>
          <w:snapToGrid w:val="0"/>
          <w:sz w:val="22"/>
          <w:szCs w:val="22"/>
          <w:lang w:eastAsia="en-US"/>
        </w:rPr>
        <w:lastRenderedPageBreak/>
        <w:t>residential, commercial, administrative, entertainment and cultural developments into activity centres which provide a variety of land uses and are highly accessible to the community.  The amendment is consistent with</w:t>
      </w:r>
      <w:r w:rsidR="0001777F" w:rsidRPr="006C4A88">
        <w:rPr>
          <w:rFonts w:ascii="Arial" w:hAnsi="Arial" w:cs="Arial"/>
          <w:snapToGrid w:val="0"/>
          <w:sz w:val="22"/>
          <w:szCs w:val="22"/>
          <w:lang w:eastAsia="en-US"/>
        </w:rPr>
        <w:t xml:space="preserve"> this clause as </w:t>
      </w:r>
      <w:r w:rsidR="006C4A88" w:rsidRPr="006C4A88">
        <w:rPr>
          <w:rFonts w:ascii="Arial" w:hAnsi="Arial" w:cs="Arial"/>
          <w:snapToGrid w:val="0"/>
          <w:sz w:val="22"/>
          <w:szCs w:val="22"/>
          <w:lang w:eastAsia="en-US"/>
        </w:rPr>
        <w:t>the small scale of the ground floor tenancies will not compete with the Central Geelong Retail Core.</w:t>
      </w:r>
      <w:r w:rsidR="0001777F" w:rsidRPr="006C4A88">
        <w:rPr>
          <w:rFonts w:ascii="Arial" w:hAnsi="Arial" w:cs="Arial"/>
          <w:snapToGrid w:val="0"/>
          <w:sz w:val="22"/>
          <w:szCs w:val="22"/>
          <w:lang w:eastAsia="en-US"/>
        </w:rPr>
        <w:t xml:space="preserve"> </w:t>
      </w:r>
    </w:p>
    <w:p w:rsidR="0001777F" w:rsidRPr="006C4A88" w:rsidRDefault="0001777F" w:rsidP="00AC418E">
      <w:pPr>
        <w:pStyle w:val="StrategicAssessmentText"/>
        <w:ind w:left="0"/>
        <w:rPr>
          <w:rFonts w:ascii="Arial" w:hAnsi="Arial" w:cs="Arial"/>
          <w:snapToGrid w:val="0"/>
          <w:sz w:val="22"/>
          <w:szCs w:val="22"/>
          <w:u w:val="single"/>
          <w:lang w:eastAsia="en-US"/>
        </w:rPr>
      </w:pPr>
      <w:r w:rsidRPr="006C4A88">
        <w:rPr>
          <w:rFonts w:ascii="Arial" w:hAnsi="Arial" w:cs="Arial"/>
          <w:snapToGrid w:val="0"/>
          <w:sz w:val="22"/>
          <w:szCs w:val="22"/>
          <w:u w:val="single"/>
          <w:lang w:eastAsia="en-US"/>
        </w:rPr>
        <w:t>Clause 17 Economic Development</w:t>
      </w:r>
    </w:p>
    <w:p w:rsidR="0001777F" w:rsidRPr="0001777F" w:rsidRDefault="0001777F" w:rsidP="0001777F">
      <w:pPr>
        <w:pStyle w:val="StrategicAssessmentText"/>
        <w:ind w:left="0"/>
        <w:rPr>
          <w:rFonts w:ascii="Arial" w:hAnsi="Arial" w:cs="Arial"/>
          <w:snapToGrid w:val="0"/>
          <w:sz w:val="22"/>
          <w:szCs w:val="22"/>
          <w:lang w:eastAsia="en-US"/>
        </w:rPr>
      </w:pPr>
      <w:r w:rsidRPr="006C4A88">
        <w:rPr>
          <w:rFonts w:ascii="Arial" w:hAnsi="Arial" w:cs="Arial"/>
          <w:snapToGrid w:val="0"/>
          <w:sz w:val="22"/>
          <w:szCs w:val="22"/>
          <w:lang w:eastAsia="en-US"/>
        </w:rPr>
        <w:t xml:space="preserve">Clause 17.01 seeks to encourage development which meet the communities’ needs for retail, entertainment, office and other commercial services and provides net community benefit in relation to accessibility, efficient infrastructure use and the aggregation and sustainability of commercial facilities, whilst the strategy seeks to locate commercial facilities in existing centres.  The proposal is consistent with </w:t>
      </w:r>
      <w:r w:rsidR="006C4A88" w:rsidRPr="006C4A88">
        <w:rPr>
          <w:rFonts w:ascii="Arial" w:hAnsi="Arial" w:cs="Arial"/>
          <w:snapToGrid w:val="0"/>
          <w:sz w:val="22"/>
          <w:szCs w:val="22"/>
          <w:lang w:eastAsia="en-US"/>
        </w:rPr>
        <w:t>this clause as it provides for potential</w:t>
      </w:r>
      <w:r w:rsidRPr="006C4A88">
        <w:rPr>
          <w:rFonts w:ascii="Arial" w:hAnsi="Arial" w:cs="Arial"/>
          <w:snapToGrid w:val="0"/>
          <w:sz w:val="22"/>
          <w:szCs w:val="22"/>
          <w:lang w:eastAsia="en-US"/>
        </w:rPr>
        <w:t xml:space="preserve"> small </w:t>
      </w:r>
      <w:r w:rsidR="006C4A88" w:rsidRPr="006C4A88">
        <w:rPr>
          <w:rFonts w:ascii="Arial" w:hAnsi="Arial" w:cs="Arial"/>
          <w:snapToGrid w:val="0"/>
          <w:sz w:val="22"/>
          <w:szCs w:val="22"/>
          <w:lang w:eastAsia="en-US"/>
        </w:rPr>
        <w:t xml:space="preserve">office, retail, medical of food and drink premises </w:t>
      </w:r>
      <w:r w:rsidRPr="006C4A88">
        <w:rPr>
          <w:rFonts w:ascii="Arial" w:hAnsi="Arial" w:cs="Arial"/>
          <w:snapToGrid w:val="0"/>
          <w:sz w:val="22"/>
          <w:szCs w:val="22"/>
          <w:lang w:eastAsia="en-US"/>
        </w:rPr>
        <w:t xml:space="preserve">within </w:t>
      </w:r>
      <w:r w:rsidR="006C4A88" w:rsidRPr="006C4A88">
        <w:rPr>
          <w:rFonts w:ascii="Arial" w:hAnsi="Arial" w:cs="Arial"/>
          <w:snapToGrid w:val="0"/>
          <w:sz w:val="22"/>
          <w:szCs w:val="22"/>
          <w:lang w:eastAsia="en-US"/>
        </w:rPr>
        <w:t>a purpose built commercial tenancy</w:t>
      </w:r>
      <w:r w:rsidRPr="006C4A88">
        <w:rPr>
          <w:rFonts w:ascii="Arial" w:hAnsi="Arial" w:cs="Arial"/>
          <w:snapToGrid w:val="0"/>
          <w:sz w:val="22"/>
          <w:szCs w:val="22"/>
          <w:lang w:eastAsia="en-US"/>
        </w:rPr>
        <w:t>.</w:t>
      </w:r>
    </w:p>
    <w:p w:rsidR="00A068E6" w:rsidRPr="00420A5B" w:rsidRDefault="00A068E6" w:rsidP="00AC418E">
      <w:pPr>
        <w:pStyle w:val="Heading3"/>
        <w:numPr>
          <w:ilvl w:val="0"/>
          <w:numId w:val="0"/>
        </w:numPr>
        <w:rPr>
          <w:rFonts w:ascii="Arial" w:hAnsi="Arial" w:cs="Arial"/>
          <w:szCs w:val="24"/>
        </w:rPr>
      </w:pPr>
      <w:r w:rsidRPr="00420A5B">
        <w:rPr>
          <w:rFonts w:ascii="Arial" w:hAnsi="Arial" w:cs="Arial"/>
          <w:szCs w:val="24"/>
        </w:rPr>
        <w:t>How does the amendment support or implement the Local Planning Policy Framework</w:t>
      </w:r>
      <w:r w:rsidR="007A4DF1">
        <w:rPr>
          <w:rFonts w:ascii="Arial" w:hAnsi="Arial" w:cs="Arial"/>
          <w:szCs w:val="24"/>
        </w:rPr>
        <w:t>, and specifically the Municipal Strategic Statement?</w:t>
      </w:r>
    </w:p>
    <w:p w:rsidR="009E1DB8" w:rsidRPr="006C4A88" w:rsidRDefault="009E1DB8" w:rsidP="009E1DB8">
      <w:pPr>
        <w:pStyle w:val="StrategicAssessmentText"/>
        <w:ind w:left="0"/>
        <w:rPr>
          <w:rFonts w:ascii="Arial" w:hAnsi="Arial" w:cs="Arial"/>
          <w:snapToGrid w:val="0"/>
          <w:sz w:val="22"/>
          <w:szCs w:val="22"/>
          <w:u w:val="single"/>
          <w:lang w:eastAsia="en-US"/>
        </w:rPr>
      </w:pPr>
      <w:r w:rsidRPr="006C4A88">
        <w:rPr>
          <w:rFonts w:ascii="Arial" w:hAnsi="Arial" w:cs="Arial"/>
          <w:snapToGrid w:val="0"/>
          <w:sz w:val="22"/>
          <w:szCs w:val="22"/>
          <w:u w:val="single"/>
          <w:lang w:eastAsia="en-US"/>
        </w:rPr>
        <w:t>Clause 21.07 Economic Development and Employment</w:t>
      </w:r>
    </w:p>
    <w:p w:rsidR="006C4A88" w:rsidRDefault="009E1DB8" w:rsidP="009E1DB8">
      <w:pPr>
        <w:pStyle w:val="StrategicAssessmentText"/>
        <w:ind w:left="0"/>
        <w:rPr>
          <w:rFonts w:ascii="Arial" w:hAnsi="Arial" w:cs="Arial"/>
          <w:snapToGrid w:val="0"/>
          <w:sz w:val="22"/>
          <w:szCs w:val="22"/>
          <w:lang w:eastAsia="en-US"/>
        </w:rPr>
      </w:pPr>
      <w:r w:rsidRPr="006C4A88">
        <w:rPr>
          <w:rFonts w:ascii="Arial" w:hAnsi="Arial" w:cs="Arial"/>
          <w:snapToGrid w:val="0"/>
          <w:sz w:val="22"/>
          <w:szCs w:val="22"/>
          <w:lang w:eastAsia="en-US"/>
        </w:rPr>
        <w:t xml:space="preserve">Clause 21.07 identifies that there is a need to ensure a mix of commercial uses in activity centres and </w:t>
      </w:r>
      <w:r w:rsidR="006C4A88" w:rsidRPr="006C4A88">
        <w:rPr>
          <w:rFonts w:ascii="Arial" w:hAnsi="Arial" w:cs="Arial"/>
          <w:snapToGrid w:val="0"/>
          <w:sz w:val="22"/>
          <w:szCs w:val="22"/>
          <w:lang w:eastAsia="en-US"/>
        </w:rPr>
        <w:t>to protect the retail hierarchy identified in the Geelong Re</w:t>
      </w:r>
      <w:r w:rsidR="00F44D5D">
        <w:rPr>
          <w:rFonts w:ascii="Arial" w:hAnsi="Arial" w:cs="Arial"/>
          <w:snapToGrid w:val="0"/>
          <w:sz w:val="22"/>
          <w:szCs w:val="22"/>
          <w:lang w:eastAsia="en-US"/>
        </w:rPr>
        <w:t xml:space="preserve">tail Strategy.  The </w:t>
      </w:r>
      <w:r w:rsidR="006C4A88" w:rsidRPr="006C4A88">
        <w:rPr>
          <w:rFonts w:ascii="Arial" w:hAnsi="Arial" w:cs="Arial"/>
          <w:snapToGrid w:val="0"/>
          <w:sz w:val="22"/>
          <w:szCs w:val="22"/>
          <w:lang w:eastAsia="en-US"/>
        </w:rPr>
        <w:t>sma</w:t>
      </w:r>
      <w:r w:rsidR="00F44D5D">
        <w:rPr>
          <w:rFonts w:ascii="Arial" w:hAnsi="Arial" w:cs="Arial"/>
          <w:snapToGrid w:val="0"/>
          <w:sz w:val="22"/>
          <w:szCs w:val="22"/>
          <w:lang w:eastAsia="en-US"/>
        </w:rPr>
        <w:t xml:space="preserve">ll area of the three tenancies </w:t>
      </w:r>
      <w:r w:rsidR="00E87E44">
        <w:rPr>
          <w:rFonts w:ascii="Arial" w:hAnsi="Arial" w:cs="Arial"/>
          <w:snapToGrid w:val="0"/>
          <w:sz w:val="22"/>
          <w:szCs w:val="22"/>
          <w:lang w:eastAsia="en-US"/>
        </w:rPr>
        <w:t xml:space="preserve">– </w:t>
      </w:r>
      <w:r w:rsidR="00F44D5D">
        <w:rPr>
          <w:rFonts w:ascii="Arial" w:hAnsi="Arial" w:cs="Arial"/>
          <w:snapToGrid w:val="0"/>
          <w:sz w:val="22"/>
          <w:szCs w:val="22"/>
          <w:lang w:eastAsia="en-US"/>
        </w:rPr>
        <w:t>at a total of 225.05m²</w:t>
      </w:r>
      <w:r w:rsidR="00E87E44">
        <w:rPr>
          <w:rFonts w:ascii="Arial" w:hAnsi="Arial" w:cs="Arial"/>
          <w:snapToGrid w:val="0"/>
          <w:sz w:val="22"/>
          <w:szCs w:val="22"/>
          <w:lang w:eastAsia="en-US"/>
        </w:rPr>
        <w:t xml:space="preserve">, </w:t>
      </w:r>
      <w:r w:rsidR="006C4A88" w:rsidRPr="006C4A88">
        <w:rPr>
          <w:rFonts w:ascii="Arial" w:hAnsi="Arial" w:cs="Arial"/>
          <w:snapToGrid w:val="0"/>
          <w:sz w:val="22"/>
          <w:szCs w:val="22"/>
          <w:lang w:eastAsia="en-US"/>
        </w:rPr>
        <w:t xml:space="preserve">will have no impact on the retail hierarchy and is policy neutral when assessed against this policy. </w:t>
      </w:r>
    </w:p>
    <w:p w:rsidR="00F44D5D" w:rsidRDefault="00F44D5D" w:rsidP="009E1DB8">
      <w:pPr>
        <w:pStyle w:val="StrategicAssessmentText"/>
        <w:ind w:left="0"/>
        <w:rPr>
          <w:rFonts w:ascii="Arial" w:hAnsi="Arial" w:cs="Arial"/>
          <w:snapToGrid w:val="0"/>
          <w:sz w:val="22"/>
          <w:szCs w:val="22"/>
          <w:lang w:eastAsia="en-US"/>
        </w:rPr>
      </w:pPr>
      <w:r>
        <w:rPr>
          <w:rFonts w:ascii="Arial" w:hAnsi="Arial" w:cs="Arial"/>
          <w:snapToGrid w:val="0"/>
          <w:sz w:val="22"/>
          <w:szCs w:val="22"/>
          <w:lang w:eastAsia="en-US"/>
        </w:rPr>
        <w:t xml:space="preserve">Given that the building upper levels will also be rezoned to the Mixed Use Zone there are a limited range of commercial uses allowable as-of-right, subject to floor area limits. The most relevant uses include shop, office and food and drink premises, though permits would be required for </w:t>
      </w:r>
      <w:r w:rsidR="00C41811">
        <w:rPr>
          <w:rFonts w:ascii="Arial" w:hAnsi="Arial" w:cs="Arial"/>
          <w:snapToGrid w:val="0"/>
          <w:sz w:val="22"/>
          <w:szCs w:val="22"/>
          <w:lang w:eastAsia="en-US"/>
        </w:rPr>
        <w:t>car parking exemptions. Without ground level exposure, shops and food premise</w:t>
      </w:r>
      <w:r w:rsidR="00D96151">
        <w:rPr>
          <w:rFonts w:ascii="Arial" w:hAnsi="Arial" w:cs="Arial"/>
          <w:snapToGrid w:val="0"/>
          <w:sz w:val="22"/>
          <w:szCs w:val="22"/>
          <w:lang w:eastAsia="en-US"/>
        </w:rPr>
        <w:t>s are highly unlikely</w:t>
      </w:r>
      <w:r w:rsidR="00C41811">
        <w:rPr>
          <w:rFonts w:ascii="Arial" w:hAnsi="Arial" w:cs="Arial"/>
          <w:snapToGrid w:val="0"/>
          <w:sz w:val="22"/>
          <w:szCs w:val="22"/>
          <w:lang w:eastAsia="en-US"/>
        </w:rPr>
        <w:t>, while small offices or specialist medica</w:t>
      </w:r>
      <w:r w:rsidR="00E87E44">
        <w:rPr>
          <w:rFonts w:ascii="Arial" w:hAnsi="Arial" w:cs="Arial"/>
          <w:snapToGrid w:val="0"/>
          <w:sz w:val="22"/>
          <w:szCs w:val="22"/>
          <w:lang w:eastAsia="en-US"/>
        </w:rPr>
        <w:t>l clinics wo</w:t>
      </w:r>
      <w:r w:rsidR="00D96151">
        <w:rPr>
          <w:rFonts w:ascii="Arial" w:hAnsi="Arial" w:cs="Arial"/>
          <w:snapToGrid w:val="0"/>
          <w:sz w:val="22"/>
          <w:szCs w:val="22"/>
          <w:lang w:eastAsia="en-US"/>
        </w:rPr>
        <w:t>uld be more suited though still</w:t>
      </w:r>
      <w:r w:rsidR="00D10FFD">
        <w:rPr>
          <w:rFonts w:ascii="Arial" w:hAnsi="Arial" w:cs="Arial"/>
          <w:snapToGrid w:val="0"/>
          <w:sz w:val="22"/>
          <w:szCs w:val="22"/>
          <w:lang w:eastAsia="en-US"/>
        </w:rPr>
        <w:t xml:space="preserve"> </w:t>
      </w:r>
      <w:r w:rsidR="00E87E44">
        <w:rPr>
          <w:rFonts w:ascii="Arial" w:hAnsi="Arial" w:cs="Arial"/>
          <w:snapToGrid w:val="0"/>
          <w:sz w:val="22"/>
          <w:szCs w:val="22"/>
          <w:lang w:eastAsia="en-US"/>
        </w:rPr>
        <w:t xml:space="preserve">unlikely. Any office or medical use </w:t>
      </w:r>
      <w:r w:rsidR="00E45EE6">
        <w:rPr>
          <w:rFonts w:ascii="Arial" w:hAnsi="Arial" w:cs="Arial"/>
          <w:snapToGrid w:val="0"/>
          <w:sz w:val="22"/>
          <w:szCs w:val="22"/>
          <w:lang w:eastAsia="en-US"/>
        </w:rPr>
        <w:t>is</w:t>
      </w:r>
      <w:r w:rsidR="00E87E44">
        <w:rPr>
          <w:rFonts w:ascii="Arial" w:hAnsi="Arial" w:cs="Arial"/>
          <w:snapToGrid w:val="0"/>
          <w:sz w:val="22"/>
          <w:szCs w:val="22"/>
          <w:lang w:eastAsia="en-US"/>
        </w:rPr>
        <w:t xml:space="preserve"> not </w:t>
      </w:r>
      <w:r w:rsidR="00E45EE6">
        <w:rPr>
          <w:rFonts w:ascii="Arial" w:hAnsi="Arial" w:cs="Arial"/>
          <w:snapToGrid w:val="0"/>
          <w:sz w:val="22"/>
          <w:szCs w:val="22"/>
          <w:lang w:eastAsia="en-US"/>
        </w:rPr>
        <w:t xml:space="preserve">considered to </w:t>
      </w:r>
      <w:r w:rsidR="00E87E44">
        <w:rPr>
          <w:rFonts w:ascii="Arial" w:hAnsi="Arial" w:cs="Arial"/>
          <w:snapToGrid w:val="0"/>
          <w:sz w:val="22"/>
          <w:szCs w:val="22"/>
          <w:lang w:eastAsia="en-US"/>
        </w:rPr>
        <w:t>affect the retail hierarchy.</w:t>
      </w:r>
    </w:p>
    <w:p w:rsidR="003A1926" w:rsidRPr="003A1926" w:rsidRDefault="003A1926" w:rsidP="009E1DB8">
      <w:pPr>
        <w:pStyle w:val="StrategicAssessmentText"/>
        <w:ind w:left="0"/>
        <w:rPr>
          <w:rFonts w:ascii="Arial" w:hAnsi="Arial" w:cs="Arial"/>
          <w:snapToGrid w:val="0"/>
          <w:sz w:val="22"/>
          <w:szCs w:val="22"/>
          <w:u w:val="single"/>
          <w:lang w:eastAsia="en-US"/>
        </w:rPr>
      </w:pPr>
      <w:r w:rsidRPr="003A1926">
        <w:rPr>
          <w:rFonts w:ascii="Arial" w:hAnsi="Arial" w:cs="Arial"/>
          <w:snapToGrid w:val="0"/>
          <w:sz w:val="22"/>
          <w:szCs w:val="22"/>
          <w:u w:val="single"/>
          <w:lang w:eastAsia="en-US"/>
        </w:rPr>
        <w:t xml:space="preserve">Clause 21.09 Central Geelong </w:t>
      </w:r>
    </w:p>
    <w:p w:rsidR="003A1926" w:rsidRPr="006C4A88" w:rsidRDefault="00D30A41" w:rsidP="009E1DB8">
      <w:pPr>
        <w:pStyle w:val="StrategicAssessmentText"/>
        <w:ind w:left="0"/>
        <w:rPr>
          <w:rFonts w:ascii="Arial" w:hAnsi="Arial" w:cs="Arial"/>
          <w:snapToGrid w:val="0"/>
          <w:sz w:val="22"/>
          <w:szCs w:val="22"/>
          <w:lang w:eastAsia="en-US"/>
        </w:rPr>
      </w:pPr>
      <w:r>
        <w:rPr>
          <w:rFonts w:ascii="Arial" w:hAnsi="Arial" w:cs="Arial"/>
          <w:snapToGrid w:val="0"/>
          <w:sz w:val="22"/>
          <w:szCs w:val="22"/>
          <w:lang w:eastAsia="en-US"/>
        </w:rPr>
        <w:t xml:space="preserve">The Central Geelong strategy defines the boundaries of </w:t>
      </w:r>
      <w:r w:rsidR="0057210C">
        <w:rPr>
          <w:rFonts w:ascii="Arial" w:hAnsi="Arial" w:cs="Arial"/>
          <w:snapToGrid w:val="0"/>
          <w:sz w:val="22"/>
          <w:szCs w:val="22"/>
          <w:lang w:eastAsia="en-US"/>
        </w:rPr>
        <w:t xml:space="preserve">Central Geelong and divides it into precincts. The site is located in the ‘Residential’ precinct where the key land use is inner city living. </w:t>
      </w:r>
      <w:r w:rsidR="000C1ACB">
        <w:rPr>
          <w:rFonts w:ascii="Arial" w:hAnsi="Arial" w:cs="Arial"/>
          <w:snapToGrid w:val="0"/>
          <w:sz w:val="22"/>
          <w:szCs w:val="22"/>
          <w:lang w:eastAsia="en-US"/>
        </w:rPr>
        <w:t>The proposed Mixed Use Zone sits within the residential suite of zones and is therefore complimentary to the primary purpose of the precinct. The apartment complex will continue to function primarily as a residential use.</w:t>
      </w:r>
    </w:p>
    <w:p w:rsidR="009E1DB8" w:rsidRPr="00AD1789" w:rsidRDefault="009E1DB8" w:rsidP="009E1DB8">
      <w:pPr>
        <w:pStyle w:val="StrategicAssessmentText"/>
        <w:ind w:left="0"/>
        <w:rPr>
          <w:rFonts w:ascii="Arial" w:hAnsi="Arial" w:cs="Arial"/>
          <w:snapToGrid w:val="0"/>
          <w:sz w:val="22"/>
          <w:szCs w:val="22"/>
          <w:u w:val="single"/>
          <w:lang w:eastAsia="en-US"/>
        </w:rPr>
      </w:pPr>
      <w:r w:rsidRPr="00AD1789">
        <w:rPr>
          <w:rFonts w:ascii="Arial" w:hAnsi="Arial" w:cs="Arial"/>
          <w:snapToGrid w:val="0"/>
          <w:sz w:val="22"/>
          <w:szCs w:val="22"/>
          <w:u w:val="single"/>
          <w:lang w:eastAsia="en-US"/>
        </w:rPr>
        <w:t>Clause 22.03 Assessment Criteria for Retail Planning Applications</w:t>
      </w:r>
    </w:p>
    <w:p w:rsidR="005D5D08" w:rsidRDefault="009E1DB8" w:rsidP="00AC418E">
      <w:pPr>
        <w:pStyle w:val="StrategicAssessmentText"/>
        <w:ind w:left="0"/>
        <w:rPr>
          <w:rFonts w:ascii="Arial" w:hAnsi="Arial" w:cs="Arial"/>
          <w:snapToGrid w:val="0"/>
          <w:sz w:val="22"/>
          <w:szCs w:val="22"/>
          <w:lang w:eastAsia="en-US"/>
        </w:rPr>
      </w:pPr>
      <w:r w:rsidRPr="00AD1789">
        <w:rPr>
          <w:rFonts w:ascii="Arial" w:hAnsi="Arial" w:cs="Arial"/>
          <w:snapToGrid w:val="0"/>
          <w:sz w:val="22"/>
          <w:szCs w:val="22"/>
          <w:lang w:eastAsia="en-US"/>
        </w:rPr>
        <w:t>This policy sets out retail assessment criteria which are to be used as a basis for considering applications for new or expanded retail floor</w:t>
      </w:r>
      <w:r w:rsidR="003A1926">
        <w:rPr>
          <w:rFonts w:ascii="Arial" w:hAnsi="Arial" w:cs="Arial"/>
          <w:snapToGrid w:val="0"/>
          <w:sz w:val="22"/>
          <w:szCs w:val="22"/>
          <w:lang w:eastAsia="en-US"/>
        </w:rPr>
        <w:t xml:space="preserve"> </w:t>
      </w:r>
      <w:r w:rsidR="00E45EE6">
        <w:rPr>
          <w:rFonts w:ascii="Arial" w:hAnsi="Arial" w:cs="Arial"/>
          <w:snapToGrid w:val="0"/>
          <w:sz w:val="22"/>
          <w:szCs w:val="22"/>
          <w:lang w:eastAsia="en-US"/>
        </w:rPr>
        <w:t xml:space="preserve">space. </w:t>
      </w:r>
      <w:r w:rsidRPr="00AD1789">
        <w:rPr>
          <w:rFonts w:ascii="Arial" w:hAnsi="Arial" w:cs="Arial"/>
          <w:snapToGrid w:val="0"/>
          <w:sz w:val="22"/>
          <w:szCs w:val="22"/>
          <w:lang w:eastAsia="en-US"/>
        </w:rPr>
        <w:t xml:space="preserve">The amendment seeks </w:t>
      </w:r>
      <w:r w:rsidR="009D25D8">
        <w:rPr>
          <w:rFonts w:ascii="Arial" w:hAnsi="Arial" w:cs="Arial"/>
          <w:snapToGrid w:val="0"/>
          <w:sz w:val="22"/>
          <w:szCs w:val="22"/>
          <w:lang w:eastAsia="en-US"/>
        </w:rPr>
        <w:t>to allow a greater range of ground floor commercial tenancy uses. H</w:t>
      </w:r>
      <w:r w:rsidR="00AD1789" w:rsidRPr="00AD1789">
        <w:rPr>
          <w:rFonts w:ascii="Arial" w:hAnsi="Arial" w:cs="Arial"/>
          <w:snapToGrid w:val="0"/>
          <w:sz w:val="22"/>
          <w:szCs w:val="22"/>
          <w:lang w:eastAsia="en-US"/>
        </w:rPr>
        <w:t xml:space="preserve">owever given the very minor </w:t>
      </w:r>
      <w:r w:rsidR="00EE639E">
        <w:rPr>
          <w:rFonts w:ascii="Arial" w:hAnsi="Arial" w:cs="Arial"/>
          <w:snapToGrid w:val="0"/>
          <w:sz w:val="22"/>
          <w:szCs w:val="22"/>
          <w:lang w:eastAsia="en-US"/>
        </w:rPr>
        <w:t xml:space="preserve">total </w:t>
      </w:r>
      <w:r w:rsidR="00AD1789" w:rsidRPr="00AD1789">
        <w:rPr>
          <w:rFonts w:ascii="Arial" w:hAnsi="Arial" w:cs="Arial"/>
          <w:snapToGrid w:val="0"/>
          <w:sz w:val="22"/>
          <w:szCs w:val="22"/>
          <w:lang w:eastAsia="en-US"/>
        </w:rPr>
        <w:t xml:space="preserve">floor area of 225.05m², </w:t>
      </w:r>
      <w:r w:rsidR="00EE639E">
        <w:rPr>
          <w:rFonts w:ascii="Arial" w:hAnsi="Arial" w:cs="Arial"/>
          <w:snapToGrid w:val="0"/>
          <w:sz w:val="22"/>
          <w:szCs w:val="22"/>
          <w:lang w:eastAsia="en-US"/>
        </w:rPr>
        <w:t xml:space="preserve">any </w:t>
      </w:r>
      <w:r w:rsidR="009D25D8">
        <w:rPr>
          <w:rFonts w:ascii="Arial" w:hAnsi="Arial" w:cs="Arial"/>
          <w:snapToGrid w:val="0"/>
          <w:sz w:val="22"/>
          <w:szCs w:val="22"/>
          <w:lang w:eastAsia="en-US"/>
        </w:rPr>
        <w:t xml:space="preserve">adverse </w:t>
      </w:r>
      <w:r w:rsidR="00EE639E">
        <w:rPr>
          <w:rFonts w:ascii="Arial" w:hAnsi="Arial" w:cs="Arial"/>
          <w:snapToGrid w:val="0"/>
          <w:sz w:val="22"/>
          <w:szCs w:val="22"/>
          <w:lang w:eastAsia="en-US"/>
        </w:rPr>
        <w:t xml:space="preserve">economic impact </w:t>
      </w:r>
      <w:r w:rsidR="009D25D8">
        <w:rPr>
          <w:rFonts w:ascii="Arial" w:hAnsi="Arial" w:cs="Arial"/>
          <w:snapToGrid w:val="0"/>
          <w:sz w:val="22"/>
          <w:szCs w:val="22"/>
          <w:lang w:eastAsia="en-US"/>
        </w:rPr>
        <w:t xml:space="preserve">to the Geelong Retail Hierarchy </w:t>
      </w:r>
      <w:r w:rsidR="001629C5">
        <w:rPr>
          <w:rFonts w:ascii="Arial" w:hAnsi="Arial" w:cs="Arial"/>
          <w:snapToGrid w:val="0"/>
          <w:sz w:val="22"/>
          <w:szCs w:val="22"/>
          <w:lang w:eastAsia="en-US"/>
        </w:rPr>
        <w:t>would be</w:t>
      </w:r>
      <w:r w:rsidR="00EE639E">
        <w:rPr>
          <w:rFonts w:ascii="Arial" w:hAnsi="Arial" w:cs="Arial"/>
          <w:snapToGrid w:val="0"/>
          <w:sz w:val="22"/>
          <w:szCs w:val="22"/>
          <w:lang w:eastAsia="en-US"/>
        </w:rPr>
        <w:t xml:space="preserve"> negligible</w:t>
      </w:r>
      <w:r w:rsidRPr="00AD1789">
        <w:rPr>
          <w:rFonts w:ascii="Arial" w:hAnsi="Arial" w:cs="Arial"/>
          <w:snapToGrid w:val="0"/>
          <w:sz w:val="22"/>
          <w:szCs w:val="22"/>
          <w:lang w:eastAsia="en-US"/>
        </w:rPr>
        <w:t>.</w:t>
      </w:r>
      <w:bookmarkStart w:id="0" w:name="_GoBack"/>
      <w:bookmarkEnd w:id="0"/>
    </w:p>
    <w:p w:rsidR="00617DA6" w:rsidRDefault="00617DA6" w:rsidP="00AC418E">
      <w:pPr>
        <w:pStyle w:val="StrategicAssessmentText"/>
        <w:ind w:left="0"/>
        <w:rPr>
          <w:rFonts w:ascii="Arial" w:hAnsi="Arial" w:cs="Arial"/>
          <w:snapToGrid w:val="0"/>
          <w:sz w:val="22"/>
          <w:szCs w:val="22"/>
          <w:lang w:eastAsia="en-US"/>
        </w:rPr>
      </w:pPr>
      <w:r>
        <w:rPr>
          <w:rFonts w:ascii="Arial" w:hAnsi="Arial" w:cs="Arial"/>
          <w:snapToGrid w:val="0"/>
          <w:sz w:val="22"/>
          <w:szCs w:val="22"/>
          <w:lang w:eastAsia="en-US"/>
        </w:rPr>
        <w:t xml:space="preserve">Assessment against this Clause has not considered the increase in retail floor space available in the three upper </w:t>
      </w:r>
      <w:r w:rsidR="00164939">
        <w:rPr>
          <w:rFonts w:ascii="Arial" w:hAnsi="Arial" w:cs="Arial"/>
          <w:snapToGrid w:val="0"/>
          <w:sz w:val="22"/>
          <w:szCs w:val="22"/>
          <w:lang w:eastAsia="en-US"/>
        </w:rPr>
        <w:t xml:space="preserve">apartment </w:t>
      </w:r>
      <w:r>
        <w:rPr>
          <w:rFonts w:ascii="Arial" w:hAnsi="Arial" w:cs="Arial"/>
          <w:snapToGrid w:val="0"/>
          <w:sz w:val="22"/>
          <w:szCs w:val="22"/>
          <w:lang w:eastAsia="en-US"/>
        </w:rPr>
        <w:t>levels.</w:t>
      </w:r>
    </w:p>
    <w:p w:rsidR="00A068E6" w:rsidRPr="00420A5B" w:rsidRDefault="00A068E6" w:rsidP="00AC418E">
      <w:pPr>
        <w:pStyle w:val="Heading3"/>
        <w:numPr>
          <w:ilvl w:val="0"/>
          <w:numId w:val="0"/>
        </w:numPr>
        <w:rPr>
          <w:rFonts w:ascii="Arial" w:hAnsi="Arial" w:cs="Arial"/>
          <w:szCs w:val="24"/>
        </w:rPr>
      </w:pPr>
      <w:r w:rsidRPr="00420A5B">
        <w:rPr>
          <w:rFonts w:ascii="Arial" w:hAnsi="Arial" w:cs="Arial"/>
          <w:szCs w:val="24"/>
        </w:rPr>
        <w:t>Does the amendment make proper use of the Victoria Planning Provisions?</w:t>
      </w:r>
    </w:p>
    <w:p w:rsidR="005D5D08" w:rsidRPr="00F27102" w:rsidRDefault="009E1DB8" w:rsidP="00AC418E">
      <w:pPr>
        <w:pStyle w:val="StrategicAssessmentText"/>
        <w:ind w:left="0"/>
        <w:rPr>
          <w:rFonts w:ascii="Arial" w:hAnsi="Arial" w:cs="Arial"/>
          <w:sz w:val="22"/>
          <w:szCs w:val="22"/>
        </w:rPr>
      </w:pPr>
      <w:r w:rsidRPr="000C1ACB">
        <w:rPr>
          <w:rFonts w:ascii="Arial" w:hAnsi="Arial" w:cs="Arial"/>
          <w:sz w:val="22"/>
          <w:szCs w:val="22"/>
        </w:rPr>
        <w:t xml:space="preserve">The </w:t>
      </w:r>
      <w:r w:rsidR="00014ED7" w:rsidRPr="000C1ACB">
        <w:rPr>
          <w:rFonts w:ascii="Arial" w:hAnsi="Arial" w:cs="Arial"/>
          <w:sz w:val="22"/>
          <w:szCs w:val="22"/>
        </w:rPr>
        <w:t>Mixed Use</w:t>
      </w:r>
      <w:r w:rsidRPr="000C1ACB">
        <w:rPr>
          <w:rFonts w:ascii="Arial" w:hAnsi="Arial" w:cs="Arial"/>
          <w:sz w:val="22"/>
          <w:szCs w:val="22"/>
        </w:rPr>
        <w:t xml:space="preserve"> Zone is th</w:t>
      </w:r>
      <w:r w:rsidR="000C1ACB">
        <w:rPr>
          <w:rFonts w:ascii="Arial" w:hAnsi="Arial" w:cs="Arial"/>
          <w:sz w:val="22"/>
          <w:szCs w:val="22"/>
        </w:rPr>
        <w:t>e appropriate zone</w:t>
      </w:r>
      <w:r w:rsidRPr="000C1ACB">
        <w:rPr>
          <w:rFonts w:ascii="Arial" w:hAnsi="Arial" w:cs="Arial"/>
          <w:sz w:val="22"/>
          <w:szCs w:val="22"/>
        </w:rPr>
        <w:t xml:space="preserve"> </w:t>
      </w:r>
      <w:r w:rsidR="000C1ACB">
        <w:rPr>
          <w:rFonts w:ascii="Arial" w:hAnsi="Arial" w:cs="Arial"/>
          <w:sz w:val="22"/>
          <w:szCs w:val="22"/>
        </w:rPr>
        <w:t>to support viable use of the ground floor tenancies while recognising</w:t>
      </w:r>
      <w:r w:rsidR="007E2FAA">
        <w:rPr>
          <w:rFonts w:ascii="Arial" w:hAnsi="Arial" w:cs="Arial"/>
          <w:sz w:val="22"/>
          <w:szCs w:val="22"/>
        </w:rPr>
        <w:t xml:space="preserve"> the existing </w:t>
      </w:r>
      <w:r w:rsidR="000C1ACB">
        <w:rPr>
          <w:rFonts w:ascii="Arial" w:hAnsi="Arial" w:cs="Arial"/>
          <w:sz w:val="22"/>
          <w:szCs w:val="22"/>
        </w:rPr>
        <w:t>apartment complex</w:t>
      </w:r>
      <w:r w:rsidR="007E2FAA">
        <w:rPr>
          <w:rFonts w:ascii="Arial" w:hAnsi="Arial" w:cs="Arial"/>
          <w:sz w:val="22"/>
          <w:szCs w:val="22"/>
        </w:rPr>
        <w:t xml:space="preserve"> above</w:t>
      </w:r>
      <w:r w:rsidR="000C1ACB">
        <w:rPr>
          <w:rFonts w:ascii="Arial" w:hAnsi="Arial" w:cs="Arial"/>
          <w:sz w:val="22"/>
          <w:szCs w:val="22"/>
        </w:rPr>
        <w:t>. The purpose of the Mixed Use Zone includes to provide for housing at higher densities and a range of commercial uses.</w:t>
      </w:r>
    </w:p>
    <w:p w:rsidR="00A068E6" w:rsidRPr="00420A5B" w:rsidRDefault="00A068E6" w:rsidP="00AC418E">
      <w:pPr>
        <w:pStyle w:val="Heading3"/>
        <w:numPr>
          <w:ilvl w:val="0"/>
          <w:numId w:val="0"/>
        </w:numPr>
        <w:rPr>
          <w:rFonts w:ascii="Arial" w:hAnsi="Arial" w:cs="Arial"/>
          <w:szCs w:val="24"/>
        </w:rPr>
      </w:pPr>
      <w:r w:rsidRPr="00420A5B">
        <w:rPr>
          <w:rFonts w:ascii="Arial" w:hAnsi="Arial" w:cs="Arial"/>
          <w:szCs w:val="24"/>
        </w:rPr>
        <w:t>How does the amendment address the views of any relevant agency?</w:t>
      </w:r>
    </w:p>
    <w:p w:rsidR="005D5D08" w:rsidRPr="00F27102" w:rsidRDefault="009E1DB8" w:rsidP="00AC418E">
      <w:pPr>
        <w:pStyle w:val="StrategicAssessmentText"/>
        <w:ind w:left="0"/>
        <w:rPr>
          <w:rFonts w:ascii="Arial" w:hAnsi="Arial" w:cs="Arial"/>
          <w:sz w:val="22"/>
          <w:szCs w:val="22"/>
        </w:rPr>
      </w:pPr>
      <w:r w:rsidRPr="00014ED7">
        <w:rPr>
          <w:rFonts w:ascii="Arial" w:hAnsi="Arial" w:cs="Arial"/>
          <w:sz w:val="22"/>
          <w:szCs w:val="22"/>
        </w:rPr>
        <w:t>The amendment will not introduce any referral requirements into the planning scheme and the views of the relevant agencies will be taken into account when the amendment is placed on exhibition.</w:t>
      </w:r>
      <w:r>
        <w:rPr>
          <w:rFonts w:ascii="Arial" w:hAnsi="Arial" w:cs="Arial"/>
          <w:sz w:val="22"/>
          <w:szCs w:val="22"/>
        </w:rPr>
        <w:t xml:space="preserve"> </w:t>
      </w:r>
    </w:p>
    <w:p w:rsidR="00BB1CA4" w:rsidRPr="00420A5B" w:rsidRDefault="00BC596D" w:rsidP="00AC418E">
      <w:pPr>
        <w:pStyle w:val="Heading3"/>
        <w:numPr>
          <w:ilvl w:val="0"/>
          <w:numId w:val="0"/>
        </w:numPr>
        <w:rPr>
          <w:rFonts w:ascii="Arial" w:hAnsi="Arial" w:cs="Arial"/>
          <w:szCs w:val="24"/>
        </w:rPr>
      </w:pPr>
      <w:r w:rsidRPr="00420A5B">
        <w:rPr>
          <w:rFonts w:ascii="Arial" w:hAnsi="Arial" w:cs="Arial"/>
          <w:szCs w:val="24"/>
        </w:rPr>
        <w:lastRenderedPageBreak/>
        <w:t>D</w:t>
      </w:r>
      <w:r w:rsidR="00B74D9F" w:rsidRPr="00420A5B">
        <w:rPr>
          <w:rFonts w:ascii="Arial" w:hAnsi="Arial" w:cs="Arial"/>
          <w:szCs w:val="24"/>
        </w:rPr>
        <w:t xml:space="preserve">oes the amendment address </w:t>
      </w:r>
      <w:r w:rsidRPr="00420A5B">
        <w:rPr>
          <w:rFonts w:ascii="Arial" w:hAnsi="Arial" w:cs="Arial"/>
          <w:szCs w:val="24"/>
        </w:rPr>
        <w:t>relevant</w:t>
      </w:r>
      <w:r w:rsidR="00B74D9F" w:rsidRPr="00420A5B">
        <w:rPr>
          <w:rFonts w:ascii="Arial" w:hAnsi="Arial" w:cs="Arial"/>
          <w:szCs w:val="24"/>
        </w:rPr>
        <w:t xml:space="preserve"> requirements of the Transport Integration Act 2010?</w:t>
      </w:r>
    </w:p>
    <w:p w:rsidR="00A75E7D" w:rsidRPr="00420A5B" w:rsidRDefault="009E1DB8" w:rsidP="00AC418E">
      <w:pPr>
        <w:pStyle w:val="StrategicAssessmentText"/>
        <w:ind w:left="0"/>
        <w:rPr>
          <w:rFonts w:ascii="Arial" w:hAnsi="Arial" w:cs="Arial"/>
          <w:sz w:val="22"/>
          <w:szCs w:val="22"/>
        </w:rPr>
      </w:pPr>
      <w:r>
        <w:rPr>
          <w:rFonts w:ascii="Arial" w:hAnsi="Arial" w:cs="Arial"/>
          <w:sz w:val="22"/>
          <w:szCs w:val="22"/>
        </w:rPr>
        <w:t>The amendment is not expected to have a significant impact on the transport system as defined by Section 3 of the Transport Integration Act 2010</w:t>
      </w:r>
      <w:r w:rsidR="00793014">
        <w:rPr>
          <w:rFonts w:ascii="Arial" w:hAnsi="Arial" w:cs="Arial"/>
          <w:sz w:val="22"/>
          <w:szCs w:val="22"/>
        </w:rPr>
        <w:t xml:space="preserve">. </w:t>
      </w:r>
    </w:p>
    <w:p w:rsidR="00814A45" w:rsidRPr="00823BB7" w:rsidRDefault="00814A45" w:rsidP="00814A45">
      <w:pPr>
        <w:pStyle w:val="Heading2"/>
        <w:rPr>
          <w:rFonts w:cs="Arial"/>
        </w:rPr>
      </w:pPr>
      <w:r w:rsidRPr="00823BB7">
        <w:rPr>
          <w:rFonts w:cs="Arial"/>
        </w:rPr>
        <w:t>Resource and administrative costs</w:t>
      </w:r>
    </w:p>
    <w:p w:rsidR="00A068E6" w:rsidRPr="00823BB7" w:rsidRDefault="00A068E6" w:rsidP="00823BB7">
      <w:pPr>
        <w:pStyle w:val="Heading3"/>
        <w:rPr>
          <w:rFonts w:ascii="Arial" w:hAnsi="Arial" w:cs="Arial"/>
          <w:szCs w:val="24"/>
        </w:rPr>
      </w:pPr>
      <w:r w:rsidRPr="00823BB7">
        <w:rPr>
          <w:rFonts w:ascii="Arial" w:hAnsi="Arial" w:cs="Arial"/>
          <w:szCs w:val="24"/>
        </w:rPr>
        <w:t>What impact will the new planning provisions have on the resource and administrative costs of the responsible authority?</w:t>
      </w:r>
    </w:p>
    <w:p w:rsidR="002B21F6" w:rsidRDefault="00793014" w:rsidP="00A11194">
      <w:pPr>
        <w:rPr>
          <w:rFonts w:ascii="Arial" w:hAnsi="Arial" w:cs="Arial"/>
          <w:sz w:val="22"/>
          <w:szCs w:val="22"/>
        </w:rPr>
      </w:pPr>
      <w:r>
        <w:rPr>
          <w:rFonts w:ascii="Arial" w:hAnsi="Arial" w:cs="Arial"/>
          <w:sz w:val="22"/>
          <w:szCs w:val="22"/>
        </w:rPr>
        <w:t xml:space="preserve">The amendment </w:t>
      </w:r>
      <w:r w:rsidR="00C221E8">
        <w:rPr>
          <w:rFonts w:ascii="Arial" w:hAnsi="Arial" w:cs="Arial"/>
          <w:sz w:val="22"/>
          <w:szCs w:val="22"/>
        </w:rPr>
        <w:t>will have negligible</w:t>
      </w:r>
      <w:r>
        <w:rPr>
          <w:rFonts w:ascii="Arial" w:hAnsi="Arial" w:cs="Arial"/>
          <w:sz w:val="22"/>
          <w:szCs w:val="22"/>
        </w:rPr>
        <w:t xml:space="preserve"> impact on the resource and administrative costs of the Greater Geelong City Council as the responsible authority. </w:t>
      </w:r>
    </w:p>
    <w:p w:rsidR="00A068E6" w:rsidRPr="00823BB7" w:rsidRDefault="00A068E6" w:rsidP="00684895">
      <w:pPr>
        <w:pStyle w:val="Heading2"/>
        <w:rPr>
          <w:rFonts w:cs="Arial"/>
        </w:rPr>
      </w:pPr>
      <w:r w:rsidRPr="00823BB7">
        <w:rPr>
          <w:rFonts w:cs="Arial"/>
        </w:rPr>
        <w:t>Where</w:t>
      </w:r>
      <w:r w:rsidR="00814A45" w:rsidRPr="00823BB7">
        <w:rPr>
          <w:rFonts w:cs="Arial"/>
        </w:rPr>
        <w:t xml:space="preserve"> you may inspect this Amendment</w:t>
      </w:r>
    </w:p>
    <w:p w:rsidR="00A068E6" w:rsidRPr="00F27102" w:rsidRDefault="00A068E6" w:rsidP="003F13D4">
      <w:pPr>
        <w:rPr>
          <w:rFonts w:ascii="Arial" w:hAnsi="Arial" w:cs="Arial"/>
          <w:sz w:val="22"/>
          <w:szCs w:val="22"/>
        </w:rPr>
      </w:pPr>
      <w:r w:rsidRPr="00F27102">
        <w:rPr>
          <w:rFonts w:ascii="Arial" w:hAnsi="Arial" w:cs="Arial"/>
          <w:sz w:val="22"/>
          <w:szCs w:val="22"/>
        </w:rPr>
        <w:t>The amendment is available for public inspection, free of charge, during offic</w:t>
      </w:r>
      <w:r w:rsidR="00821867" w:rsidRPr="00F27102">
        <w:rPr>
          <w:rFonts w:ascii="Arial" w:hAnsi="Arial" w:cs="Arial"/>
          <w:sz w:val="22"/>
          <w:szCs w:val="22"/>
        </w:rPr>
        <w:t>e hours at the following places: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4"/>
      </w:tblGrid>
      <w:tr w:rsidR="003A1926" w:rsidTr="003A1926">
        <w:tc>
          <w:tcPr>
            <w:tcW w:w="9134" w:type="dxa"/>
          </w:tcPr>
          <w:p w:rsidR="003A1926" w:rsidRPr="00761124" w:rsidRDefault="003A1926" w:rsidP="003A1926">
            <w:pPr>
              <w:tabs>
                <w:tab w:val="left" w:pos="742"/>
              </w:tabs>
              <w:spacing w:after="120"/>
              <w:rPr>
                <w:rFonts w:ascii="Arial" w:hAnsi="Arial" w:cs="Arial"/>
                <w:b/>
                <w:sz w:val="22"/>
                <w:szCs w:val="22"/>
              </w:rPr>
            </w:pPr>
            <w:r w:rsidRPr="00761124">
              <w:rPr>
                <w:rFonts w:ascii="Arial" w:hAnsi="Arial" w:cs="Arial"/>
                <w:b/>
                <w:sz w:val="22"/>
                <w:szCs w:val="22"/>
              </w:rPr>
              <w:t>Greater Geelong City Council</w:t>
            </w:r>
            <w:r w:rsidRPr="00761124">
              <w:rPr>
                <w:rFonts w:ascii="Arial" w:hAnsi="Arial" w:cs="Arial"/>
                <w:sz w:val="22"/>
                <w:szCs w:val="22"/>
              </w:rPr>
              <w:t xml:space="preserve">, Customer Service Centre, Ground Floor, 100 Brougham Street. GEELONG – 8.00am to 5.00pm weekdays </w:t>
            </w:r>
          </w:p>
        </w:tc>
      </w:tr>
      <w:tr w:rsidR="003A1926" w:rsidTr="003A1926">
        <w:tc>
          <w:tcPr>
            <w:tcW w:w="9134" w:type="dxa"/>
          </w:tcPr>
          <w:p w:rsidR="003A1926" w:rsidRPr="00761124" w:rsidRDefault="003A1926" w:rsidP="003A1926">
            <w:pPr>
              <w:tabs>
                <w:tab w:val="left" w:pos="742"/>
              </w:tabs>
              <w:spacing w:after="120"/>
              <w:rPr>
                <w:rFonts w:ascii="Arial" w:hAnsi="Arial" w:cs="Arial"/>
                <w:b/>
                <w:sz w:val="22"/>
                <w:szCs w:val="22"/>
              </w:rPr>
            </w:pPr>
            <w:r w:rsidRPr="00761124">
              <w:rPr>
                <w:rFonts w:ascii="Arial" w:hAnsi="Arial" w:cs="Arial"/>
                <w:b/>
                <w:sz w:val="22"/>
                <w:szCs w:val="22"/>
              </w:rPr>
              <w:t xml:space="preserve">‘Amendments’ </w:t>
            </w:r>
            <w:r w:rsidRPr="00761124">
              <w:rPr>
                <w:rFonts w:ascii="Arial" w:hAnsi="Arial" w:cs="Arial"/>
                <w:sz w:val="22"/>
                <w:szCs w:val="22"/>
              </w:rPr>
              <w:t xml:space="preserve">section of the City’s website </w:t>
            </w:r>
            <w:hyperlink r:id="rId9" w:history="1">
              <w:r w:rsidRPr="00761124">
                <w:rPr>
                  <w:rStyle w:val="Hyperlink"/>
                  <w:rFonts w:ascii="Arial" w:hAnsi="Arial" w:cs="Arial"/>
                  <w:sz w:val="22"/>
                  <w:szCs w:val="22"/>
                </w:rPr>
                <w:t>www.geelongaustralia.com.au/amendments/</w:t>
              </w:r>
            </w:hyperlink>
          </w:p>
        </w:tc>
      </w:tr>
    </w:tbl>
    <w:p w:rsidR="003A1926" w:rsidRDefault="003A1926" w:rsidP="003A1926">
      <w:pPr>
        <w:rPr>
          <w:rFonts w:ascii="Arial" w:hAnsi="Arial" w:cs="Arial"/>
          <w:sz w:val="22"/>
          <w:szCs w:val="22"/>
        </w:rPr>
      </w:pPr>
      <w:r>
        <w:rPr>
          <w:rFonts w:ascii="Arial" w:hAnsi="Arial" w:cs="Arial"/>
          <w:sz w:val="22"/>
          <w:szCs w:val="22"/>
        </w:rPr>
        <w:t xml:space="preserve">The Amendment can also be inspected free of charge at the Department of Environment, Land, Water and Planning website at </w:t>
      </w:r>
      <w:hyperlink r:id="rId10" w:history="1">
        <w:r w:rsidRPr="003F1E0E">
          <w:rPr>
            <w:rStyle w:val="Hyperlink"/>
            <w:rFonts w:ascii="Arial" w:hAnsi="Arial" w:cs="Arial"/>
            <w:sz w:val="22"/>
            <w:szCs w:val="22"/>
          </w:rPr>
          <w:t>www.delwp.vic.gov.au/public-inspection</w:t>
        </w:r>
      </w:hyperlink>
      <w:r>
        <w:rPr>
          <w:rFonts w:ascii="Arial" w:hAnsi="Arial" w:cs="Arial"/>
          <w:sz w:val="22"/>
          <w:szCs w:val="22"/>
        </w:rPr>
        <w:t xml:space="preserve"> .</w:t>
      </w:r>
    </w:p>
    <w:p w:rsidR="003A1926" w:rsidRPr="007B4CF0" w:rsidRDefault="003A1926" w:rsidP="003A1926">
      <w:pPr>
        <w:spacing w:before="240" w:after="120"/>
        <w:rPr>
          <w:rFonts w:ascii="Arial" w:hAnsi="Arial" w:cs="Arial"/>
          <w:b/>
          <w:szCs w:val="24"/>
        </w:rPr>
      </w:pPr>
      <w:r>
        <w:rPr>
          <w:rFonts w:ascii="Arial" w:hAnsi="Arial" w:cs="Arial"/>
          <w:b/>
          <w:szCs w:val="24"/>
        </w:rPr>
        <w:t>Submissions</w:t>
      </w:r>
    </w:p>
    <w:p w:rsidR="003A1926" w:rsidRDefault="003A1926" w:rsidP="003A1926">
      <w:pPr>
        <w:pStyle w:val="Bodytext"/>
        <w:tabs>
          <w:tab w:val="left" w:pos="742"/>
        </w:tabs>
        <w:spacing w:after="0"/>
        <w:ind w:left="0"/>
        <w:rPr>
          <w:rFonts w:ascii="Arial" w:hAnsi="Arial" w:cs="Arial"/>
          <w:szCs w:val="22"/>
        </w:rPr>
      </w:pPr>
      <w:r>
        <w:rPr>
          <w:rFonts w:ascii="Arial" w:hAnsi="Arial" w:cs="Arial"/>
          <w:szCs w:val="22"/>
        </w:rPr>
        <w:t xml:space="preserve">Any person who may be affected by the Amendment may make a submission to the planning authority. </w:t>
      </w:r>
    </w:p>
    <w:p w:rsidR="003A1926" w:rsidRPr="00C60089" w:rsidRDefault="003A1926" w:rsidP="003A1926">
      <w:pPr>
        <w:pStyle w:val="Bodytext"/>
        <w:tabs>
          <w:tab w:val="left" w:pos="742"/>
        </w:tabs>
        <w:spacing w:before="120" w:after="0"/>
        <w:ind w:left="0"/>
        <w:rPr>
          <w:rFonts w:ascii="Arial" w:hAnsi="Arial" w:cs="Arial"/>
          <w:szCs w:val="22"/>
        </w:rPr>
      </w:pPr>
      <w:r w:rsidRPr="00C60089">
        <w:rPr>
          <w:rFonts w:ascii="Arial" w:hAnsi="Arial" w:cs="Arial"/>
          <w:szCs w:val="22"/>
        </w:rPr>
        <w:t xml:space="preserve">Submissions about Amendment </w:t>
      </w:r>
      <w:r>
        <w:rPr>
          <w:rFonts w:ascii="Arial" w:hAnsi="Arial" w:cs="Arial"/>
          <w:szCs w:val="22"/>
        </w:rPr>
        <w:t>C358</w:t>
      </w:r>
      <w:r w:rsidRPr="00C60089">
        <w:rPr>
          <w:rFonts w:ascii="Arial" w:hAnsi="Arial" w:cs="Arial"/>
          <w:szCs w:val="22"/>
        </w:rPr>
        <w:t xml:space="preserve"> should be received by </w:t>
      </w:r>
      <w:r w:rsidR="00AE0804" w:rsidRPr="00AE0804">
        <w:rPr>
          <w:rFonts w:ascii="Arial" w:hAnsi="Arial" w:cs="Arial"/>
          <w:b/>
          <w:szCs w:val="22"/>
        </w:rPr>
        <w:t>Monday 12 June</w:t>
      </w:r>
      <w:r w:rsidRPr="00AE0804">
        <w:rPr>
          <w:rFonts w:ascii="Arial" w:hAnsi="Arial" w:cs="Arial"/>
          <w:b/>
          <w:szCs w:val="22"/>
        </w:rPr>
        <w:t xml:space="preserve"> 2017</w:t>
      </w:r>
      <w:r w:rsidRPr="00C60089">
        <w:rPr>
          <w:rFonts w:ascii="Arial" w:hAnsi="Arial" w:cs="Arial"/>
          <w:szCs w:val="22"/>
        </w:rPr>
        <w:t xml:space="preserve"> and addressed to:</w:t>
      </w:r>
    </w:p>
    <w:p w:rsidR="003A1926" w:rsidRPr="00C60089" w:rsidRDefault="003A1926" w:rsidP="003A1926">
      <w:pPr>
        <w:pStyle w:val="Bodytext"/>
        <w:tabs>
          <w:tab w:val="left" w:pos="742"/>
        </w:tabs>
        <w:spacing w:before="120" w:after="0"/>
        <w:ind w:left="0"/>
        <w:rPr>
          <w:rFonts w:ascii="Arial" w:hAnsi="Arial" w:cs="Arial"/>
          <w:szCs w:val="22"/>
        </w:rPr>
      </w:pPr>
      <w:r w:rsidRPr="00C60089">
        <w:rPr>
          <w:rFonts w:ascii="Arial" w:hAnsi="Arial" w:cs="Arial"/>
          <w:szCs w:val="22"/>
        </w:rPr>
        <w:t>The Coordinator</w:t>
      </w:r>
    </w:p>
    <w:p w:rsidR="003A1926" w:rsidRPr="00C60089" w:rsidRDefault="003A1926" w:rsidP="003A1926">
      <w:pPr>
        <w:pStyle w:val="Bodytext"/>
        <w:tabs>
          <w:tab w:val="left" w:pos="742"/>
        </w:tabs>
        <w:spacing w:after="0"/>
        <w:ind w:left="0"/>
        <w:rPr>
          <w:rFonts w:ascii="Arial" w:hAnsi="Arial" w:cs="Arial"/>
          <w:szCs w:val="22"/>
        </w:rPr>
      </w:pPr>
      <w:r w:rsidRPr="00C60089">
        <w:rPr>
          <w:rFonts w:ascii="Arial" w:hAnsi="Arial" w:cs="Arial"/>
          <w:szCs w:val="22"/>
        </w:rPr>
        <w:t>Strategic Implementation</w:t>
      </w:r>
    </w:p>
    <w:p w:rsidR="003A1926" w:rsidRPr="00C60089" w:rsidRDefault="003A1926" w:rsidP="003A1926">
      <w:pPr>
        <w:pStyle w:val="Bodytext"/>
        <w:tabs>
          <w:tab w:val="left" w:pos="742"/>
        </w:tabs>
        <w:spacing w:after="0"/>
        <w:ind w:left="0"/>
        <w:rPr>
          <w:rFonts w:ascii="Arial" w:hAnsi="Arial" w:cs="Arial"/>
          <w:szCs w:val="22"/>
        </w:rPr>
      </w:pPr>
      <w:r w:rsidRPr="00C60089">
        <w:rPr>
          <w:rFonts w:ascii="Arial" w:hAnsi="Arial" w:cs="Arial"/>
          <w:szCs w:val="22"/>
        </w:rPr>
        <w:t xml:space="preserve">City of Greater </w:t>
      </w:r>
      <w:smartTag w:uri="urn:schemas-microsoft-com:office:smarttags" w:element="place">
        <w:smartTag w:uri="urn:schemas-microsoft-com:office:smarttags" w:element="City">
          <w:r w:rsidRPr="00C60089">
            <w:rPr>
              <w:rFonts w:ascii="Arial" w:hAnsi="Arial" w:cs="Arial"/>
              <w:szCs w:val="22"/>
            </w:rPr>
            <w:t>Geelong</w:t>
          </w:r>
        </w:smartTag>
      </w:smartTag>
    </w:p>
    <w:p w:rsidR="003A1926" w:rsidRPr="00C60089" w:rsidRDefault="003A1926" w:rsidP="003A1926">
      <w:pPr>
        <w:pStyle w:val="Bodytext"/>
        <w:numPr>
          <w:ilvl w:val="0"/>
          <w:numId w:val="44"/>
        </w:numPr>
        <w:tabs>
          <w:tab w:val="left" w:pos="426"/>
        </w:tabs>
        <w:spacing w:before="120" w:after="0"/>
        <w:ind w:left="426" w:hanging="426"/>
        <w:rPr>
          <w:rFonts w:ascii="Arial" w:hAnsi="Arial" w:cs="Arial"/>
          <w:szCs w:val="22"/>
        </w:rPr>
      </w:pPr>
      <w:r w:rsidRPr="00C60089">
        <w:rPr>
          <w:rFonts w:ascii="Arial" w:hAnsi="Arial" w:cs="Arial"/>
          <w:szCs w:val="22"/>
        </w:rPr>
        <w:t>either by mail to:</w:t>
      </w:r>
      <w:r>
        <w:rPr>
          <w:rFonts w:ascii="Arial" w:hAnsi="Arial" w:cs="Arial"/>
          <w:szCs w:val="22"/>
        </w:rPr>
        <w:t xml:space="preserve"> P</w:t>
      </w:r>
      <w:r w:rsidRPr="00C60089">
        <w:rPr>
          <w:rFonts w:ascii="Arial" w:hAnsi="Arial" w:cs="Arial"/>
          <w:szCs w:val="22"/>
        </w:rPr>
        <w:t>O Box 104, GEELONG VIC 3220</w:t>
      </w:r>
    </w:p>
    <w:p w:rsidR="003A1926" w:rsidRDefault="003A1926" w:rsidP="003A1926">
      <w:pPr>
        <w:pStyle w:val="Bodytext"/>
        <w:numPr>
          <w:ilvl w:val="0"/>
          <w:numId w:val="44"/>
        </w:numPr>
        <w:tabs>
          <w:tab w:val="left" w:pos="426"/>
        </w:tabs>
        <w:spacing w:before="120" w:after="0"/>
        <w:ind w:left="426" w:hanging="426"/>
      </w:pPr>
      <w:r w:rsidRPr="00C60089">
        <w:rPr>
          <w:rFonts w:ascii="Arial" w:hAnsi="Arial" w:cs="Arial"/>
          <w:szCs w:val="22"/>
        </w:rPr>
        <w:t>or by email to:</w:t>
      </w:r>
      <w:r>
        <w:rPr>
          <w:rFonts w:ascii="Arial" w:hAnsi="Arial" w:cs="Arial"/>
          <w:szCs w:val="22"/>
        </w:rPr>
        <w:t xml:space="preserve"> </w:t>
      </w:r>
      <w:hyperlink r:id="rId11" w:history="1">
        <w:r w:rsidRPr="00E12295">
          <w:rPr>
            <w:rStyle w:val="Hyperlink"/>
            <w:rFonts w:ascii="Arial" w:hAnsi="Arial" w:cs="Arial"/>
            <w:szCs w:val="22"/>
          </w:rPr>
          <w:t>strategicplanning@geelongcity.vic.gov.au</w:t>
        </w:r>
      </w:hyperlink>
      <w:r>
        <w:t xml:space="preserve"> </w:t>
      </w:r>
    </w:p>
    <w:p w:rsidR="003A1926" w:rsidRDefault="003A1926" w:rsidP="003A1926">
      <w:pPr>
        <w:pStyle w:val="Bodytext"/>
        <w:numPr>
          <w:ilvl w:val="0"/>
          <w:numId w:val="44"/>
        </w:numPr>
        <w:tabs>
          <w:tab w:val="left" w:pos="426"/>
        </w:tabs>
        <w:spacing w:before="120" w:after="0"/>
        <w:ind w:left="426" w:hanging="426"/>
        <w:rPr>
          <w:rFonts w:ascii="Arial" w:hAnsi="Arial" w:cs="Arial"/>
          <w:szCs w:val="22"/>
        </w:rPr>
      </w:pPr>
      <w:r>
        <w:rPr>
          <w:rFonts w:ascii="Arial" w:hAnsi="Arial" w:cs="Arial"/>
          <w:szCs w:val="22"/>
        </w:rPr>
        <w:t xml:space="preserve">or lodged online at: </w:t>
      </w:r>
      <w:hyperlink r:id="rId12" w:history="1">
        <w:r w:rsidRPr="00D3557A">
          <w:rPr>
            <w:rStyle w:val="Hyperlink"/>
            <w:rFonts w:ascii="Arial" w:hAnsi="Arial" w:cs="Arial"/>
            <w:szCs w:val="22"/>
          </w:rPr>
          <w:t>www.geelongaustralia.com.au/amendments/</w:t>
        </w:r>
      </w:hyperlink>
    </w:p>
    <w:p w:rsidR="003A1926" w:rsidRPr="00F21E47" w:rsidRDefault="003A1926" w:rsidP="003A1926">
      <w:pPr>
        <w:spacing w:before="360"/>
        <w:outlineLvl w:val="1"/>
        <w:rPr>
          <w:rFonts w:ascii="Arial" w:hAnsi="Arial" w:cs="Arial"/>
          <w:b/>
          <w:bCs/>
        </w:rPr>
      </w:pPr>
      <w:r w:rsidRPr="00F21E47">
        <w:rPr>
          <w:rFonts w:ascii="Arial" w:hAnsi="Arial" w:cs="Arial"/>
          <w:b/>
          <w:bCs/>
        </w:rPr>
        <w:t>Panel hearing dates</w:t>
      </w:r>
    </w:p>
    <w:p w:rsidR="003A1926" w:rsidRPr="00F21E47" w:rsidRDefault="003A1926" w:rsidP="003A1926">
      <w:pPr>
        <w:rPr>
          <w:rFonts w:ascii="Arial" w:hAnsi="Arial" w:cs="Arial"/>
          <w:sz w:val="22"/>
          <w:szCs w:val="22"/>
        </w:rPr>
      </w:pPr>
      <w:r w:rsidRPr="00F21E47">
        <w:rPr>
          <w:rFonts w:ascii="Arial" w:hAnsi="Arial" w:cs="Arial"/>
          <w:sz w:val="22"/>
          <w:szCs w:val="22"/>
        </w:rPr>
        <w:t>In accordance with clause 4(2) of Ministerial Direction No.15 the following panel hearing dates have been set for this amendment:</w:t>
      </w:r>
    </w:p>
    <w:p w:rsidR="003A1926" w:rsidRPr="00F21E47" w:rsidRDefault="003A1926" w:rsidP="003A1926">
      <w:pPr>
        <w:numPr>
          <w:ilvl w:val="0"/>
          <w:numId w:val="40"/>
        </w:numPr>
        <w:spacing w:after="120"/>
        <w:ind w:left="357" w:hanging="357"/>
        <w:rPr>
          <w:rFonts w:ascii="New York" w:hAnsi="New York"/>
          <w:sz w:val="22"/>
          <w:szCs w:val="22"/>
        </w:rPr>
      </w:pPr>
      <w:r>
        <w:rPr>
          <w:rFonts w:ascii="Arial" w:hAnsi="Arial" w:cs="Arial"/>
          <w:sz w:val="22"/>
          <w:szCs w:val="22"/>
        </w:rPr>
        <w:t>D</w:t>
      </w:r>
      <w:r w:rsidRPr="00F21E47">
        <w:rPr>
          <w:rFonts w:ascii="Arial" w:hAnsi="Arial" w:cs="Arial"/>
          <w:sz w:val="22"/>
          <w:szCs w:val="22"/>
        </w:rPr>
        <w:t xml:space="preserve">irections hearing:  </w:t>
      </w:r>
      <w:r w:rsidR="00AE0804">
        <w:rPr>
          <w:rFonts w:ascii="Arial" w:hAnsi="Arial" w:cs="Arial"/>
          <w:sz w:val="22"/>
          <w:szCs w:val="22"/>
        </w:rPr>
        <w:t>week beginning 17 July</w:t>
      </w:r>
      <w:r>
        <w:rPr>
          <w:rFonts w:ascii="Arial" w:hAnsi="Arial" w:cs="Arial"/>
          <w:sz w:val="22"/>
          <w:szCs w:val="22"/>
        </w:rPr>
        <w:t xml:space="preserve"> 2017</w:t>
      </w:r>
    </w:p>
    <w:p w:rsidR="003A1926" w:rsidRPr="00F21E47" w:rsidRDefault="003A1926" w:rsidP="003A1926">
      <w:pPr>
        <w:numPr>
          <w:ilvl w:val="0"/>
          <w:numId w:val="40"/>
        </w:numPr>
        <w:spacing w:after="120"/>
        <w:ind w:left="357" w:hanging="357"/>
        <w:rPr>
          <w:sz w:val="22"/>
          <w:szCs w:val="22"/>
        </w:rPr>
      </w:pPr>
      <w:r>
        <w:rPr>
          <w:rFonts w:ascii="Arial" w:hAnsi="Arial" w:cs="Arial"/>
          <w:sz w:val="22"/>
          <w:szCs w:val="22"/>
        </w:rPr>
        <w:t>P</w:t>
      </w:r>
      <w:r w:rsidRPr="00F21E47">
        <w:rPr>
          <w:rFonts w:ascii="Arial" w:hAnsi="Arial" w:cs="Arial"/>
          <w:sz w:val="22"/>
          <w:szCs w:val="22"/>
        </w:rPr>
        <w:t xml:space="preserve">anel hearing:  </w:t>
      </w:r>
      <w:r w:rsidR="00AE0804">
        <w:rPr>
          <w:rFonts w:ascii="Arial" w:hAnsi="Arial" w:cs="Arial"/>
          <w:sz w:val="22"/>
          <w:szCs w:val="22"/>
        </w:rPr>
        <w:t>week beginning 7 August</w:t>
      </w:r>
      <w:r>
        <w:rPr>
          <w:rFonts w:ascii="Arial" w:hAnsi="Arial" w:cs="Arial"/>
          <w:sz w:val="22"/>
          <w:szCs w:val="22"/>
        </w:rPr>
        <w:t xml:space="preserve"> 2017</w:t>
      </w:r>
    </w:p>
    <w:p w:rsidR="003A1926" w:rsidRPr="007B4CF0" w:rsidRDefault="003A1926" w:rsidP="003A1926">
      <w:pPr>
        <w:spacing w:before="360" w:after="120"/>
        <w:rPr>
          <w:rFonts w:ascii="Arial" w:hAnsi="Arial" w:cs="Arial"/>
          <w:b/>
          <w:szCs w:val="24"/>
        </w:rPr>
      </w:pPr>
      <w:r w:rsidRPr="007B4CF0">
        <w:rPr>
          <w:rFonts w:ascii="Arial" w:hAnsi="Arial" w:cs="Arial"/>
          <w:b/>
          <w:szCs w:val="24"/>
        </w:rPr>
        <w:t>Further information</w:t>
      </w:r>
    </w:p>
    <w:p w:rsidR="003A1926" w:rsidRDefault="003A1926" w:rsidP="003A1926">
      <w:pPr>
        <w:pStyle w:val="Bodytext"/>
        <w:tabs>
          <w:tab w:val="left" w:pos="742"/>
        </w:tabs>
        <w:spacing w:after="120"/>
        <w:ind w:left="0"/>
        <w:jc w:val="left"/>
        <w:rPr>
          <w:rFonts w:ascii="Arial" w:hAnsi="Arial" w:cs="Arial"/>
          <w:szCs w:val="22"/>
        </w:rPr>
      </w:pPr>
      <w:r w:rsidRPr="00C60089">
        <w:rPr>
          <w:rFonts w:ascii="Arial" w:hAnsi="Arial" w:cs="Arial"/>
          <w:szCs w:val="22"/>
        </w:rPr>
        <w:t xml:space="preserve">For further information about Amendment </w:t>
      </w:r>
      <w:r>
        <w:rPr>
          <w:rFonts w:ascii="Arial" w:hAnsi="Arial" w:cs="Arial"/>
          <w:szCs w:val="22"/>
        </w:rPr>
        <w:t>C358</w:t>
      </w:r>
      <w:r w:rsidRPr="00C60089">
        <w:rPr>
          <w:rFonts w:ascii="Arial" w:hAnsi="Arial" w:cs="Arial"/>
          <w:szCs w:val="22"/>
        </w:rPr>
        <w:t xml:space="preserve"> please contact the Strategic Implementation Unit at the City of Greater Geelong on (03) 5272 4820 or via email </w:t>
      </w:r>
      <w:hyperlink r:id="rId13" w:history="1">
        <w:r w:rsidRPr="00E12295">
          <w:rPr>
            <w:rStyle w:val="Hyperlink"/>
            <w:rFonts w:ascii="Arial" w:hAnsi="Arial" w:cs="Arial"/>
            <w:szCs w:val="22"/>
          </w:rPr>
          <w:t>strategicplanning@geelongcity.vic.gov.au</w:t>
        </w:r>
      </w:hyperlink>
    </w:p>
    <w:p w:rsidR="003A1926" w:rsidRPr="00F27102" w:rsidRDefault="003A1926" w:rsidP="00FE3326">
      <w:pPr>
        <w:rPr>
          <w:rFonts w:ascii="Arial" w:hAnsi="Arial" w:cs="Arial"/>
          <w:sz w:val="22"/>
          <w:szCs w:val="22"/>
        </w:rPr>
      </w:pPr>
    </w:p>
    <w:p w:rsidR="001E53D0" w:rsidRDefault="001E53D0" w:rsidP="001E53D0">
      <w:pPr>
        <w:rPr>
          <w:rFonts w:ascii="Arial" w:hAnsi="Arial"/>
          <w:vanish/>
        </w:rPr>
      </w:pPr>
    </w:p>
    <w:sectPr w:rsidR="001E53D0" w:rsidSect="00164939">
      <w:footerReference w:type="default" r:id="rId14"/>
      <w:footerReference w:type="first" r:id="rId15"/>
      <w:type w:val="continuous"/>
      <w:pgSz w:w="11907" w:h="16840" w:code="9"/>
      <w:pgMar w:top="993" w:right="1423" w:bottom="567" w:left="1440" w:header="737" w:footer="207" w:gutter="0"/>
      <w:cols w:space="737"/>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5D8" w:rsidRDefault="009D25D8">
      <w:r>
        <w:separator/>
      </w:r>
    </w:p>
  </w:endnote>
  <w:endnote w:type="continuationSeparator" w:id="0">
    <w:p w:rsidR="009D25D8" w:rsidRDefault="009D25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5D8" w:rsidRDefault="009D25D8">
    <w:pPr>
      <w:pStyle w:val="Footer"/>
      <w:jc w:val="center"/>
    </w:pPr>
    <w:r>
      <w:t xml:space="preserve">Page </w:t>
    </w:r>
    <w:r w:rsidR="00A964B5">
      <w:rPr>
        <w:b/>
        <w:sz w:val="24"/>
        <w:szCs w:val="24"/>
      </w:rPr>
      <w:fldChar w:fldCharType="begin"/>
    </w:r>
    <w:r>
      <w:rPr>
        <w:b/>
      </w:rPr>
      <w:instrText xml:space="preserve"> PAGE </w:instrText>
    </w:r>
    <w:r w:rsidR="00A964B5">
      <w:rPr>
        <w:b/>
        <w:sz w:val="24"/>
        <w:szCs w:val="24"/>
      </w:rPr>
      <w:fldChar w:fldCharType="separate"/>
    </w:r>
    <w:r w:rsidR="00164939">
      <w:rPr>
        <w:b/>
        <w:noProof/>
      </w:rPr>
      <w:t>2</w:t>
    </w:r>
    <w:r w:rsidR="00A964B5">
      <w:rPr>
        <w:b/>
        <w:sz w:val="24"/>
        <w:szCs w:val="24"/>
      </w:rPr>
      <w:fldChar w:fldCharType="end"/>
    </w:r>
    <w:r>
      <w:t xml:space="preserve"> of </w:t>
    </w:r>
    <w:r w:rsidR="00A964B5">
      <w:rPr>
        <w:b/>
        <w:sz w:val="24"/>
        <w:szCs w:val="24"/>
      </w:rPr>
      <w:fldChar w:fldCharType="begin"/>
    </w:r>
    <w:r>
      <w:rPr>
        <w:b/>
      </w:rPr>
      <w:instrText xml:space="preserve"> NUMPAGES  </w:instrText>
    </w:r>
    <w:r w:rsidR="00A964B5">
      <w:rPr>
        <w:b/>
        <w:sz w:val="24"/>
        <w:szCs w:val="24"/>
      </w:rPr>
      <w:fldChar w:fldCharType="separate"/>
    </w:r>
    <w:r w:rsidR="00164939">
      <w:rPr>
        <w:b/>
        <w:noProof/>
      </w:rPr>
      <w:t>4</w:t>
    </w:r>
    <w:r w:rsidR="00A964B5">
      <w:rPr>
        <w:b/>
        <w:sz w:val="24"/>
        <w:szCs w:val="24"/>
      </w:rPr>
      <w:fldChar w:fldCharType="end"/>
    </w:r>
  </w:p>
  <w:p w:rsidR="009D25D8" w:rsidRDefault="009D25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5D8" w:rsidRDefault="009D25D8">
    <w:pPr>
      <w:pStyle w:val="Footer"/>
      <w:jc w:val="center"/>
    </w:pPr>
    <w:r>
      <w:t xml:space="preserve">Page </w:t>
    </w:r>
    <w:r w:rsidR="00A964B5">
      <w:rPr>
        <w:b/>
        <w:sz w:val="24"/>
        <w:szCs w:val="24"/>
      </w:rPr>
      <w:fldChar w:fldCharType="begin"/>
    </w:r>
    <w:r>
      <w:rPr>
        <w:b/>
      </w:rPr>
      <w:instrText xml:space="preserve"> PAGE </w:instrText>
    </w:r>
    <w:r w:rsidR="00A964B5">
      <w:rPr>
        <w:b/>
        <w:sz w:val="24"/>
        <w:szCs w:val="24"/>
      </w:rPr>
      <w:fldChar w:fldCharType="separate"/>
    </w:r>
    <w:r w:rsidR="00164939">
      <w:rPr>
        <w:b/>
        <w:noProof/>
      </w:rPr>
      <w:t>1</w:t>
    </w:r>
    <w:r w:rsidR="00A964B5">
      <w:rPr>
        <w:b/>
        <w:sz w:val="24"/>
        <w:szCs w:val="24"/>
      </w:rPr>
      <w:fldChar w:fldCharType="end"/>
    </w:r>
    <w:r>
      <w:t xml:space="preserve"> of </w:t>
    </w:r>
    <w:r w:rsidR="00A964B5">
      <w:rPr>
        <w:b/>
        <w:sz w:val="24"/>
        <w:szCs w:val="24"/>
      </w:rPr>
      <w:fldChar w:fldCharType="begin"/>
    </w:r>
    <w:r>
      <w:rPr>
        <w:b/>
      </w:rPr>
      <w:instrText xml:space="preserve"> NUMPAGES  </w:instrText>
    </w:r>
    <w:r w:rsidR="00A964B5">
      <w:rPr>
        <w:b/>
        <w:sz w:val="24"/>
        <w:szCs w:val="24"/>
      </w:rPr>
      <w:fldChar w:fldCharType="separate"/>
    </w:r>
    <w:r w:rsidR="00164939">
      <w:rPr>
        <w:b/>
        <w:noProof/>
      </w:rPr>
      <w:t>4</w:t>
    </w:r>
    <w:r w:rsidR="00A964B5">
      <w:rPr>
        <w:b/>
        <w:sz w:val="24"/>
        <w:szCs w:val="24"/>
      </w:rPr>
      <w:fldChar w:fldCharType="end"/>
    </w:r>
  </w:p>
  <w:p w:rsidR="009D25D8" w:rsidRDefault="009D25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5D8" w:rsidRDefault="009D25D8">
      <w:r>
        <w:separator/>
      </w:r>
    </w:p>
  </w:footnote>
  <w:footnote w:type="continuationSeparator" w:id="0">
    <w:p w:rsidR="009D25D8" w:rsidRDefault="009D25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4110B"/>
    <w:multiLevelType w:val="hybridMultilevel"/>
    <w:tmpl w:val="01685AF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167C3E0F"/>
    <w:multiLevelType w:val="multilevel"/>
    <w:tmpl w:val="C16CF884"/>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6C41885"/>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3">
    <w:nsid w:val="17D86982"/>
    <w:multiLevelType w:val="multilevel"/>
    <w:tmpl w:val="F7D8DBB4"/>
    <w:lvl w:ilvl="0">
      <w:start w:val="1"/>
      <w:numFmt w:val="bullet"/>
      <w:lvlText w:val=""/>
      <w:lvlJc w:val="left"/>
      <w:pPr>
        <w:tabs>
          <w:tab w:val="num" w:pos="340"/>
        </w:tabs>
        <w:ind w:left="340" w:hanging="34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BB809EC"/>
    <w:multiLevelType w:val="hybridMultilevel"/>
    <w:tmpl w:val="BDE44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2C23241"/>
    <w:multiLevelType w:val="multilevel"/>
    <w:tmpl w:val="2D7A12B6"/>
    <w:lvl w:ilvl="0">
      <w:start w:val="1"/>
      <w:numFmt w:val="bullet"/>
      <w:lvlText w:val=""/>
      <w:lvlJc w:val="left"/>
      <w:pPr>
        <w:tabs>
          <w:tab w:val="num" w:pos="1800"/>
        </w:tabs>
        <w:ind w:left="1800" w:hanging="360"/>
      </w:pPr>
      <w:rPr>
        <w:rFonts w:ascii="Symbol" w:hAnsi="Symbol" w:hint="default"/>
        <w:b w:val="0"/>
        <w:i w:val="0"/>
        <w:sz w:val="18"/>
        <w:szCs w:val="18"/>
      </w:rPr>
    </w:lvl>
    <w:lvl w:ilvl="1">
      <w:start w:val="1"/>
      <w:numFmt w:val="bullet"/>
      <w:lvlText w:val="o"/>
      <w:lvlJc w:val="left"/>
      <w:pPr>
        <w:tabs>
          <w:tab w:val="num" w:pos="2880"/>
        </w:tabs>
        <w:ind w:left="2880" w:hanging="360"/>
      </w:pPr>
      <w:rPr>
        <w:rFonts w:ascii="Courier New" w:hAnsi="Courier New" w:cs="Wingding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Wingdings"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Wingdings"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27680BCE"/>
    <w:multiLevelType w:val="hybridMultilevel"/>
    <w:tmpl w:val="0CEAD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96E2E7E"/>
    <w:multiLevelType w:val="singleLevel"/>
    <w:tmpl w:val="5DD401CA"/>
    <w:lvl w:ilvl="0">
      <w:start w:val="1"/>
      <w:numFmt w:val="bullet"/>
      <w:lvlText w:val=""/>
      <w:lvlJc w:val="left"/>
      <w:pPr>
        <w:tabs>
          <w:tab w:val="num" w:pos="360"/>
        </w:tabs>
        <w:ind w:left="360" w:hanging="360"/>
      </w:pPr>
      <w:rPr>
        <w:rFonts w:ascii="Symbol" w:hAnsi="Symbol" w:hint="default"/>
        <w:sz w:val="16"/>
      </w:rPr>
    </w:lvl>
  </w:abstractNum>
  <w:abstractNum w:abstractNumId="8">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9">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1B87F8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1">
    <w:nsid w:val="41EF33EB"/>
    <w:multiLevelType w:val="hybridMultilevel"/>
    <w:tmpl w:val="3A2C1D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52942FBD"/>
    <w:multiLevelType w:val="hybridMultilevel"/>
    <w:tmpl w:val="6170607C"/>
    <w:lvl w:ilvl="0" w:tplc="E58CE03C">
      <w:start w:val="1"/>
      <w:numFmt w:val="bullet"/>
      <w:lvlText w:val=""/>
      <w:lvlJc w:val="left"/>
      <w:pPr>
        <w:ind w:left="360" w:hanging="360"/>
      </w:pPr>
      <w:rPr>
        <w:rFonts w:ascii="Symbol" w:hAnsi="Symbol" w:hint="default"/>
      </w:rPr>
    </w:lvl>
    <w:lvl w:ilvl="1" w:tplc="E6F6132E" w:tentative="1">
      <w:start w:val="1"/>
      <w:numFmt w:val="bullet"/>
      <w:lvlText w:val="o"/>
      <w:lvlJc w:val="left"/>
      <w:pPr>
        <w:ind w:left="1080" w:hanging="360"/>
      </w:pPr>
      <w:rPr>
        <w:rFonts w:ascii="Courier New" w:hAnsi="Courier New" w:cs="Courier New" w:hint="default"/>
      </w:rPr>
    </w:lvl>
    <w:lvl w:ilvl="2" w:tplc="3D1CB14A" w:tentative="1">
      <w:start w:val="1"/>
      <w:numFmt w:val="bullet"/>
      <w:lvlText w:val=""/>
      <w:lvlJc w:val="left"/>
      <w:pPr>
        <w:ind w:left="1800" w:hanging="360"/>
      </w:pPr>
      <w:rPr>
        <w:rFonts w:ascii="Wingdings" w:hAnsi="Wingdings" w:hint="default"/>
      </w:rPr>
    </w:lvl>
    <w:lvl w:ilvl="3" w:tplc="ED743610" w:tentative="1">
      <w:start w:val="1"/>
      <w:numFmt w:val="bullet"/>
      <w:lvlText w:val=""/>
      <w:lvlJc w:val="left"/>
      <w:pPr>
        <w:ind w:left="2520" w:hanging="360"/>
      </w:pPr>
      <w:rPr>
        <w:rFonts w:ascii="Symbol" w:hAnsi="Symbol" w:hint="default"/>
      </w:rPr>
    </w:lvl>
    <w:lvl w:ilvl="4" w:tplc="5412CCC4" w:tentative="1">
      <w:start w:val="1"/>
      <w:numFmt w:val="bullet"/>
      <w:lvlText w:val="o"/>
      <w:lvlJc w:val="left"/>
      <w:pPr>
        <w:ind w:left="3240" w:hanging="360"/>
      </w:pPr>
      <w:rPr>
        <w:rFonts w:ascii="Courier New" w:hAnsi="Courier New" w:cs="Courier New" w:hint="default"/>
      </w:rPr>
    </w:lvl>
    <w:lvl w:ilvl="5" w:tplc="F010266A" w:tentative="1">
      <w:start w:val="1"/>
      <w:numFmt w:val="bullet"/>
      <w:lvlText w:val=""/>
      <w:lvlJc w:val="left"/>
      <w:pPr>
        <w:ind w:left="3960" w:hanging="360"/>
      </w:pPr>
      <w:rPr>
        <w:rFonts w:ascii="Wingdings" w:hAnsi="Wingdings" w:hint="default"/>
      </w:rPr>
    </w:lvl>
    <w:lvl w:ilvl="6" w:tplc="05CE0146" w:tentative="1">
      <w:start w:val="1"/>
      <w:numFmt w:val="bullet"/>
      <w:lvlText w:val=""/>
      <w:lvlJc w:val="left"/>
      <w:pPr>
        <w:ind w:left="4680" w:hanging="360"/>
      </w:pPr>
      <w:rPr>
        <w:rFonts w:ascii="Symbol" w:hAnsi="Symbol" w:hint="default"/>
      </w:rPr>
    </w:lvl>
    <w:lvl w:ilvl="7" w:tplc="3E74408C" w:tentative="1">
      <w:start w:val="1"/>
      <w:numFmt w:val="bullet"/>
      <w:lvlText w:val="o"/>
      <w:lvlJc w:val="left"/>
      <w:pPr>
        <w:ind w:left="5400" w:hanging="360"/>
      </w:pPr>
      <w:rPr>
        <w:rFonts w:ascii="Courier New" w:hAnsi="Courier New" w:cs="Courier New" w:hint="default"/>
      </w:rPr>
    </w:lvl>
    <w:lvl w:ilvl="8" w:tplc="ACD6F936" w:tentative="1">
      <w:start w:val="1"/>
      <w:numFmt w:val="bullet"/>
      <w:lvlText w:val=""/>
      <w:lvlJc w:val="left"/>
      <w:pPr>
        <w:ind w:left="6120" w:hanging="360"/>
      </w:pPr>
      <w:rPr>
        <w:rFonts w:ascii="Wingdings" w:hAnsi="Wingdings" w:hint="default"/>
      </w:rPr>
    </w:lvl>
  </w:abstractNum>
  <w:abstractNum w:abstractNumId="13">
    <w:nsid w:val="554742D7"/>
    <w:multiLevelType w:val="hybridMultilevel"/>
    <w:tmpl w:val="0ED8B7F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nsid w:val="5A192ECD"/>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5">
    <w:nsid w:val="60A14C00"/>
    <w:multiLevelType w:val="hybridMultilevel"/>
    <w:tmpl w:val="1C069290"/>
    <w:lvl w:ilvl="0" w:tplc="C160F1F4">
      <w:start w:val="1"/>
      <w:numFmt w:val="bullet"/>
      <w:pStyle w:val="Heading3"/>
      <w:lvlText w:val=""/>
      <w:lvlJc w:val="left"/>
      <w:pPr>
        <w:tabs>
          <w:tab w:val="num" w:pos="284"/>
        </w:tabs>
        <w:ind w:left="284" w:hanging="284"/>
      </w:pPr>
      <w:rPr>
        <w:rFonts w:ascii="Symbol" w:hAnsi="Symbol" w:hint="default"/>
        <w:sz w:val="20"/>
      </w:rPr>
    </w:lvl>
    <w:lvl w:ilvl="1" w:tplc="E8AEF58C">
      <w:start w:val="1"/>
      <w:numFmt w:val="bullet"/>
      <w:pStyle w:val="List2"/>
      <w:lvlText w:val=""/>
      <w:lvlJc w:val="left"/>
      <w:pPr>
        <w:tabs>
          <w:tab w:val="num" w:pos="1440"/>
        </w:tabs>
        <w:ind w:left="1440" w:hanging="360"/>
      </w:pPr>
      <w:rPr>
        <w:rFonts w:ascii="Wingdings" w:hAnsi="Wingdings"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3A624D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7">
    <w:nsid w:val="656523B6"/>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8">
    <w:nsid w:val="76B00085"/>
    <w:multiLevelType w:val="singleLevel"/>
    <w:tmpl w:val="789C8126"/>
    <w:lvl w:ilvl="0">
      <w:start w:val="1"/>
      <w:numFmt w:val="decimal"/>
      <w:lvlText w:val="%1."/>
      <w:lvlJc w:val="left"/>
      <w:pPr>
        <w:tabs>
          <w:tab w:val="num" w:pos="360"/>
        </w:tabs>
        <w:ind w:left="360" w:hanging="360"/>
      </w:pPr>
    </w:lvl>
  </w:abstractNum>
  <w:abstractNum w:abstractNumId="19">
    <w:nsid w:val="7731652B"/>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num w:numId="1">
    <w:abstractNumId w:val="5"/>
  </w:num>
  <w:num w:numId="2">
    <w:abstractNumId w:val="7"/>
  </w:num>
  <w:num w:numId="3">
    <w:abstractNumId w:val="16"/>
  </w:num>
  <w:num w:numId="4">
    <w:abstractNumId w:val="2"/>
  </w:num>
  <w:num w:numId="5">
    <w:abstractNumId w:val="14"/>
  </w:num>
  <w:num w:numId="6">
    <w:abstractNumId w:val="8"/>
  </w:num>
  <w:num w:numId="7">
    <w:abstractNumId w:val="19"/>
  </w:num>
  <w:num w:numId="8">
    <w:abstractNumId w:val="17"/>
  </w:num>
  <w:num w:numId="9">
    <w:abstractNumId w:val="10"/>
  </w:num>
  <w:num w:numId="10">
    <w:abstractNumId w:val="9"/>
  </w:num>
  <w:num w:numId="11">
    <w:abstractNumId w:val="18"/>
  </w:num>
  <w:num w:numId="12">
    <w:abstractNumId w:val="0"/>
  </w:num>
  <w:num w:numId="13">
    <w:abstractNumId w:val="18"/>
  </w:num>
  <w:num w:numId="14">
    <w:abstractNumId w:val="15"/>
  </w:num>
  <w:num w:numId="15">
    <w:abstractNumId w:val="1"/>
  </w:num>
  <w:num w:numId="16">
    <w:abstractNumId w:val="3"/>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3"/>
  </w:num>
  <w:num w:numId="40">
    <w:abstractNumId w:val="4"/>
  </w:num>
  <w:num w:numId="41">
    <w:abstractNumId w:val="6"/>
  </w:num>
  <w:num w:numId="42">
    <w:abstractNumId w:val="15"/>
  </w:num>
  <w:num w:numId="43">
    <w:abstractNumId w:val="11"/>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stylePaneFormatFilter w:val="3F01"/>
  <w:defaultTabStop w:val="284"/>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rsids>
    <w:rsidRoot w:val="00F92B15"/>
    <w:rsid w:val="00007693"/>
    <w:rsid w:val="00014ED7"/>
    <w:rsid w:val="0001777F"/>
    <w:rsid w:val="00020327"/>
    <w:rsid w:val="00023C95"/>
    <w:rsid w:val="00035AEB"/>
    <w:rsid w:val="000429C5"/>
    <w:rsid w:val="00051CF3"/>
    <w:rsid w:val="00055F40"/>
    <w:rsid w:val="00063365"/>
    <w:rsid w:val="000704D9"/>
    <w:rsid w:val="00073608"/>
    <w:rsid w:val="00081824"/>
    <w:rsid w:val="000856CA"/>
    <w:rsid w:val="00095995"/>
    <w:rsid w:val="000A66E7"/>
    <w:rsid w:val="000C1ACB"/>
    <w:rsid w:val="000C430C"/>
    <w:rsid w:val="000C4CD6"/>
    <w:rsid w:val="00104029"/>
    <w:rsid w:val="001068D8"/>
    <w:rsid w:val="001078A1"/>
    <w:rsid w:val="00111C74"/>
    <w:rsid w:val="00111E10"/>
    <w:rsid w:val="00133270"/>
    <w:rsid w:val="00142B0A"/>
    <w:rsid w:val="0014525E"/>
    <w:rsid w:val="001629C5"/>
    <w:rsid w:val="00164939"/>
    <w:rsid w:val="00165FF9"/>
    <w:rsid w:val="001A21C9"/>
    <w:rsid w:val="001A3A76"/>
    <w:rsid w:val="001B06DB"/>
    <w:rsid w:val="001C782E"/>
    <w:rsid w:val="001E53D0"/>
    <w:rsid w:val="001F1FC1"/>
    <w:rsid w:val="00214220"/>
    <w:rsid w:val="00217E7B"/>
    <w:rsid w:val="00261580"/>
    <w:rsid w:val="00261ED3"/>
    <w:rsid w:val="00276641"/>
    <w:rsid w:val="002822CF"/>
    <w:rsid w:val="002A2C96"/>
    <w:rsid w:val="002B21F6"/>
    <w:rsid w:val="002B3EB1"/>
    <w:rsid w:val="002C196C"/>
    <w:rsid w:val="002D1F07"/>
    <w:rsid w:val="002E4A8F"/>
    <w:rsid w:val="00301495"/>
    <w:rsid w:val="00304325"/>
    <w:rsid w:val="0030757B"/>
    <w:rsid w:val="0032627D"/>
    <w:rsid w:val="00337D32"/>
    <w:rsid w:val="00354750"/>
    <w:rsid w:val="00385E61"/>
    <w:rsid w:val="003A1926"/>
    <w:rsid w:val="003B6F98"/>
    <w:rsid w:val="003C28E0"/>
    <w:rsid w:val="003D3452"/>
    <w:rsid w:val="003F13D4"/>
    <w:rsid w:val="0040268F"/>
    <w:rsid w:val="004202FB"/>
    <w:rsid w:val="00420A5B"/>
    <w:rsid w:val="00431FE1"/>
    <w:rsid w:val="00437138"/>
    <w:rsid w:val="004724B6"/>
    <w:rsid w:val="0047628B"/>
    <w:rsid w:val="004937F8"/>
    <w:rsid w:val="00493840"/>
    <w:rsid w:val="004A651A"/>
    <w:rsid w:val="004B2A61"/>
    <w:rsid w:val="004D2140"/>
    <w:rsid w:val="004F2A9F"/>
    <w:rsid w:val="004F56D4"/>
    <w:rsid w:val="005005EA"/>
    <w:rsid w:val="00543625"/>
    <w:rsid w:val="00543994"/>
    <w:rsid w:val="00556655"/>
    <w:rsid w:val="0057210C"/>
    <w:rsid w:val="00572C76"/>
    <w:rsid w:val="005B3AA7"/>
    <w:rsid w:val="005C12D1"/>
    <w:rsid w:val="005C3387"/>
    <w:rsid w:val="005C7405"/>
    <w:rsid w:val="005D26C8"/>
    <w:rsid w:val="005D5D08"/>
    <w:rsid w:val="005F24B5"/>
    <w:rsid w:val="00604403"/>
    <w:rsid w:val="006109DA"/>
    <w:rsid w:val="00617DA6"/>
    <w:rsid w:val="0063708B"/>
    <w:rsid w:val="00646305"/>
    <w:rsid w:val="00647B8F"/>
    <w:rsid w:val="00662D4D"/>
    <w:rsid w:val="006735BA"/>
    <w:rsid w:val="006805BC"/>
    <w:rsid w:val="00684895"/>
    <w:rsid w:val="006932D8"/>
    <w:rsid w:val="00694464"/>
    <w:rsid w:val="006A078B"/>
    <w:rsid w:val="006C3B6C"/>
    <w:rsid w:val="006C4A88"/>
    <w:rsid w:val="006D740D"/>
    <w:rsid w:val="006E3361"/>
    <w:rsid w:val="006E75C1"/>
    <w:rsid w:val="00711237"/>
    <w:rsid w:val="0072782F"/>
    <w:rsid w:val="007458F4"/>
    <w:rsid w:val="00793014"/>
    <w:rsid w:val="007A0E5D"/>
    <w:rsid w:val="007A4DF1"/>
    <w:rsid w:val="007B140F"/>
    <w:rsid w:val="007C1C7C"/>
    <w:rsid w:val="007C31E9"/>
    <w:rsid w:val="007D670B"/>
    <w:rsid w:val="007E2FAA"/>
    <w:rsid w:val="007F00B4"/>
    <w:rsid w:val="008122AB"/>
    <w:rsid w:val="00814A45"/>
    <w:rsid w:val="00821867"/>
    <w:rsid w:val="00822295"/>
    <w:rsid w:val="00823BB7"/>
    <w:rsid w:val="00831227"/>
    <w:rsid w:val="008324B4"/>
    <w:rsid w:val="00840CA5"/>
    <w:rsid w:val="00851EEF"/>
    <w:rsid w:val="00867C8E"/>
    <w:rsid w:val="0087020F"/>
    <w:rsid w:val="00876BCF"/>
    <w:rsid w:val="008805FC"/>
    <w:rsid w:val="0088336B"/>
    <w:rsid w:val="008A1B24"/>
    <w:rsid w:val="008A1D1B"/>
    <w:rsid w:val="008A7B78"/>
    <w:rsid w:val="008B2FB6"/>
    <w:rsid w:val="008B7741"/>
    <w:rsid w:val="008C4DB0"/>
    <w:rsid w:val="008D6E1E"/>
    <w:rsid w:val="008E5673"/>
    <w:rsid w:val="008F7745"/>
    <w:rsid w:val="00924A0E"/>
    <w:rsid w:val="009274C0"/>
    <w:rsid w:val="00935CDE"/>
    <w:rsid w:val="009461BA"/>
    <w:rsid w:val="00983BDA"/>
    <w:rsid w:val="00996878"/>
    <w:rsid w:val="009A2D3F"/>
    <w:rsid w:val="009D08AF"/>
    <w:rsid w:val="009D251A"/>
    <w:rsid w:val="009D25D8"/>
    <w:rsid w:val="009D6F11"/>
    <w:rsid w:val="009D705C"/>
    <w:rsid w:val="009E1DB8"/>
    <w:rsid w:val="009F2E4C"/>
    <w:rsid w:val="00A009DB"/>
    <w:rsid w:val="00A05982"/>
    <w:rsid w:val="00A06807"/>
    <w:rsid w:val="00A068E6"/>
    <w:rsid w:val="00A11194"/>
    <w:rsid w:val="00A1578C"/>
    <w:rsid w:val="00A27817"/>
    <w:rsid w:val="00A52D75"/>
    <w:rsid w:val="00A642C3"/>
    <w:rsid w:val="00A7587E"/>
    <w:rsid w:val="00A75E7D"/>
    <w:rsid w:val="00A9013D"/>
    <w:rsid w:val="00A964B5"/>
    <w:rsid w:val="00AC1043"/>
    <w:rsid w:val="00AC418E"/>
    <w:rsid w:val="00AD1558"/>
    <w:rsid w:val="00AD1789"/>
    <w:rsid w:val="00AD32D4"/>
    <w:rsid w:val="00AE0804"/>
    <w:rsid w:val="00B13591"/>
    <w:rsid w:val="00B53E86"/>
    <w:rsid w:val="00B54B64"/>
    <w:rsid w:val="00B562A6"/>
    <w:rsid w:val="00B60940"/>
    <w:rsid w:val="00B732D5"/>
    <w:rsid w:val="00B7336A"/>
    <w:rsid w:val="00B74D9F"/>
    <w:rsid w:val="00B75180"/>
    <w:rsid w:val="00B92DAC"/>
    <w:rsid w:val="00BB1CA4"/>
    <w:rsid w:val="00BB669E"/>
    <w:rsid w:val="00BC596D"/>
    <w:rsid w:val="00BC7203"/>
    <w:rsid w:val="00BE15BA"/>
    <w:rsid w:val="00BE302E"/>
    <w:rsid w:val="00BE3A87"/>
    <w:rsid w:val="00BE6FD3"/>
    <w:rsid w:val="00BF70B3"/>
    <w:rsid w:val="00C0606D"/>
    <w:rsid w:val="00C10F3F"/>
    <w:rsid w:val="00C221E8"/>
    <w:rsid w:val="00C2282D"/>
    <w:rsid w:val="00C41811"/>
    <w:rsid w:val="00C457D9"/>
    <w:rsid w:val="00C52892"/>
    <w:rsid w:val="00C537D1"/>
    <w:rsid w:val="00C613C5"/>
    <w:rsid w:val="00C77483"/>
    <w:rsid w:val="00C93B2C"/>
    <w:rsid w:val="00CC60C3"/>
    <w:rsid w:val="00CD5C7E"/>
    <w:rsid w:val="00CD64B8"/>
    <w:rsid w:val="00CE4372"/>
    <w:rsid w:val="00D10FFD"/>
    <w:rsid w:val="00D26ECE"/>
    <w:rsid w:val="00D30A41"/>
    <w:rsid w:val="00D96151"/>
    <w:rsid w:val="00DA0679"/>
    <w:rsid w:val="00DC5939"/>
    <w:rsid w:val="00DD563A"/>
    <w:rsid w:val="00DF4F36"/>
    <w:rsid w:val="00E07AF5"/>
    <w:rsid w:val="00E206FB"/>
    <w:rsid w:val="00E37292"/>
    <w:rsid w:val="00E41963"/>
    <w:rsid w:val="00E45EE6"/>
    <w:rsid w:val="00E61D20"/>
    <w:rsid w:val="00E670BD"/>
    <w:rsid w:val="00E744E0"/>
    <w:rsid w:val="00E85EC7"/>
    <w:rsid w:val="00E87E44"/>
    <w:rsid w:val="00ED3674"/>
    <w:rsid w:val="00ED49CF"/>
    <w:rsid w:val="00EE21EB"/>
    <w:rsid w:val="00EE639E"/>
    <w:rsid w:val="00EF0548"/>
    <w:rsid w:val="00F27102"/>
    <w:rsid w:val="00F44D5D"/>
    <w:rsid w:val="00F7264E"/>
    <w:rsid w:val="00F92B15"/>
    <w:rsid w:val="00FC1717"/>
    <w:rsid w:val="00FC2777"/>
    <w:rsid w:val="00FC3844"/>
    <w:rsid w:val="00FC62CF"/>
    <w:rsid w:val="00FD28E4"/>
    <w:rsid w:val="00FE3326"/>
    <w:rsid w:val="00FE71B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D1B"/>
    <w:pPr>
      <w:spacing w:before="120"/>
      <w:jc w:val="both"/>
    </w:pPr>
    <w:rPr>
      <w:rFonts w:ascii="Times" w:hAnsi="Times"/>
      <w:sz w:val="24"/>
    </w:rPr>
  </w:style>
  <w:style w:type="paragraph" w:styleId="Heading1">
    <w:name w:val="heading 1"/>
    <w:basedOn w:val="Normal"/>
    <w:qFormat/>
    <w:rsid w:val="00684895"/>
    <w:pPr>
      <w:keepNext/>
      <w:keepLines/>
      <w:spacing w:before="240"/>
      <w:jc w:val="center"/>
      <w:outlineLvl w:val="0"/>
    </w:pPr>
    <w:rPr>
      <w:rFonts w:ascii="Arial" w:hAnsi="Arial"/>
      <w:b/>
      <w:bCs/>
      <w:caps/>
    </w:rPr>
  </w:style>
  <w:style w:type="paragraph" w:styleId="Heading2">
    <w:name w:val="heading 2"/>
    <w:basedOn w:val="Normal"/>
    <w:qFormat/>
    <w:rsid w:val="00684895"/>
    <w:pPr>
      <w:spacing w:before="360"/>
      <w:outlineLvl w:val="1"/>
    </w:pPr>
    <w:rPr>
      <w:rFonts w:ascii="Arial" w:hAnsi="Arial"/>
      <w:b/>
      <w:bCs/>
    </w:rPr>
  </w:style>
  <w:style w:type="paragraph" w:styleId="Heading3">
    <w:name w:val="heading 3"/>
    <w:basedOn w:val="Normal"/>
    <w:qFormat/>
    <w:rsid w:val="004937F8"/>
    <w:pPr>
      <w:numPr>
        <w:numId w:val="14"/>
      </w:numPr>
      <w:spacing w:before="24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13D4"/>
    <w:rPr>
      <w:sz w:val="16"/>
    </w:rPr>
  </w:style>
  <w:style w:type="paragraph" w:customStyle="1" w:styleId="ActTitle">
    <w:name w:val="Act Title"/>
    <w:basedOn w:val="Normal"/>
    <w:rsid w:val="004937F8"/>
    <w:pPr>
      <w:jc w:val="center"/>
    </w:pPr>
    <w:rPr>
      <w:rFonts w:ascii="Arial" w:hAnsi="Arial"/>
      <w:i/>
      <w:iCs/>
    </w:rPr>
  </w:style>
  <w:style w:type="paragraph" w:styleId="BalloonText">
    <w:name w:val="Balloon Text"/>
    <w:basedOn w:val="Normal"/>
    <w:semiHidden/>
    <w:rsid w:val="00B732D5"/>
    <w:rPr>
      <w:rFonts w:ascii="Tahoma" w:hAnsi="Tahoma" w:cs="Tahoma"/>
      <w:sz w:val="16"/>
      <w:szCs w:val="16"/>
    </w:rPr>
  </w:style>
  <w:style w:type="character" w:styleId="CommentReference">
    <w:name w:val="annotation reference"/>
    <w:semiHidden/>
    <w:rsid w:val="00104029"/>
    <w:rPr>
      <w:sz w:val="16"/>
      <w:szCs w:val="16"/>
    </w:rPr>
  </w:style>
  <w:style w:type="paragraph" w:styleId="CommentText">
    <w:name w:val="annotation text"/>
    <w:basedOn w:val="Normal"/>
    <w:semiHidden/>
    <w:rsid w:val="00104029"/>
  </w:style>
  <w:style w:type="paragraph" w:styleId="CommentSubject">
    <w:name w:val="annotation subject"/>
    <w:basedOn w:val="CommentText"/>
    <w:next w:val="CommentText"/>
    <w:semiHidden/>
    <w:rsid w:val="00104029"/>
    <w:rPr>
      <w:b/>
      <w:bCs/>
    </w:rPr>
  </w:style>
  <w:style w:type="paragraph" w:customStyle="1" w:styleId="Instructions">
    <w:name w:val="Instructions"/>
    <w:basedOn w:val="Normal"/>
    <w:link w:val="InstructionsChar"/>
    <w:rsid w:val="00020327"/>
    <w:rPr>
      <w:rFonts w:ascii="Arial" w:hAnsi="Arial" w:cs="Arial"/>
      <w:i/>
      <w:color w:val="0000FF"/>
      <w:sz w:val="20"/>
    </w:rPr>
  </w:style>
  <w:style w:type="character" w:customStyle="1" w:styleId="InstructionsChar">
    <w:name w:val="Instructions Char"/>
    <w:link w:val="Instructions"/>
    <w:rsid w:val="00020327"/>
    <w:rPr>
      <w:rFonts w:ascii="Arial" w:hAnsi="Arial" w:cs="Arial"/>
      <w:i/>
      <w:color w:val="0000FF"/>
      <w:lang w:val="en-AU" w:eastAsia="en-AU" w:bidi="ar-SA"/>
    </w:rPr>
  </w:style>
  <w:style w:type="paragraph" w:customStyle="1" w:styleId="StrategicAssessmentText">
    <w:name w:val="Strategic Assessment Text"/>
    <w:basedOn w:val="Normal"/>
    <w:rsid w:val="008A1D1B"/>
    <w:pPr>
      <w:ind w:left="284"/>
    </w:pPr>
  </w:style>
  <w:style w:type="paragraph" w:styleId="Header">
    <w:name w:val="header"/>
    <w:basedOn w:val="Normal"/>
    <w:rsid w:val="00FE71B0"/>
    <w:pPr>
      <w:tabs>
        <w:tab w:val="center" w:pos="4153"/>
        <w:tab w:val="right" w:pos="8306"/>
      </w:tabs>
    </w:pPr>
  </w:style>
  <w:style w:type="character" w:styleId="Hyperlink">
    <w:name w:val="Hyperlink"/>
    <w:rsid w:val="00FE71B0"/>
    <w:rPr>
      <w:color w:val="0000FF"/>
      <w:u w:val="single"/>
    </w:rPr>
  </w:style>
  <w:style w:type="paragraph" w:styleId="List2">
    <w:name w:val="List 2"/>
    <w:basedOn w:val="Normal"/>
    <w:rsid w:val="00823BB7"/>
    <w:pPr>
      <w:numPr>
        <w:ilvl w:val="1"/>
        <w:numId w:val="14"/>
      </w:numPr>
    </w:pPr>
  </w:style>
  <w:style w:type="character" w:styleId="FollowedHyperlink">
    <w:name w:val="FollowedHyperlink"/>
    <w:rsid w:val="00035AEB"/>
    <w:rPr>
      <w:color w:val="800080"/>
      <w:u w:val="single"/>
    </w:rPr>
  </w:style>
  <w:style w:type="paragraph" w:customStyle="1" w:styleId="Bodytext">
    <w:name w:val="Body text"/>
    <w:basedOn w:val="Normal"/>
    <w:rsid w:val="003A1926"/>
    <w:pPr>
      <w:overflowPunct w:val="0"/>
      <w:autoSpaceDE w:val="0"/>
      <w:autoSpaceDN w:val="0"/>
      <w:adjustRightInd w:val="0"/>
      <w:spacing w:before="0" w:after="119"/>
      <w:ind w:left="1134"/>
    </w:pPr>
    <w:rPr>
      <w:sz w:val="22"/>
    </w:rPr>
  </w:style>
  <w:style w:type="character" w:customStyle="1" w:styleId="FooterChar">
    <w:name w:val="Footer Char"/>
    <w:basedOn w:val="DefaultParagraphFont"/>
    <w:link w:val="Footer"/>
    <w:uiPriority w:val="99"/>
    <w:rsid w:val="002B21F6"/>
    <w:rPr>
      <w:rFonts w:ascii="Times" w:hAnsi="Times"/>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rategicplanning@geelongcity.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elongaustralia.com.au/amendm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ategicplanning@geelongcity.vic.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elwp.vic.gov.au/public-inspection" TargetMode="External"/><Relationship Id="rId4" Type="http://schemas.openxmlformats.org/officeDocument/2006/relationships/settings" Target="settings.xml"/><Relationship Id="rId9" Type="http://schemas.openxmlformats.org/officeDocument/2006/relationships/hyperlink" Target="http://www.geelongaustralia.com.au/amend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7B4AB-9839-4672-BB0A-C2A7326D7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1658</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DOI</Company>
  <LinksUpToDate>false</LinksUpToDate>
  <CharactersWithSpaces>11040</CharactersWithSpaces>
  <SharedDoc>false</SharedDoc>
  <HLinks>
    <vt:vector size="18" baseType="variant">
      <vt:variant>
        <vt:i4>1835018</vt:i4>
      </vt:variant>
      <vt:variant>
        <vt:i4>6</vt:i4>
      </vt:variant>
      <vt:variant>
        <vt:i4>0</vt:i4>
      </vt:variant>
      <vt:variant>
        <vt:i4>5</vt:i4>
      </vt:variant>
      <vt:variant>
        <vt:lpwstr>http://www.dtpli.vic.gov.au/publicinspection</vt:lpwstr>
      </vt:variant>
      <vt:variant>
        <vt:lpwstr/>
      </vt:variant>
      <vt:variant>
        <vt:i4>4653058</vt:i4>
      </vt:variant>
      <vt:variant>
        <vt:i4>3</vt:i4>
      </vt:variant>
      <vt:variant>
        <vt:i4>0</vt:i4>
      </vt:variant>
      <vt:variant>
        <vt:i4>5</vt:i4>
      </vt:variant>
      <vt:variant>
        <vt:lpwstr>http://www.dpcd.vic.gov.au/__data/assets/pdf_file/0016/41371/46-Strategic-Assessment-Guidelines_October-2013.pdf</vt:lpwstr>
      </vt:variant>
      <vt:variant>
        <vt:lpwstr/>
      </vt:variant>
      <vt:variant>
        <vt:i4>5046394</vt:i4>
      </vt:variant>
      <vt:variant>
        <vt:i4>0</vt:i4>
      </vt:variant>
      <vt:variant>
        <vt:i4>0</vt:i4>
      </vt:variant>
      <vt:variant>
        <vt:i4>5</vt:i4>
      </vt:variant>
      <vt:variant>
        <vt:lpwstr>http://www.dpcd.vic.gov.au/__data/assets/word_doc/0004/147523/v1_T133I_Use_of_standard_terms_for_the_Explanatory_report_and_application_forms-1-May-2013.doc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de Saram</dc:creator>
  <cp:lastModifiedBy>ps04759</cp:lastModifiedBy>
  <cp:revision>11</cp:revision>
  <cp:lastPrinted>2013-03-27T03:23:00Z</cp:lastPrinted>
  <dcterms:created xsi:type="dcterms:W3CDTF">2017-03-30T05:25:00Z</dcterms:created>
  <dcterms:modified xsi:type="dcterms:W3CDTF">2017-04-19T02:30:00Z</dcterms:modified>
</cp:coreProperties>
</file>