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194C" w:rsidRDefault="00DE194C">
      <w:pPr>
        <w:pStyle w:val="newherbertstylebody"/>
      </w:pPr>
    </w:p>
    <w:p w:rsidR="00DE194C" w:rsidRDefault="00ED133C">
      <w:pPr>
        <w:pStyle w:val="newherbertstylebody"/>
      </w:pPr>
      <w:r>
        <w:rPr>
          <w:b/>
          <w:bCs/>
          <w:noProof/>
          <w:lang w:val="en-AU" w:eastAsia="en-AU"/>
        </w:rPr>
        <w:drawing>
          <wp:anchor distT="0" distB="0" distL="0" distR="0" simplePos="0" relativeHeight="251664384" behindDoc="0" locked="0" layoutInCell="1" allowOverlap="1">
            <wp:simplePos x="0" y="0"/>
            <wp:positionH relativeFrom="margin">
              <wp:posOffset>-10820</wp:posOffset>
            </wp:positionH>
            <wp:positionV relativeFrom="line">
              <wp:posOffset>384140</wp:posOffset>
            </wp:positionV>
            <wp:extent cx="3328134" cy="50800"/>
            <wp:effectExtent l="0" t="0" r="0" b="0"/>
            <wp:wrapThrough wrapText="bothSides" distL="0" distR="0">
              <wp:wrapPolygon edited="1">
                <wp:start x="157" y="-12"/>
                <wp:lineTo x="149" y="0"/>
                <wp:lineTo x="149" y="11"/>
                <wp:lineTo x="147" y="18"/>
                <wp:lineTo x="145" y="27"/>
                <wp:lineTo x="143" y="38"/>
                <wp:lineTo x="141" y="51"/>
                <wp:lineTo x="139" y="65"/>
                <wp:lineTo x="137" y="81"/>
                <wp:lineTo x="135" y="99"/>
                <wp:lineTo x="133" y="118"/>
                <wp:lineTo x="131" y="139"/>
                <wp:lineTo x="128" y="162"/>
                <wp:lineTo x="126" y="186"/>
                <wp:lineTo x="124" y="212"/>
                <wp:lineTo x="122" y="240"/>
                <wp:lineTo x="120" y="269"/>
                <wp:lineTo x="118" y="300"/>
                <wp:lineTo x="116" y="332"/>
                <wp:lineTo x="114" y="366"/>
                <wp:lineTo x="112" y="401"/>
                <wp:lineTo x="110" y="438"/>
                <wp:lineTo x="108" y="477"/>
                <wp:lineTo x="107" y="517"/>
                <wp:lineTo x="105" y="559"/>
                <wp:lineTo x="103" y="602"/>
                <wp:lineTo x="101" y="646"/>
                <wp:lineTo x="99" y="692"/>
                <wp:lineTo x="97" y="740"/>
                <wp:lineTo x="95" y="789"/>
                <wp:lineTo x="93" y="840"/>
                <wp:lineTo x="91" y="891"/>
                <wp:lineTo x="90" y="945"/>
                <wp:lineTo x="88" y="1000"/>
                <wp:lineTo x="86" y="1056"/>
                <wp:lineTo x="84" y="1113"/>
                <wp:lineTo x="82" y="1172"/>
                <wp:lineTo x="81" y="1233"/>
                <wp:lineTo x="79" y="1294"/>
                <wp:lineTo x="77" y="1357"/>
                <wp:lineTo x="75" y="1422"/>
                <wp:lineTo x="74" y="1487"/>
                <wp:lineTo x="72" y="1554"/>
                <wp:lineTo x="70" y="1623"/>
                <wp:lineTo x="68" y="1692"/>
                <wp:lineTo x="67" y="1763"/>
                <wp:lineTo x="65" y="1835"/>
                <wp:lineTo x="63" y="1909"/>
                <wp:lineTo x="62" y="1983"/>
                <wp:lineTo x="60" y="2059"/>
                <wp:lineTo x="59" y="2136"/>
                <wp:lineTo x="57" y="2215"/>
                <wp:lineTo x="55" y="2294"/>
                <wp:lineTo x="54" y="2375"/>
                <wp:lineTo x="52" y="2457"/>
                <wp:lineTo x="51" y="2540"/>
                <wp:lineTo x="49" y="2625"/>
                <wp:lineTo x="48" y="2710"/>
                <wp:lineTo x="46" y="2797"/>
                <wp:lineTo x="45" y="2884"/>
                <wp:lineTo x="44" y="2973"/>
                <wp:lineTo x="42" y="3063"/>
                <wp:lineTo x="41" y="3154"/>
                <wp:lineTo x="39" y="3246"/>
                <wp:lineTo x="38" y="3339"/>
                <wp:lineTo x="37" y="3434"/>
                <wp:lineTo x="35" y="3529"/>
                <wp:lineTo x="34" y="3625"/>
                <wp:lineTo x="33" y="3723"/>
                <wp:lineTo x="31" y="3821"/>
                <wp:lineTo x="30" y="3920"/>
                <wp:lineTo x="29" y="4021"/>
                <wp:lineTo x="28" y="4122"/>
                <wp:lineTo x="26" y="4224"/>
                <wp:lineTo x="25" y="4328"/>
                <wp:lineTo x="24" y="4432"/>
                <wp:lineTo x="23" y="4537"/>
                <wp:lineTo x="22" y="4643"/>
                <wp:lineTo x="21" y="4750"/>
                <wp:lineTo x="19" y="4858"/>
                <wp:lineTo x="18" y="4967"/>
                <wp:lineTo x="17" y="5077"/>
                <wp:lineTo x="16" y="5187"/>
                <wp:lineTo x="15" y="5299"/>
                <wp:lineTo x="14" y="5411"/>
                <wp:lineTo x="13" y="5524"/>
                <wp:lineTo x="12" y="5638"/>
                <wp:lineTo x="11" y="5753"/>
                <wp:lineTo x="10" y="5869"/>
                <wp:lineTo x="10" y="5985"/>
                <wp:lineTo x="9" y="6102"/>
                <wp:lineTo x="8" y="6220"/>
                <wp:lineTo x="7" y="6339"/>
                <wp:lineTo x="6" y="6459"/>
                <wp:lineTo x="5" y="6579"/>
                <wp:lineTo x="5" y="6700"/>
                <wp:lineTo x="4" y="6821"/>
                <wp:lineTo x="3" y="6944"/>
                <wp:lineTo x="2" y="7067"/>
                <wp:lineTo x="2" y="7191"/>
                <wp:lineTo x="1" y="7315"/>
                <wp:lineTo x="0" y="7440"/>
                <wp:lineTo x="0" y="7566"/>
                <wp:lineTo x="-1" y="7692"/>
                <wp:lineTo x="-1" y="7819"/>
                <wp:lineTo x="-2" y="7947"/>
                <wp:lineTo x="-2" y="8075"/>
                <wp:lineTo x="-3" y="8204"/>
                <wp:lineTo x="-3" y="8333"/>
                <wp:lineTo x="-4" y="8463"/>
                <wp:lineTo x="-4" y="8594"/>
                <wp:lineTo x="-5" y="8725"/>
                <wp:lineTo x="-5" y="8857"/>
                <wp:lineTo x="-5" y="8989"/>
                <wp:lineTo x="-6" y="9122"/>
                <wp:lineTo x="-6" y="9255"/>
                <wp:lineTo x="-6" y="9388"/>
                <wp:lineTo x="-7" y="9523"/>
                <wp:lineTo x="-7" y="9657"/>
                <wp:lineTo x="-7" y="9792"/>
                <wp:lineTo x="-7" y="9928"/>
                <wp:lineTo x="-7" y="10064"/>
                <wp:lineTo x="-8" y="10201"/>
                <wp:lineTo x="-8" y="10337"/>
                <wp:lineTo x="-8" y="10475"/>
                <wp:lineTo x="-8" y="10612"/>
                <wp:lineTo x="-8" y="10750"/>
                <wp:lineTo x="-8" y="10889"/>
                <wp:lineTo x="-8" y="11028"/>
                <wp:lineTo x="-8" y="11167"/>
                <wp:lineTo x="-8" y="11306"/>
                <wp:lineTo x="-7" y="11446"/>
                <wp:lineTo x="-7" y="11585"/>
                <wp:lineTo x="-7" y="11723"/>
                <wp:lineTo x="-7" y="11861"/>
                <wp:lineTo x="-7" y="11998"/>
                <wp:lineTo x="-6" y="12135"/>
                <wp:lineTo x="-6" y="12271"/>
                <wp:lineTo x="-6" y="12407"/>
                <wp:lineTo x="-6" y="12542"/>
                <wp:lineTo x="-5" y="12676"/>
                <wp:lineTo x="-5" y="12810"/>
                <wp:lineTo x="-4" y="12944"/>
                <wp:lineTo x="-4" y="13076"/>
                <wp:lineTo x="-4" y="13208"/>
                <wp:lineTo x="-3" y="13340"/>
                <wp:lineTo x="-3" y="13470"/>
                <wp:lineTo x="-2" y="13600"/>
                <wp:lineTo x="-2" y="13730"/>
                <wp:lineTo x="-1" y="13859"/>
                <wp:lineTo x="0" y="13987"/>
                <wp:lineTo x="0" y="14114"/>
                <wp:lineTo x="1" y="14241"/>
                <wp:lineTo x="1" y="14367"/>
                <wp:lineTo x="2" y="14492"/>
                <wp:lineTo x="3" y="14616"/>
                <wp:lineTo x="4" y="14740"/>
                <wp:lineTo x="4" y="14863"/>
                <wp:lineTo x="5" y="14985"/>
                <wp:lineTo x="6" y="15107"/>
                <wp:lineTo x="7" y="15227"/>
                <wp:lineTo x="8" y="15347"/>
                <wp:lineTo x="8" y="15466"/>
                <wp:lineTo x="9" y="15584"/>
                <wp:lineTo x="10" y="15702"/>
                <wp:lineTo x="11" y="15818"/>
                <wp:lineTo x="12" y="15934"/>
                <wp:lineTo x="13" y="16049"/>
                <wp:lineTo x="14" y="16163"/>
                <wp:lineTo x="15" y="16276"/>
                <wp:lineTo x="16" y="16388"/>
                <wp:lineTo x="17" y="16499"/>
                <wp:lineTo x="18" y="16610"/>
                <wp:lineTo x="19" y="16719"/>
                <wp:lineTo x="20" y="16828"/>
                <wp:lineTo x="21" y="16935"/>
                <wp:lineTo x="23" y="17042"/>
                <wp:lineTo x="24" y="17147"/>
                <wp:lineTo x="25" y="17252"/>
                <wp:lineTo x="26" y="17356"/>
                <wp:lineTo x="27" y="17459"/>
                <wp:lineTo x="29" y="17560"/>
                <wp:lineTo x="30" y="17661"/>
                <wp:lineTo x="31" y="17761"/>
                <wp:lineTo x="32" y="17859"/>
                <wp:lineTo x="34" y="17957"/>
                <wp:lineTo x="35" y="18054"/>
                <wp:lineTo x="36" y="18149"/>
                <wp:lineTo x="38" y="18244"/>
                <wp:lineTo x="39" y="18337"/>
                <wp:lineTo x="40" y="18429"/>
                <wp:lineTo x="42" y="18520"/>
                <wp:lineTo x="43" y="18610"/>
                <wp:lineTo x="45" y="18699"/>
                <wp:lineTo x="46" y="18787"/>
                <wp:lineTo x="48" y="18874"/>
                <wp:lineTo x="49" y="18959"/>
                <wp:lineTo x="51" y="19044"/>
                <wp:lineTo x="52" y="19127"/>
                <wp:lineTo x="54" y="19209"/>
                <wp:lineTo x="55" y="19290"/>
                <wp:lineTo x="57" y="19369"/>
                <wp:lineTo x="58" y="19448"/>
                <wp:lineTo x="60" y="19525"/>
                <wp:lineTo x="62" y="19601"/>
                <wp:lineTo x="63" y="19675"/>
                <wp:lineTo x="65" y="19749"/>
                <wp:lineTo x="66" y="19821"/>
                <wp:lineTo x="68" y="19892"/>
                <wp:lineTo x="70" y="19961"/>
                <wp:lineTo x="71" y="20030"/>
                <wp:lineTo x="73" y="20097"/>
                <wp:lineTo x="75" y="20162"/>
                <wp:lineTo x="77" y="20227"/>
                <wp:lineTo x="78" y="20290"/>
                <wp:lineTo x="80" y="20351"/>
                <wp:lineTo x="82" y="20412"/>
                <wp:lineTo x="84" y="20471"/>
                <wp:lineTo x="85" y="20528"/>
                <wp:lineTo x="87" y="20585"/>
                <wp:lineTo x="89" y="20639"/>
                <wp:lineTo x="91" y="20693"/>
                <wp:lineTo x="93" y="20745"/>
                <wp:lineTo x="95" y="20795"/>
                <wp:lineTo x="96" y="20844"/>
                <wp:lineTo x="98" y="20892"/>
                <wp:lineTo x="100" y="20938"/>
                <wp:lineTo x="102" y="20983"/>
                <wp:lineTo x="104" y="21026"/>
                <wp:lineTo x="106" y="21068"/>
                <wp:lineTo x="108" y="21109"/>
                <wp:lineTo x="110" y="21147"/>
                <wp:lineTo x="112" y="21185"/>
                <wp:lineTo x="114" y="21220"/>
                <wp:lineTo x="116" y="21255"/>
                <wp:lineTo x="117" y="21287"/>
                <wp:lineTo x="119" y="21319"/>
                <wp:lineTo x="121" y="21348"/>
                <wp:lineTo x="123" y="21376"/>
                <wp:lineTo x="125" y="21402"/>
                <wp:lineTo x="127" y="21427"/>
                <wp:lineTo x="129" y="21450"/>
                <wp:lineTo x="132" y="21472"/>
                <wp:lineTo x="134" y="21492"/>
                <wp:lineTo x="136" y="21510"/>
                <wp:lineTo x="138" y="21527"/>
                <wp:lineTo x="140" y="21542"/>
                <wp:lineTo x="142" y="21555"/>
                <wp:lineTo x="144" y="21567"/>
                <wp:lineTo x="146" y="21577"/>
                <wp:lineTo x="148" y="21585"/>
                <wp:lineTo x="150" y="21592"/>
                <wp:lineTo x="152" y="21597"/>
                <wp:lineTo x="154" y="21600"/>
                <wp:lineTo x="156" y="21601"/>
                <wp:lineTo x="158" y="21601"/>
                <wp:lineTo x="161" y="21599"/>
                <wp:lineTo x="163" y="21595"/>
                <wp:lineTo x="165" y="21589"/>
                <wp:lineTo x="21436" y="21600"/>
                <wp:lineTo x="21438" y="21601"/>
                <wp:lineTo x="21440" y="21600"/>
                <wp:lineTo x="21442" y="21598"/>
                <wp:lineTo x="21444" y="21594"/>
                <wp:lineTo x="21446" y="21588"/>
                <wp:lineTo x="21448" y="21580"/>
                <wp:lineTo x="21450" y="21571"/>
                <wp:lineTo x="21452" y="21560"/>
                <wp:lineTo x="21454" y="21547"/>
                <wp:lineTo x="21457" y="21533"/>
                <wp:lineTo x="21459" y="21517"/>
                <wp:lineTo x="21461" y="21499"/>
                <wp:lineTo x="21463" y="21479"/>
                <wp:lineTo x="21465" y="21458"/>
                <wp:lineTo x="21467" y="21436"/>
                <wp:lineTo x="21469" y="21411"/>
                <wp:lineTo x="21471" y="21385"/>
                <wp:lineTo x="21473" y="21358"/>
                <wp:lineTo x="21475" y="21329"/>
                <wp:lineTo x="21477" y="21298"/>
                <wp:lineTo x="21479" y="21266"/>
                <wp:lineTo x="21481" y="21232"/>
                <wp:lineTo x="21483" y="21197"/>
                <wp:lineTo x="21485" y="21160"/>
                <wp:lineTo x="21487" y="21121"/>
                <wp:lineTo x="21489" y="21082"/>
                <wp:lineTo x="21490" y="21040"/>
                <wp:lineTo x="21492" y="20997"/>
                <wp:lineTo x="21494" y="20953"/>
                <wp:lineTo x="21496" y="20907"/>
                <wp:lineTo x="21498" y="20860"/>
                <wp:lineTo x="21500" y="20811"/>
                <wp:lineTo x="21502" y="20760"/>
                <wp:lineTo x="21504" y="20709"/>
                <wp:lineTo x="21505" y="20656"/>
                <wp:lineTo x="21507" y="20601"/>
                <wp:lineTo x="21509" y="20545"/>
                <wp:lineTo x="21511" y="20488"/>
                <wp:lineTo x="21513" y="20429"/>
                <wp:lineTo x="21514" y="20369"/>
                <wp:lineTo x="21516" y="20308"/>
                <wp:lineTo x="21518" y="20245"/>
                <wp:lineTo x="21520" y="20181"/>
                <wp:lineTo x="21521" y="20116"/>
                <wp:lineTo x="21523" y="20049"/>
                <wp:lineTo x="21525" y="19981"/>
                <wp:lineTo x="21526" y="19912"/>
                <wp:lineTo x="21528" y="19841"/>
                <wp:lineTo x="21530" y="19769"/>
                <wp:lineTo x="21531" y="19696"/>
                <wp:lineTo x="21533" y="19621"/>
                <wp:lineTo x="21535" y="19546"/>
                <wp:lineTo x="21536" y="19469"/>
                <wp:lineTo x="21538" y="19391"/>
                <wp:lineTo x="21539" y="19311"/>
                <wp:lineTo x="21541" y="19231"/>
                <wp:lineTo x="21542" y="19149"/>
                <wp:lineTo x="21544" y="19066"/>
                <wp:lineTo x="21545" y="18982"/>
                <wp:lineTo x="21547" y="18897"/>
                <wp:lineTo x="21548" y="18811"/>
                <wp:lineTo x="21550" y="18723"/>
                <wp:lineTo x="21551" y="18635"/>
                <wp:lineTo x="21553" y="18545"/>
                <wp:lineTo x="21554" y="18454"/>
                <wp:lineTo x="21556" y="18362"/>
                <wp:lineTo x="21557" y="18269"/>
                <wp:lineTo x="21558" y="18175"/>
                <wp:lineTo x="21560" y="18080"/>
                <wp:lineTo x="21561" y="17983"/>
                <wp:lineTo x="21562" y="17886"/>
                <wp:lineTo x="21564" y="17788"/>
                <wp:lineTo x="21565" y="17688"/>
                <wp:lineTo x="21566" y="17588"/>
                <wp:lineTo x="21567" y="17487"/>
                <wp:lineTo x="21569" y="17384"/>
                <wp:lineTo x="21570" y="17281"/>
                <wp:lineTo x="21571" y="17177"/>
                <wp:lineTo x="21572" y="17071"/>
                <wp:lineTo x="21573" y="16965"/>
                <wp:lineTo x="21574" y="16858"/>
                <wp:lineTo x="21575" y="16750"/>
                <wp:lineTo x="21577" y="16641"/>
                <wp:lineTo x="21578" y="16531"/>
                <wp:lineTo x="21579" y="16420"/>
                <wp:lineTo x="21580" y="16308"/>
                <wp:lineTo x="21581" y="16196"/>
                <wp:lineTo x="21582" y="16082"/>
                <wp:lineTo x="21583" y="15968"/>
                <wp:lineTo x="21584" y="15853"/>
                <wp:lineTo x="21585" y="15737"/>
                <wp:lineTo x="21585" y="15620"/>
                <wp:lineTo x="21586" y="15502"/>
                <wp:lineTo x="21587" y="15384"/>
                <wp:lineTo x="21588" y="15265"/>
                <wp:lineTo x="21589" y="15145"/>
                <wp:lineTo x="21590" y="15024"/>
                <wp:lineTo x="21590" y="14902"/>
                <wp:lineTo x="21591" y="14780"/>
                <wp:lineTo x="21592" y="14657"/>
                <wp:lineTo x="21593" y="14533"/>
                <wp:lineTo x="21593" y="14409"/>
                <wp:lineTo x="21594" y="14283"/>
                <wp:lineTo x="21595" y="14157"/>
                <wp:lineTo x="21595" y="14031"/>
                <wp:lineTo x="21596" y="13904"/>
                <wp:lineTo x="21596" y="13776"/>
                <wp:lineTo x="21597" y="13647"/>
                <wp:lineTo x="21597" y="13518"/>
                <wp:lineTo x="21598" y="13388"/>
                <wp:lineTo x="21598" y="13257"/>
                <wp:lineTo x="21599" y="13126"/>
                <wp:lineTo x="21599" y="12994"/>
                <wp:lineTo x="21600" y="12862"/>
                <wp:lineTo x="21600" y="12729"/>
                <wp:lineTo x="21600" y="12596"/>
                <wp:lineTo x="21601" y="12462"/>
                <wp:lineTo x="21601" y="12327"/>
                <wp:lineTo x="21601" y="12192"/>
                <wp:lineTo x="21602" y="12056"/>
                <wp:lineTo x="21602" y="11920"/>
                <wp:lineTo x="21602" y="11783"/>
                <wp:lineTo x="21602" y="11646"/>
                <wp:lineTo x="21602" y="11508"/>
                <wp:lineTo x="21603" y="11370"/>
                <wp:lineTo x="21603" y="11231"/>
                <wp:lineTo x="21603" y="11092"/>
                <wp:lineTo x="21603" y="10953"/>
                <wp:lineTo x="21603" y="10813"/>
                <wp:lineTo x="21603" y="10674"/>
                <wp:lineTo x="21603" y="10535"/>
                <wp:lineTo x="21603" y="10397"/>
                <wp:lineTo x="21603" y="10259"/>
                <wp:lineTo x="21602" y="10121"/>
                <wp:lineTo x="21602" y="9984"/>
                <wp:lineTo x="21602" y="9848"/>
                <wp:lineTo x="21602" y="9712"/>
                <wp:lineTo x="21602" y="9576"/>
                <wp:lineTo x="21601" y="9441"/>
                <wp:lineTo x="21601" y="9306"/>
                <wp:lineTo x="21601" y="9172"/>
                <wp:lineTo x="21601" y="9039"/>
                <wp:lineTo x="21600" y="8906"/>
                <wp:lineTo x="21600" y="8773"/>
                <wp:lineTo x="21599" y="8641"/>
                <wp:lineTo x="21599" y="8510"/>
                <wp:lineTo x="21599" y="8379"/>
                <wp:lineTo x="21598" y="8249"/>
                <wp:lineTo x="21598" y="8119"/>
                <wp:lineTo x="21597" y="7990"/>
                <wp:lineTo x="21597" y="7862"/>
                <wp:lineTo x="21596" y="7734"/>
                <wp:lineTo x="21595" y="7607"/>
                <wp:lineTo x="21595" y="7481"/>
                <wp:lineTo x="21594" y="7355"/>
                <wp:lineTo x="21594" y="7230"/>
                <wp:lineTo x="21593" y="7106"/>
                <wp:lineTo x="21592" y="6982"/>
                <wp:lineTo x="21591" y="6859"/>
                <wp:lineTo x="21591" y="6737"/>
                <wp:lineTo x="21590" y="6615"/>
                <wp:lineTo x="21589" y="6495"/>
                <wp:lineTo x="21588" y="6375"/>
                <wp:lineTo x="21587" y="6255"/>
                <wp:lineTo x="21587" y="6137"/>
                <wp:lineTo x="21586" y="6019"/>
                <wp:lineTo x="21585" y="5902"/>
                <wp:lineTo x="21584" y="5786"/>
                <wp:lineTo x="21583" y="5671"/>
                <wp:lineTo x="21582" y="5557"/>
                <wp:lineTo x="21581" y="5443"/>
                <wp:lineTo x="21580" y="5330"/>
                <wp:lineTo x="21579" y="5219"/>
                <wp:lineTo x="21578" y="5108"/>
                <wp:lineTo x="21577" y="4997"/>
                <wp:lineTo x="21576" y="4888"/>
                <wp:lineTo x="21575" y="4780"/>
                <wp:lineTo x="21574" y="4673"/>
                <wp:lineTo x="21573" y="4566"/>
                <wp:lineTo x="21571" y="4461"/>
                <wp:lineTo x="21570" y="4356"/>
                <wp:lineTo x="21569" y="4252"/>
                <wp:lineTo x="21568" y="4150"/>
                <wp:lineTo x="21567" y="4048"/>
                <wp:lineTo x="21565" y="3947"/>
                <wp:lineTo x="21564" y="3848"/>
                <wp:lineTo x="21563" y="3749"/>
                <wp:lineTo x="21561" y="3651"/>
                <wp:lineTo x="21560" y="3555"/>
                <wp:lineTo x="21559" y="3459"/>
                <wp:lineTo x="21557" y="3365"/>
                <wp:lineTo x="21556" y="3271"/>
                <wp:lineTo x="21555" y="3179"/>
                <wp:lineTo x="21553" y="3088"/>
                <wp:lineTo x="21552" y="2997"/>
                <wp:lineTo x="21550" y="2908"/>
                <wp:lineTo x="21549" y="2820"/>
                <wp:lineTo x="21548" y="2734"/>
                <wp:lineTo x="21546" y="2648"/>
                <wp:lineTo x="21545" y="2563"/>
                <wp:lineTo x="21543" y="2480"/>
                <wp:lineTo x="21541" y="2398"/>
                <wp:lineTo x="21540" y="2317"/>
                <wp:lineTo x="21538" y="2237"/>
                <wp:lineTo x="21537" y="2158"/>
                <wp:lineTo x="21535" y="2081"/>
                <wp:lineTo x="21534" y="2005"/>
                <wp:lineTo x="21532" y="1930"/>
                <wp:lineTo x="21530" y="1856"/>
                <wp:lineTo x="21529" y="1784"/>
                <wp:lineTo x="21527" y="1713"/>
                <wp:lineTo x="21525" y="1643"/>
                <wp:lineTo x="21524" y="1574"/>
                <wp:lineTo x="21522" y="1507"/>
                <wp:lineTo x="21520" y="1441"/>
                <wp:lineTo x="21518" y="1376"/>
                <wp:lineTo x="21517" y="1313"/>
                <wp:lineTo x="21515" y="1251"/>
                <wp:lineTo x="21513" y="1190"/>
                <wp:lineTo x="21511" y="1131"/>
                <wp:lineTo x="21510" y="1073"/>
                <wp:lineTo x="21508" y="1017"/>
                <wp:lineTo x="21506" y="962"/>
                <wp:lineTo x="21504" y="908"/>
                <wp:lineTo x="21502" y="856"/>
                <wp:lineTo x="21500" y="805"/>
                <wp:lineTo x="21499" y="756"/>
                <wp:lineTo x="21497" y="708"/>
                <wp:lineTo x="21495" y="661"/>
                <wp:lineTo x="21493" y="616"/>
                <wp:lineTo x="21491" y="573"/>
                <wp:lineTo x="21489" y="531"/>
                <wp:lineTo x="21487" y="490"/>
                <wp:lineTo x="21485" y="452"/>
                <wp:lineTo x="21483" y="414"/>
                <wp:lineTo x="21481" y="378"/>
                <wp:lineTo x="21479" y="344"/>
                <wp:lineTo x="21477" y="311"/>
                <wp:lineTo x="21475" y="280"/>
                <wp:lineTo x="21473" y="250"/>
                <wp:lineTo x="21471" y="222"/>
                <wp:lineTo x="21469" y="196"/>
                <wp:lineTo x="21467" y="171"/>
                <wp:lineTo x="21465" y="148"/>
                <wp:lineTo x="21463" y="126"/>
                <wp:lineTo x="21461" y="106"/>
                <wp:lineTo x="21459" y="88"/>
                <wp:lineTo x="21457" y="71"/>
                <wp:lineTo x="21455" y="56"/>
                <wp:lineTo x="21453" y="43"/>
                <wp:lineTo x="21451" y="32"/>
                <wp:lineTo x="21449" y="22"/>
                <wp:lineTo x="21447" y="14"/>
                <wp:lineTo x="21444" y="7"/>
                <wp:lineTo x="21442" y="3"/>
                <wp:lineTo x="21440" y="0"/>
                <wp:lineTo x="21438" y="-1"/>
                <wp:lineTo x="21436" y="0"/>
                <wp:lineTo x="165" y="0"/>
                <wp:lineTo x="163" y="-5"/>
                <wp:lineTo x="161" y="-9"/>
                <wp:lineTo x="159" y="-11"/>
                <wp:lineTo x="157" y="-12"/>
                <wp:lineTo x="155" y="-11"/>
                <wp:lineTo x="153" y="-9"/>
                <wp:lineTo x="151" y="-5"/>
                <wp:lineTo x="149" y="0"/>
                <wp:lineTo x="157" y="-12"/>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
                    <pic:cNvPicPr>
                      <a:picLocks/>
                    </pic:cNvPicPr>
                  </pic:nvPicPr>
                  <pic:blipFill>
                    <a:blip r:embed="rId7">
                      <a:extLst/>
                    </a:blip>
                    <a:stretch>
                      <a:fillRect/>
                    </a:stretch>
                  </pic:blipFill>
                  <pic:spPr>
                    <a:xfrm>
                      <a:off x="0" y="0"/>
                      <a:ext cx="3328134" cy="50800"/>
                    </a:xfrm>
                    <a:prstGeom prst="rect">
                      <a:avLst/>
                    </a:prstGeom>
                    <a:effectLst/>
                  </pic:spPr>
                </pic:pic>
              </a:graphicData>
            </a:graphic>
          </wp:anchor>
        </w:drawing>
      </w:r>
      <w:r>
        <w:rPr>
          <w:b/>
          <w:bCs/>
          <w:noProof/>
          <w:lang w:val="en-AU" w:eastAsia="en-AU"/>
        </w:rPr>
        <w:drawing>
          <wp:anchor distT="0" distB="0" distL="0" distR="0" simplePos="0" relativeHeight="251665408" behindDoc="0" locked="0" layoutInCell="1" allowOverlap="1">
            <wp:simplePos x="0" y="0"/>
            <wp:positionH relativeFrom="margin">
              <wp:posOffset>115999</wp:posOffset>
            </wp:positionH>
            <wp:positionV relativeFrom="line">
              <wp:posOffset>487260</wp:posOffset>
            </wp:positionV>
            <wp:extent cx="3328134" cy="50800"/>
            <wp:effectExtent l="0" t="0" r="0" b="0"/>
            <wp:wrapTopAndBottom distT="0" dist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
                    <pic:cNvPicPr>
                      <a:picLocks/>
                    </pic:cNvPicPr>
                  </pic:nvPicPr>
                  <pic:blipFill>
                    <a:blip r:embed="rId7">
                      <a:extLst/>
                    </a:blip>
                    <a:stretch>
                      <a:fillRect/>
                    </a:stretch>
                  </pic:blipFill>
                  <pic:spPr>
                    <a:xfrm>
                      <a:off x="0" y="0"/>
                      <a:ext cx="3328134" cy="50800"/>
                    </a:xfrm>
                    <a:prstGeom prst="rect">
                      <a:avLst/>
                    </a:prstGeom>
                    <a:effectLst/>
                  </pic:spPr>
                </pic:pic>
              </a:graphicData>
            </a:graphic>
          </wp:anchor>
        </w:drawing>
      </w:r>
      <w:r w:rsidR="00E6684D" w:rsidRPr="00E6684D">
        <w:rPr>
          <w:b/>
          <w:bCs/>
          <w:noProof/>
        </w:rPr>
        <w:pict>
          <v:line id="_x0000_s1026" style="position:absolute;left:0;text-align:left;flip:y;z-index:251666432;visibility:visible;mso-wrap-distance-left:0;mso-wrap-distance-top:0;mso-wrap-distance-right:0;mso-wrap-distance-bottom:0;mso-position-horizontal:absolute;mso-position-horizontal-relative:margin;mso-position-vertical:absolute;mso-position-vertical-relative:line" from="-9.5pt,38.4pt" to="-9.5pt,649.8pt" wrapcoords="0 1 0 815 2 815 2 1 0 1" strokecolor="#ff2d21" strokeweight="1pt">
            <v:stroke miterlimit="4" joinstyle="miter"/>
            <w10:wrap type="through" anchorx="margin"/>
          </v:line>
        </w:pict>
      </w:r>
      <w:r w:rsidR="00E6684D" w:rsidRPr="00E6684D">
        <w:rPr>
          <w:b/>
          <w:bCs/>
          <w:noProof/>
        </w:rPr>
        <w:pict>
          <v:line id="_x0000_s1027" style="position:absolute;left:0;text-align:left;flip:y;z-index:251667456;visibility:visible;mso-wrap-distance-left:0;mso-wrap-distance-top:0;mso-wrap-distance-right:0;mso-wrap-distance-bottom:0;mso-position-horizontal:absolute;mso-position-horizontal-relative:margin;mso-position-vertical:absolute;mso-position-vertical-relative:line" from="464.8pt,36.4pt" to="464.8pt,651.8pt" wrapcoords="0 1 0 821 2 821 2 1 0 1" strokecolor="#ff2d21" strokeweight="1pt">
            <v:stroke miterlimit="4" joinstyle="miter"/>
            <w10:wrap type="through" anchorx="margin"/>
          </v:line>
        </w:pict>
      </w:r>
      <w:r w:rsidR="00E6684D" w:rsidRPr="00E6684D">
        <w:rPr>
          <w:b/>
          <w:bCs/>
          <w:noProof/>
        </w:rPr>
        <w:pict>
          <v:line id="_x0000_s1028" style="position:absolute;left:0;text-align:left;z-index:251668480;visibility:visible;mso-wrap-distance-left:0;mso-wrap-distance-top:0;mso-wrap-distance-right:0;mso-wrap-distance-bottom:0;mso-position-horizontal:absolute;mso-position-horizontal-relative:margin;mso-position-vertical:absolute;mso-position-vertical-relative:line" from="323.8pt,36.4pt" to="465.2pt,36.4pt" wrapcoords="1 1 190 1 190 1 1 1 1 1" strokecolor="#ff2d21" strokeweight="1pt">
            <v:stroke miterlimit="4" joinstyle="miter"/>
            <w10:wrap type="through" anchorx="margin"/>
          </v:line>
        </w:pict>
      </w:r>
    </w:p>
    <w:p w:rsidR="00DE194C" w:rsidRDefault="00DE194C">
      <w:pPr>
        <w:pStyle w:val="appeal2014"/>
        <w:spacing w:line="192" w:lineRule="auto"/>
      </w:pPr>
    </w:p>
    <w:p w:rsidR="00DE194C" w:rsidRDefault="00DE194C">
      <w:pPr>
        <w:pStyle w:val="appeal2014"/>
        <w:spacing w:line="192" w:lineRule="auto"/>
      </w:pPr>
    </w:p>
    <w:p w:rsidR="00DE194C" w:rsidRDefault="00ED133C">
      <w:pPr>
        <w:pStyle w:val="appeal2014"/>
        <w:rPr>
          <w:sz w:val="34"/>
          <w:szCs w:val="34"/>
        </w:rPr>
      </w:pPr>
      <w:r>
        <w:rPr>
          <w:sz w:val="34"/>
          <w:szCs w:val="34"/>
        </w:rPr>
        <w:t>Planning Scheme Amendment C353</w:t>
      </w:r>
    </w:p>
    <w:p w:rsidR="00DE194C" w:rsidRDefault="00DE194C">
      <w:pPr>
        <w:pStyle w:val="appeal2014"/>
        <w:spacing w:line="192" w:lineRule="auto"/>
        <w:rPr>
          <w:sz w:val="34"/>
          <w:szCs w:val="34"/>
        </w:rPr>
      </w:pPr>
    </w:p>
    <w:p w:rsidR="00DE194C" w:rsidRDefault="00ED133C">
      <w:pPr>
        <w:pStyle w:val="appeal2014"/>
        <w:rPr>
          <w:sz w:val="34"/>
          <w:szCs w:val="34"/>
        </w:rPr>
      </w:pPr>
      <w:r>
        <w:rPr>
          <w:sz w:val="34"/>
          <w:szCs w:val="34"/>
        </w:rPr>
        <w:t>Beckley Park, 40 Broderick Road, Corio</w:t>
      </w:r>
    </w:p>
    <w:p w:rsidR="00DE194C" w:rsidRDefault="00DE194C">
      <w:pPr>
        <w:pStyle w:val="appeal2014"/>
        <w:spacing w:line="192" w:lineRule="auto"/>
        <w:rPr>
          <w:sz w:val="34"/>
          <w:szCs w:val="34"/>
        </w:rPr>
      </w:pPr>
    </w:p>
    <w:p w:rsidR="00DE194C" w:rsidRDefault="00ED133C">
      <w:pPr>
        <w:pStyle w:val="appeal2014"/>
        <w:rPr>
          <w:sz w:val="34"/>
          <w:szCs w:val="34"/>
        </w:rPr>
      </w:pPr>
      <w:r>
        <w:rPr>
          <w:sz w:val="34"/>
          <w:szCs w:val="34"/>
        </w:rPr>
        <w:t>Submission on be</w:t>
      </w:r>
      <w:r>
        <w:rPr>
          <w:noProof/>
          <w:lang w:val="en-AU" w:eastAsia="en-AU"/>
        </w:rPr>
        <w:drawing>
          <wp:anchor distT="152400" distB="152400" distL="152400" distR="152400" simplePos="0" relativeHeight="251659264" behindDoc="0" locked="0" layoutInCell="1" allowOverlap="1">
            <wp:simplePos x="0" y="0"/>
            <wp:positionH relativeFrom="page">
              <wp:posOffset>10363200</wp:posOffset>
            </wp:positionH>
            <wp:positionV relativeFrom="page">
              <wp:posOffset>5956300</wp:posOffset>
            </wp:positionV>
            <wp:extent cx="5189884" cy="3892413"/>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PB290251.jpg"/>
                    <pic:cNvPicPr>
                      <a:picLocks noChangeAspect="1"/>
                    </pic:cNvPicPr>
                  </pic:nvPicPr>
                  <pic:blipFill>
                    <a:blip r:embed="rId8">
                      <a:extLst/>
                    </a:blip>
                    <a:stretch>
                      <a:fillRect/>
                    </a:stretch>
                  </pic:blipFill>
                  <pic:spPr>
                    <a:xfrm>
                      <a:off x="0" y="0"/>
                      <a:ext cx="5189884" cy="3892413"/>
                    </a:xfrm>
                    <a:prstGeom prst="rect">
                      <a:avLst/>
                    </a:prstGeom>
                    <a:ln w="12700" cap="flat">
                      <a:noFill/>
                      <a:miter lim="400000"/>
                    </a:ln>
                    <a:effectLst/>
                  </pic:spPr>
                </pic:pic>
              </a:graphicData>
            </a:graphic>
          </wp:anchor>
        </w:drawing>
      </w:r>
      <w:r>
        <w:rPr>
          <w:noProof/>
          <w:lang w:val="en-AU" w:eastAsia="en-AU"/>
        </w:rPr>
        <w:drawing>
          <wp:anchor distT="152400" distB="152400" distL="152400" distR="152400" simplePos="0" relativeHeight="251660288" behindDoc="0" locked="0" layoutInCell="1" allowOverlap="1">
            <wp:simplePos x="0" y="0"/>
            <wp:positionH relativeFrom="page">
              <wp:posOffset>11379200</wp:posOffset>
            </wp:positionH>
            <wp:positionV relativeFrom="page">
              <wp:posOffset>5321300</wp:posOffset>
            </wp:positionV>
            <wp:extent cx="5189884" cy="3892413"/>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PB290251.jpg"/>
                    <pic:cNvPicPr>
                      <a:picLocks noChangeAspect="1"/>
                    </pic:cNvPicPr>
                  </pic:nvPicPr>
                  <pic:blipFill>
                    <a:blip r:embed="rId8">
                      <a:extLst/>
                    </a:blip>
                    <a:stretch>
                      <a:fillRect/>
                    </a:stretch>
                  </pic:blipFill>
                  <pic:spPr>
                    <a:xfrm>
                      <a:off x="0" y="0"/>
                      <a:ext cx="5189884" cy="3892413"/>
                    </a:xfrm>
                    <a:prstGeom prst="rect">
                      <a:avLst/>
                    </a:prstGeom>
                    <a:ln w="12700" cap="flat">
                      <a:noFill/>
                      <a:miter lim="400000"/>
                    </a:ln>
                    <a:effectLst/>
                  </pic:spPr>
                </pic:pic>
              </a:graphicData>
            </a:graphic>
          </wp:anchor>
        </w:drawing>
      </w:r>
      <w:r>
        <w:rPr>
          <w:noProof/>
          <w:lang w:val="en-AU" w:eastAsia="en-AU"/>
        </w:rPr>
        <w:drawing>
          <wp:anchor distT="152400" distB="152400" distL="152400" distR="152400" simplePos="0" relativeHeight="251661312" behindDoc="0" locked="0" layoutInCell="1" allowOverlap="1">
            <wp:simplePos x="0" y="0"/>
            <wp:positionH relativeFrom="page">
              <wp:posOffset>17437100</wp:posOffset>
            </wp:positionH>
            <wp:positionV relativeFrom="page">
              <wp:posOffset>6159500</wp:posOffset>
            </wp:positionV>
            <wp:extent cx="5189884" cy="3892413"/>
            <wp:effectExtent l="0" t="0" r="0" b="0"/>
            <wp:wrapThrough wrapText="bothSides" distL="152400" distR="152400">
              <wp:wrapPolygon edited="1">
                <wp:start x="0" y="0"/>
                <wp:lineTo x="21600" y="0"/>
                <wp:lineTo x="21600" y="21600"/>
                <wp:lineTo x="0" y="21600"/>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PB290251.jpg"/>
                    <pic:cNvPicPr>
                      <a:picLocks noChangeAspect="1"/>
                    </pic:cNvPicPr>
                  </pic:nvPicPr>
                  <pic:blipFill>
                    <a:blip r:embed="rId8">
                      <a:extLst/>
                    </a:blip>
                    <a:stretch>
                      <a:fillRect/>
                    </a:stretch>
                  </pic:blipFill>
                  <pic:spPr>
                    <a:xfrm>
                      <a:off x="0" y="0"/>
                      <a:ext cx="5189884" cy="3892413"/>
                    </a:xfrm>
                    <a:prstGeom prst="rect">
                      <a:avLst/>
                    </a:prstGeom>
                    <a:ln w="12700" cap="flat">
                      <a:noFill/>
                      <a:miter lim="400000"/>
                    </a:ln>
                    <a:effectLst/>
                  </pic:spPr>
                </pic:pic>
              </a:graphicData>
            </a:graphic>
          </wp:anchor>
        </w:drawing>
      </w:r>
      <w:r>
        <w:rPr>
          <w:noProof/>
          <w:lang w:val="en-AU" w:eastAsia="en-AU"/>
        </w:rPr>
        <w:drawing>
          <wp:anchor distT="152400" distB="152400" distL="152400" distR="152400" simplePos="0" relativeHeight="251662336" behindDoc="0" locked="0" layoutInCell="1" allowOverlap="1">
            <wp:simplePos x="0" y="0"/>
            <wp:positionH relativeFrom="page">
              <wp:posOffset>17437100</wp:posOffset>
            </wp:positionH>
            <wp:positionV relativeFrom="page">
              <wp:posOffset>5956300</wp:posOffset>
            </wp:positionV>
            <wp:extent cx="5189884" cy="3892413"/>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B290251.jpg"/>
                    <pic:cNvPicPr>
                      <a:picLocks noChangeAspect="1"/>
                    </pic:cNvPicPr>
                  </pic:nvPicPr>
                  <pic:blipFill>
                    <a:blip r:embed="rId8">
                      <a:extLst/>
                    </a:blip>
                    <a:stretch>
                      <a:fillRect/>
                    </a:stretch>
                  </pic:blipFill>
                  <pic:spPr>
                    <a:xfrm>
                      <a:off x="0" y="0"/>
                      <a:ext cx="5189884" cy="3892413"/>
                    </a:xfrm>
                    <a:prstGeom prst="rect">
                      <a:avLst/>
                    </a:prstGeom>
                    <a:ln w="12700" cap="flat">
                      <a:noFill/>
                      <a:miter lim="400000"/>
                    </a:ln>
                    <a:effectLst/>
                  </pic:spPr>
                </pic:pic>
              </a:graphicData>
            </a:graphic>
          </wp:anchor>
        </w:drawing>
      </w:r>
      <w:r>
        <w:rPr>
          <w:noProof/>
          <w:lang w:val="en-AU" w:eastAsia="en-AU"/>
        </w:rPr>
        <w:drawing>
          <wp:anchor distT="127000" distB="127000" distL="127000" distR="127000" simplePos="0" relativeHeight="251663360" behindDoc="0" locked="0" layoutInCell="1" allowOverlap="1">
            <wp:simplePos x="0" y="0"/>
            <wp:positionH relativeFrom="page">
              <wp:posOffset>15163800</wp:posOffset>
            </wp:positionH>
            <wp:positionV relativeFrom="page">
              <wp:posOffset>-3530600</wp:posOffset>
            </wp:positionV>
            <wp:extent cx="5348831" cy="3111500"/>
            <wp:effectExtent l="0" t="0" r="0" b="0"/>
            <wp:wrapThrough wrapText="left" distL="127000" distR="1270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DSCN1738.jpg"/>
                    <pic:cNvPicPr>
                      <a:picLocks noChangeAspect="1"/>
                    </pic:cNvPicPr>
                  </pic:nvPicPr>
                  <pic:blipFill>
                    <a:blip r:embed="rId9">
                      <a:extLst/>
                    </a:blip>
                    <a:stretch>
                      <a:fillRect/>
                    </a:stretch>
                  </pic:blipFill>
                  <pic:spPr>
                    <a:xfrm>
                      <a:off x="0" y="0"/>
                      <a:ext cx="5348831" cy="3111500"/>
                    </a:xfrm>
                    <a:prstGeom prst="rect">
                      <a:avLst/>
                    </a:prstGeom>
                    <a:ln w="12700" cap="flat">
                      <a:noFill/>
                      <a:miter lim="400000"/>
                    </a:ln>
                    <a:effectLst/>
                  </pic:spPr>
                </pic:pic>
              </a:graphicData>
            </a:graphic>
          </wp:anchor>
        </w:drawing>
      </w:r>
      <w:r w:rsidR="00E6684D" w:rsidRPr="00E6684D">
        <w:rPr>
          <w:noProof/>
        </w:rPr>
        <w:pict>
          <v:line id="_x0000_s1029" style="position:absolute;left:0;text-align:left;z-index:251669504;visibility:visible;mso-wrap-distance-left:0;mso-wrap-distance-top:0;mso-wrap-distance-right:0;mso-wrap-distance-bottom:0;mso-position-horizontal:absolute;mso-position-horizontal-relative:page;mso-position-vertical:absolute;mso-position-vertical-relative:page" from="61.9pt,740.4pt" to="535.7pt,740.4pt" strokecolor="#ff2d21" strokeweight="2pt">
            <v:stroke miterlimit="4" joinstyle="miter"/>
            <w10:wrap type="topAndBottom" anchorx="page" anchory="page"/>
          </v:line>
        </w:pict>
      </w:r>
      <w:r>
        <w:rPr>
          <w:sz w:val="34"/>
          <w:szCs w:val="34"/>
        </w:rPr>
        <w:t>half of the applicant</w:t>
      </w:r>
    </w:p>
    <w:p w:rsidR="00DE194C" w:rsidRDefault="00ED133C">
      <w:pPr>
        <w:pStyle w:val="appeal2014"/>
        <w:spacing w:line="240" w:lineRule="auto"/>
        <w:rPr>
          <w:sz w:val="34"/>
          <w:szCs w:val="34"/>
        </w:rPr>
      </w:pPr>
      <w:r>
        <w:rPr>
          <w:noProof/>
          <w:sz w:val="34"/>
          <w:szCs w:val="34"/>
          <w:lang w:val="en-AU" w:eastAsia="en-AU"/>
        </w:rPr>
        <w:drawing>
          <wp:anchor distT="0" distB="0" distL="0" distR="0" simplePos="0" relativeHeight="251675648" behindDoc="0" locked="0" layoutInCell="1" allowOverlap="1">
            <wp:simplePos x="0" y="0"/>
            <wp:positionH relativeFrom="margin">
              <wp:posOffset>4762</wp:posOffset>
            </wp:positionH>
            <wp:positionV relativeFrom="line">
              <wp:posOffset>340542</wp:posOffset>
            </wp:positionV>
            <wp:extent cx="5756500" cy="2287011"/>
            <wp:effectExtent l="0" t="0" r="0" b="0"/>
            <wp:wrapTopAndBottom distT="0" dist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GOPR6446.jpg"/>
                    <pic:cNvPicPr>
                      <a:picLocks noChangeAspect="1"/>
                    </pic:cNvPicPr>
                  </pic:nvPicPr>
                  <pic:blipFill>
                    <a:blip r:embed="rId10">
                      <a:extLst/>
                    </a:blip>
                    <a:stretch>
                      <a:fillRect/>
                    </a:stretch>
                  </pic:blipFill>
                  <pic:spPr>
                    <a:xfrm>
                      <a:off x="0" y="0"/>
                      <a:ext cx="5756500" cy="2287011"/>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DE194C">
      <w:pPr>
        <w:pStyle w:val="appeal2014"/>
        <w:spacing w:line="240" w:lineRule="auto"/>
        <w:rPr>
          <w:sz w:val="32"/>
          <w:szCs w:val="32"/>
        </w:rPr>
      </w:pPr>
    </w:p>
    <w:p w:rsidR="00DE194C" w:rsidRDefault="00ED133C">
      <w:pPr>
        <w:pStyle w:val="appeal2014"/>
        <w:rPr>
          <w:sz w:val="36"/>
          <w:szCs w:val="36"/>
        </w:rPr>
      </w:pPr>
      <w:r>
        <w:rPr>
          <w:sz w:val="36"/>
          <w:szCs w:val="36"/>
        </w:rPr>
        <w:t>For consideration by the City of Greater Geelong</w:t>
      </w:r>
    </w:p>
    <w:p w:rsidR="00DE194C" w:rsidRDefault="00DE194C">
      <w:pPr>
        <w:pStyle w:val="appeal2014"/>
        <w:spacing w:line="96" w:lineRule="auto"/>
        <w:rPr>
          <w:sz w:val="36"/>
          <w:szCs w:val="36"/>
        </w:rPr>
      </w:pPr>
    </w:p>
    <w:p w:rsidR="00DE194C" w:rsidRDefault="00ED133C">
      <w:pPr>
        <w:pStyle w:val="appeal2014"/>
        <w:spacing w:after="120"/>
        <w:rPr>
          <w:sz w:val="32"/>
          <w:szCs w:val="32"/>
        </w:rPr>
      </w:pPr>
      <w:r>
        <w:rPr>
          <w:sz w:val="36"/>
          <w:szCs w:val="36"/>
        </w:rPr>
        <w:t>November 2016</w:t>
      </w:r>
    </w:p>
    <w:p w:rsidR="00DE194C" w:rsidRDefault="00DE194C">
      <w:pPr>
        <w:pStyle w:val="appeal2014"/>
      </w:pPr>
    </w:p>
    <w:p w:rsidR="00DE194C" w:rsidRDefault="00DE194C">
      <w:pPr>
        <w:pStyle w:val="appeal2014"/>
      </w:pPr>
    </w:p>
    <w:p w:rsidR="00DE194C" w:rsidRDefault="00DE194C">
      <w:pPr>
        <w:pStyle w:val="BodyText"/>
        <w:spacing w:before="120" w:after="120" w:line="230" w:lineRule="exact"/>
        <w:rPr>
          <w:rFonts w:ascii="Cambria" w:eastAsia="Cambria" w:hAnsi="Cambria" w:cs="Cambria"/>
        </w:rPr>
      </w:pPr>
    </w:p>
    <w:p w:rsidR="00DE194C" w:rsidRDefault="00DE194C">
      <w:pPr>
        <w:pStyle w:val="BodyText"/>
        <w:spacing w:before="120" w:after="120" w:line="230" w:lineRule="exact"/>
        <w:rPr>
          <w:rFonts w:ascii="Cambria" w:eastAsia="Cambria" w:hAnsi="Cambria" w:cs="Cambria"/>
        </w:rPr>
      </w:pPr>
    </w:p>
    <w:p w:rsidR="00DE194C" w:rsidRDefault="00DE194C">
      <w:pPr>
        <w:pStyle w:val="BodyText"/>
        <w:spacing w:before="120" w:after="120" w:line="230" w:lineRule="exact"/>
        <w:rPr>
          <w:rFonts w:ascii="Cambria" w:eastAsia="Cambria" w:hAnsi="Cambria" w:cs="Cambria"/>
        </w:rPr>
      </w:pPr>
    </w:p>
    <w:p w:rsidR="00DE194C" w:rsidRDefault="00DE194C">
      <w:pPr>
        <w:pStyle w:val="BodyText"/>
        <w:spacing w:before="120" w:after="120" w:line="230" w:lineRule="exact"/>
        <w:rPr>
          <w:rFonts w:ascii="Cambria" w:eastAsia="Cambria" w:hAnsi="Cambria" w:cs="Cambria"/>
        </w:rPr>
      </w:pPr>
    </w:p>
    <w:p w:rsidR="00DE194C" w:rsidRDefault="00DE194C">
      <w:pPr>
        <w:pStyle w:val="BodyText"/>
        <w:spacing w:before="120" w:after="120" w:line="230" w:lineRule="exact"/>
        <w:rPr>
          <w:rFonts w:ascii="Cambria" w:eastAsia="Cambria" w:hAnsi="Cambria" w:cs="Cambria"/>
        </w:rPr>
      </w:pPr>
    </w:p>
    <w:p w:rsidR="00DE194C" w:rsidRDefault="00DE194C">
      <w:pPr>
        <w:pStyle w:val="BodyText"/>
        <w:spacing w:before="120" w:after="120" w:line="230" w:lineRule="exact"/>
        <w:rPr>
          <w:rFonts w:ascii="Cambria" w:eastAsia="Cambria" w:hAnsi="Cambria" w:cs="Cambria"/>
        </w:rPr>
      </w:pPr>
    </w:p>
    <w:p w:rsidR="00DE194C" w:rsidRDefault="00ED133C">
      <w:pPr>
        <w:pStyle w:val="Heading1"/>
        <w:numPr>
          <w:ilvl w:val="0"/>
          <w:numId w:val="2"/>
        </w:numPr>
      </w:pPr>
      <w:r>
        <w:t>Introduction</w:t>
      </w:r>
    </w:p>
    <w:p w:rsidR="00DE194C" w:rsidRDefault="00ED133C">
      <w:pPr>
        <w:pStyle w:val="appealformatmay2014"/>
      </w:pPr>
      <w:r>
        <w:t xml:space="preserve">Jewell Partnership has been commissioned by TOM Assets in conjunction with the Beckley Park Committee of Management Incorporated (‘the Committee’) to lodge this planning scheme amendment request. The amendment seeks to vary the provisions of the City of Greater Geelong Planning Scheme (‘the </w:t>
      </w:r>
      <w:proofErr w:type="gramStart"/>
      <w:r>
        <w:t>planning</w:t>
      </w:r>
      <w:proofErr w:type="gramEnd"/>
      <w:r>
        <w:t xml:space="preserve"> scheme’) as it relates to the Special Use Zone (Schedule 4) to enable the consideration of major promotional signage. The Committee has been in discussions with the Land Management Policy section of DELWP to facilitate this outcome.</w:t>
      </w:r>
    </w:p>
    <w:p w:rsidR="00DE194C" w:rsidRDefault="00ED133C">
      <w:pPr>
        <w:pStyle w:val="appealformatmay2014"/>
      </w:pPr>
      <w:r>
        <w:t xml:space="preserve">The purpose of this report is to provide detail on the proposed planning scheme amendment and relevant planning considerations. The report provides an outline of the existing conditions of the site and surrounds, as well as the relevant planning provisions of the Greater Geelong Planning Scheme, with specific reference to the Council’s key guiding policies, </w:t>
      </w:r>
      <w:r>
        <w:rPr>
          <w:lang w:val="fr-FR"/>
        </w:rPr>
        <w:t xml:space="preserve">objectives </w:t>
      </w:r>
      <w:r>
        <w:t xml:space="preserve">and controls relevant to this proposal. </w:t>
      </w:r>
    </w:p>
    <w:p w:rsidR="00DE194C" w:rsidRDefault="00ED133C">
      <w:pPr>
        <w:pStyle w:val="appealformatmay2014"/>
      </w:pPr>
      <w:r>
        <w:t>A planning scheme amendment is necessary as the Special Use Zone at Clause 37.01-5 applies the Category 3 set of controls to advertising signs. This control applies to the Special Use Zone (Schedule 4) unless the schedule states otherwise. This amendment request seeks to insert a site specific provision that places land at Beckley Park in the Category 2 control. Under this different Category, major promotional signage can be considered for a planning permit. The changes proposed are limited to Beckley Park.</w:t>
      </w:r>
    </w:p>
    <w:p w:rsidR="00DE194C" w:rsidRDefault="00ED133C">
      <w:pPr>
        <w:pStyle w:val="appealformatmay2014"/>
      </w:pPr>
      <w:r>
        <w:t>The proposal is not without precedent. A similar planning scheme amendment was undertaken to the Greater Bendigo Planning Scheme (Amendment C165 - approved 30 June 2011).  This amendment has particular parallels with what is now sought as the land in question was in the Public Park and Recreation Zone (PPRZ) and the Schedule to the zone was altered to vary the Advertising Sign Category for the relevant site (the Barrack Reserve, Heathcote).</w:t>
      </w:r>
    </w:p>
    <w:p w:rsidR="00DE194C" w:rsidRDefault="00ED133C">
      <w:pPr>
        <w:pStyle w:val="appealformatmay2014"/>
      </w:pPr>
      <w:r>
        <w:t xml:space="preserve">The subject site has many attributes that correspond with the siting guidance provided for major promotion signs at Clause 52.05-6. The surrounds to the site cannot be said to have a strong built form. The site is remote from sensitive land-uses. There are no heritage or vegetation issues. The planning scheme or strategic studies do not identify this as being a gateway location or having important vistas. </w:t>
      </w:r>
    </w:p>
    <w:p w:rsidR="00DE194C" w:rsidRDefault="00ED133C">
      <w:pPr>
        <w:pStyle w:val="appealformatmay2014"/>
      </w:pPr>
      <w:r>
        <w:t xml:space="preserve">Approval of the planning scheme amendment will allow the consideration of a planning application for signage. An indicative layout and sign details accompanies this request. Approval of this amendment will not pre-determine any future assessment of a planning application which must be judged on its merits. </w:t>
      </w:r>
    </w:p>
    <w:p w:rsidR="00DE194C" w:rsidRDefault="00DE194C">
      <w:pPr>
        <w:pStyle w:val="appealformatmay2014"/>
      </w:pPr>
    </w:p>
    <w:p w:rsidR="00DE194C" w:rsidRDefault="00DE194C">
      <w:pPr>
        <w:pStyle w:val="appealformatmay2014"/>
      </w:pPr>
    </w:p>
    <w:p w:rsidR="00DE194C" w:rsidRDefault="00ED133C">
      <w:pPr>
        <w:pStyle w:val="Heading1"/>
        <w:numPr>
          <w:ilvl w:val="0"/>
          <w:numId w:val="3"/>
        </w:numPr>
      </w:pPr>
      <w:r>
        <w:t>Subject Site and Surrounds</w:t>
      </w:r>
    </w:p>
    <w:p w:rsidR="00DE194C" w:rsidRDefault="00ED133C">
      <w:pPr>
        <w:pStyle w:val="appeal2014"/>
      </w:pPr>
      <w:r>
        <w:rPr>
          <w:rFonts w:eastAsia="Arial Unicode MS" w:cs="Arial Unicode MS"/>
        </w:rPr>
        <w:t>Beckley Park is the home of the Geelong Harness Racing Club, Geelong Greyhound Racing club, Geelong Karting club and Beckley Park Community market. It comprises a large irregular parcel of land which contains various sporting and vehicle courses. It is bounded to the north by the Geelong Ring Road, to the east by the Princes Highway and to the south and west by Broderick Road.</w:t>
      </w:r>
    </w:p>
    <w:p w:rsidR="00DE194C" w:rsidRDefault="00ED133C">
      <w:pPr>
        <w:pStyle w:val="appealformatmay2014"/>
      </w:pPr>
      <w:r>
        <w:t>Land to the south east (on the corner of Broderick Road and the Princes Highway</w:t>
      </w:r>
      <w:proofErr w:type="gramStart"/>
      <w:r>
        <w:t>)  contains</w:t>
      </w:r>
      <w:proofErr w:type="gramEnd"/>
      <w:r>
        <w:t xml:space="preserve"> an Aldi Supermarket and a residential estate. Land on the east side of the Princes Highway contains bulky goods highway related businesses. Land to the north across the Geelong Ring Road is currently undeveloped but has been designated for future industrial development.</w:t>
      </w:r>
    </w:p>
    <w:p w:rsidR="00DE194C" w:rsidRDefault="00ED133C">
      <w:pPr>
        <w:pStyle w:val="appealformatmay2014"/>
      </w:pPr>
      <w:r>
        <w:t xml:space="preserve">The subject site is largely level. Embankments are found along the interface with the Geelong Ring Road. </w:t>
      </w:r>
      <w:proofErr w:type="gramStart"/>
      <w:r>
        <w:t>The diverge</w:t>
      </w:r>
      <w:proofErr w:type="gramEnd"/>
      <w:r>
        <w:t xml:space="preserve"> between the Princes Highway and the Ring Road involves substantial earthworks and raised road pavements. The Broderick Road overpass across the Ring Road creates a significant visual barrier.</w:t>
      </w:r>
    </w:p>
    <w:p w:rsidR="00DE194C" w:rsidRDefault="00ED133C">
      <w:pPr>
        <w:pStyle w:val="appealformatmay2014"/>
      </w:pPr>
      <w:r>
        <w:t>Land to the north east is used as the Princess Highway and Geelong Ring Road interchange. The subject site is an island site surrounded on three sides by significant road systems with extensive reserves.</w:t>
      </w:r>
    </w:p>
    <w:p w:rsidR="00DE194C" w:rsidRDefault="00DE194C">
      <w:pPr>
        <w:pStyle w:val="appealformatmay2014"/>
      </w:pPr>
    </w:p>
    <w:p w:rsidR="00DE194C" w:rsidRDefault="00ED133C">
      <w:pPr>
        <w:pStyle w:val="appealformatmay2014"/>
      </w:pPr>
      <w:r>
        <w:rPr>
          <w:noProof/>
          <w:lang w:val="en-AU" w:eastAsia="en-AU"/>
        </w:rPr>
        <w:drawing>
          <wp:anchor distT="0" distB="0" distL="0" distR="0" simplePos="0" relativeHeight="251676672" behindDoc="0" locked="0" layoutInCell="1" allowOverlap="1">
            <wp:simplePos x="0" y="0"/>
            <wp:positionH relativeFrom="margin">
              <wp:posOffset>0</wp:posOffset>
            </wp:positionH>
            <wp:positionV relativeFrom="line">
              <wp:posOffset>200921</wp:posOffset>
            </wp:positionV>
            <wp:extent cx="5756500" cy="2134550"/>
            <wp:effectExtent l="0" t="0" r="0" b="0"/>
            <wp:wrapTopAndBottom distT="0" dist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DSC_0051.jpg"/>
                    <pic:cNvPicPr>
                      <a:picLocks noChangeAspect="1"/>
                    </pic:cNvPicPr>
                  </pic:nvPicPr>
                  <pic:blipFill>
                    <a:blip r:embed="rId11">
                      <a:extLst/>
                    </a:blip>
                    <a:stretch>
                      <a:fillRect/>
                    </a:stretch>
                  </pic:blipFill>
                  <pic:spPr>
                    <a:xfrm>
                      <a:off x="0" y="0"/>
                      <a:ext cx="5756500" cy="2134550"/>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jc w:val="center"/>
        <w:rPr>
          <w:i/>
          <w:iCs/>
        </w:rPr>
      </w:pPr>
      <w:r>
        <w:rPr>
          <w:i/>
          <w:iCs/>
        </w:rPr>
        <w:t>Beckley Park viewed from the Ring Road</w:t>
      </w: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E6684D">
      <w:pPr>
        <w:pStyle w:val="appealformatmay2014"/>
      </w:pPr>
      <w:r w:rsidRPr="00E6684D">
        <w:rPr>
          <w:noProof/>
        </w:rPr>
        <w:pict>
          <v:group id="_x0000_s1030" style="position:absolute;left:0;text-align:left;margin-left:28pt;margin-top:492.2pt;width:401pt;height:106.1pt;z-index:251670528;mso-wrap-distance-left:12pt;mso-wrap-distance-top:12pt;mso-wrap-distance-right:12pt;mso-wrap-distance-bottom:12pt;mso-position-horizontal-relative:margin;mso-position-vertical-relative:line" coordsize="5092629,1347046">
            <v:roundrect id="_x0000_s1031" style="position:absolute;left:8434;top:897313;width:405829;height:394146" arcsize="13107f" fillcolor="#9d45b8" stroked="f" strokeweight="1pt">
              <v:stroke miterlimit="4" joinstyle="miter"/>
              <v:textbox>
                <w:txbxContent>
                  <w:p w:rsidR="00E6684D" w:rsidRDefault="00AC2C65">
                    <w:r>
                      <w:rPr>
                        <w:sz w:val="28"/>
                        <w:szCs w:val="28"/>
                      </w:rPr>
                      <w:t>C</w:t>
                    </w:r>
                  </w:p>
                </w:txbxContent>
              </v:textbox>
            </v:roundrect>
            <v:roundrect id="_x0000_s1032" style="position:absolute;left:2539122;top:952900;width:405829;height:394146" arcsize="13107f" fillcolor="#011993" stroked="f" strokeweight="1pt">
              <v:stroke miterlimit="4" joinstyle="miter"/>
              <v:textbox>
                <w:txbxContent>
                  <w:p w:rsidR="00E6684D" w:rsidRDefault="00AC2C65">
                    <w:r>
                      <w:rPr>
                        <w:sz w:val="28"/>
                        <w:szCs w:val="28"/>
                      </w:rPr>
                      <w:t>D</w:t>
                    </w:r>
                  </w:p>
                </w:txbxContent>
              </v:textbox>
            </v:roundrect>
            <v:roundrect id="_x0000_s1033" style="position:absolute;left:2522974;top:36513;width:421977;height:376783" arcsize="13107f" fillcolor="#ff8ad8" stroked="f" strokeweight="1pt">
              <v:stroke miterlimit="4" joinstyle="miter"/>
              <v:textbox>
                <w:txbxContent>
                  <w:p w:rsidR="00E6684D" w:rsidRDefault="00AC2C65">
                    <w:r>
                      <w:rPr>
                        <w:sz w:val="28"/>
                        <w:szCs w:val="28"/>
                      </w:rPr>
                      <w:t>B</w:t>
                    </w:r>
                  </w:p>
                </w:txbxContent>
              </v:textbox>
            </v:roundrect>
            <v:roundrect id="_x0000_s1034" style="position:absolute;width:422697;height:366390" arcsize="13107f" fillcolor="#919191" stroked="f" strokeweight="1pt">
              <v:stroke miterlimit="4" joinstyle="miter"/>
              <v:textbox>
                <w:txbxContent>
                  <w:p w:rsidR="00E6684D" w:rsidRDefault="00AC2C65">
                    <w:r>
                      <w:rPr>
                        <w:sz w:val="28"/>
                        <w:szCs w:val="28"/>
                      </w:rPr>
                      <w:t>A</w:t>
                    </w:r>
                  </w:p>
                </w:txbxContent>
              </v:textbox>
            </v:roundrect>
            <v:rect id="_x0000_s1035" style="position:absolute;left:828526;top:88181;width:1005409;height:273447" filled="f" strokecolor="#404040" strokeweight=".8pt">
              <v:stroke miterlimit="4"/>
              <v:textbox>
                <w:txbxContent>
                  <w:p w:rsidR="00E6684D" w:rsidRDefault="00AC2C65">
                    <w:r>
                      <w:t>Future Industrial</w:t>
                    </w:r>
                  </w:p>
                </w:txbxContent>
              </v:textbox>
            </v:rect>
            <v:rect id="_x0000_s1036" style="position:absolute;left:3478116;top:83418;width:1614513;height:273447" filled="f" strokecolor="#404040" strokeweight=".8pt">
              <v:stroke miterlimit="4"/>
              <v:textbox>
                <w:txbxContent>
                  <w:p w:rsidR="00E6684D" w:rsidRDefault="00AC2C65">
                    <w:r>
                      <w:t>Established Residential</w:t>
                    </w:r>
                  </w:p>
                </w:txbxContent>
              </v:textbox>
            </v:rect>
            <v:rect id="_x0000_s1037" style="position:absolute;left:828526;top:957662;width:1005409;height:273447" filled="f" strokecolor="#404040" strokeweight=".8pt">
              <v:stroke miterlimit="4"/>
              <v:textbox>
                <w:txbxContent>
                  <w:p w:rsidR="00E6684D" w:rsidRDefault="00AC2C65">
                    <w:r>
                      <w:t>Commercial</w:t>
                    </w:r>
                  </w:p>
                </w:txbxContent>
              </v:textbox>
            </v:rect>
            <v:rect id="_x0000_s1038" style="position:absolute;left:3478116;top:1013250;width:1614513;height:273447" filled="f" strokecolor="#404040" strokeweight=".8pt">
              <v:stroke miterlimit="4"/>
              <v:textbox>
                <w:txbxContent>
                  <w:p w:rsidR="00E6684D" w:rsidRDefault="00AC2C65">
                    <w:r>
                      <w:t>Bulky Goods / Highway Sales</w:t>
                    </w:r>
                  </w:p>
                </w:txbxContent>
              </v:textbox>
            </v:rect>
            <w10:wrap anchorx="margin"/>
          </v:group>
        </w:pict>
      </w:r>
      <w:r w:rsidRPr="00E6684D">
        <w:rPr>
          <w:noProof/>
        </w:rPr>
        <w:pict>
          <v:group id="_x0000_s1039" style="position:absolute;left:0;text-align:left;margin-left:18.1pt;margin-top:17.5pt;width:435.1pt;height:453.3pt;z-index:251683840;mso-wrap-distance-left:0;mso-wrap-distance-right:0;mso-position-horizontal-relative:margin;mso-position-vertical-relative:line" coordsize="5526066,5756500">
            <v:group id="_x0000_s1040" style="position:absolute;width:5526066;height:5756500" coordsize="5526066,5756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width:5526066;height:5756500">
                <v:imagedata r:id="rId12" o:title="epsg_3785_16071756.9081107_-4587321.37287203@17"/>
              </v:shape>
              <v:roundrect id="_x0000_s1042" style="position:absolute;left:619748;top:4645340;width:421977;height:376783" arcsize="13107f" fillcolor="#ff8ad8" stroked="f" strokeweight="1pt">
                <v:stroke miterlimit="4" joinstyle="miter"/>
                <v:textbox>
                  <w:txbxContent>
                    <w:p w:rsidR="00E6684D" w:rsidRDefault="00AC2C65">
                      <w:r>
                        <w:rPr>
                          <w:sz w:val="28"/>
                          <w:szCs w:val="28"/>
                        </w:rPr>
                        <w:t>B</w:t>
                      </w:r>
                    </w:p>
                  </w:txbxContent>
                </v:textbox>
              </v:roundrect>
              <v:roundrect id="_x0000_s1043" style="position:absolute;left:1712563;top:319255;width:414263;height:387672" arcsize="13107f" fillcolor="#919191" stroked="f" strokeweight="1pt">
                <v:stroke miterlimit="4" joinstyle="miter"/>
                <v:textbox>
                  <w:txbxContent>
                    <w:p w:rsidR="00E6684D" w:rsidRDefault="00AC2C65">
                      <w:r>
                        <w:rPr>
                          <w:sz w:val="28"/>
                          <w:szCs w:val="28"/>
                        </w:rPr>
                        <w:t>A</w:t>
                      </w:r>
                    </w:p>
                  </w:txbxContent>
                </v:textbox>
              </v:roundrect>
              <v:roundrect id="_x0000_s1044" style="position:absolute;left:1827724;top:4627977;width:405829;height:394146" arcsize="13107f" fillcolor="#9d45b8" stroked="f" strokeweight="1pt">
                <v:stroke miterlimit="4" joinstyle="miter"/>
                <v:textbox>
                  <w:txbxContent>
                    <w:p w:rsidR="00E6684D" w:rsidRDefault="00AC2C65">
                      <w:r>
                        <w:rPr>
                          <w:sz w:val="28"/>
                          <w:szCs w:val="28"/>
                        </w:rPr>
                        <w:t>C</w:t>
                      </w:r>
                    </w:p>
                  </w:txbxContent>
                </v:textbox>
              </v:roundrect>
              <v:roundrect id="_x0000_s1045" style="position:absolute;left:3350937;top:4499067;width:405829;height:394146" arcsize="13107f" fillcolor="#011993" stroked="f" strokeweight="1pt">
                <v:stroke miterlimit="4" joinstyle="miter"/>
                <v:textbox>
                  <w:txbxContent>
                    <w:p w:rsidR="00E6684D" w:rsidRDefault="00AC2C65">
                      <w:r>
                        <w:rPr>
                          <w:sz w:val="28"/>
                          <w:szCs w:val="28"/>
                        </w:rPr>
                        <w:t>D</w:t>
                      </w:r>
                    </w:p>
                  </w:txbxContent>
                </v:textbox>
              </v:roundrect>
              <v:rect id="_x0000_s1046" style="position:absolute;left:-48342;top:3220833;width:2124732;height:270297;rotation:57" fillcolor="#ffe061" strokecolor="#55136c" strokeweight=".8pt">
                <v:fill opacity="63767f"/>
                <v:stroke opacity="63767f" miterlimit="4"/>
                <v:textbox>
                  <w:txbxContent>
                    <w:p w:rsidR="00E6684D" w:rsidRDefault="00AC2C65">
                      <w:r>
                        <w:rPr>
                          <w:color w:val="FF2C21"/>
                        </w:rPr>
                        <w:t>BRODERICK ROAD</w:t>
                      </w:r>
                    </w:p>
                  </w:txbxContent>
                </v:textbox>
              </v:rect>
            </v:group>
            <v:rect id="_x0000_s1047" style="position:absolute;left:3325108;top:2416032;width:2124732;height:270297;rotation:304" fillcolor="#ffe061" strokecolor="#55136c" strokeweight=".8pt">
              <v:fill opacity="63767f"/>
              <v:stroke opacity="63767f" miterlimit="4"/>
              <v:textbox>
                <w:txbxContent>
                  <w:p w:rsidR="00E6684D" w:rsidRDefault="00AC2C65">
                    <w:r>
                      <w:rPr>
                        <w:color w:val="FF2C21"/>
                      </w:rPr>
                      <w:t>PRINCESS HWY</w:t>
                    </w:r>
                  </w:p>
                </w:txbxContent>
              </v:textbox>
            </v:rect>
            <v:shape id="_x0000_s1048" style="position:absolute;left:1231086;top:933719;width:3277595;height:3579347" coordsize="21600,21600" path="m21600,l1452,5179,35,11323,,12371r722,2127l8842,21600r5833,-6219l16527,9706,18444,4261,21600,xe" filled="f" strokecolor="#ff2d21" strokeweight="3pt">
              <v:stroke dashstyle="1 1" miterlimit="4" joinstyle="miter"/>
            </v:shape>
            <v:rect id="_x0000_s1049" style="position:absolute;left:2438459;top:682874;width:2124732;height:270297;rotation:345" fillcolor="#ffe061" strokecolor="#55136c" strokeweight=".8pt">
              <v:fill opacity="63767f"/>
              <v:stroke opacity="63767f" miterlimit="4"/>
              <v:textbox>
                <w:txbxContent>
                  <w:p w:rsidR="00E6684D" w:rsidRDefault="00AC2C65">
                    <w:r>
                      <w:rPr>
                        <w:color w:val="FF2C21"/>
                      </w:rPr>
                      <w:t>RING ROAD</w:t>
                    </w:r>
                  </w:p>
                </w:txbxContent>
              </v:textbox>
            </v:rect>
            <w10:wrap anchorx="margin"/>
          </v:group>
        </w:pict>
      </w: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pacing w:line="24" w:lineRule="auto"/>
      </w:pPr>
      <w:r>
        <w:tab/>
      </w:r>
      <w:r>
        <w:tab/>
      </w:r>
      <w:r>
        <w:tab/>
        <w:t xml:space="preserve">        </w:t>
      </w:r>
    </w:p>
    <w:p w:rsidR="00DE194C" w:rsidRDefault="00DE194C">
      <w:pPr>
        <w:pStyle w:val="appealformatmay2014"/>
      </w:pPr>
    </w:p>
    <w:p w:rsidR="00DE194C" w:rsidRDefault="00ED133C">
      <w:pPr>
        <w:pStyle w:val="Body"/>
      </w:pPr>
      <w:r>
        <w:t xml:space="preserve">                                  </w:t>
      </w:r>
    </w:p>
    <w:p w:rsidR="00DE194C" w:rsidRDefault="00DE194C">
      <w:pPr>
        <w:pStyle w:val="appealformatmay2014"/>
      </w:pPr>
    </w:p>
    <w:p w:rsidR="00DE194C" w:rsidRDefault="00ED133C">
      <w:pPr>
        <w:pStyle w:val="Heading1"/>
        <w:numPr>
          <w:ilvl w:val="0"/>
          <w:numId w:val="3"/>
        </w:numPr>
      </w:pPr>
      <w:r>
        <w:t>Current Planning Scheme Controls</w:t>
      </w:r>
    </w:p>
    <w:p w:rsidR="00DE194C" w:rsidRDefault="00ED133C">
      <w:pPr>
        <w:pStyle w:val="Heading2"/>
        <w:spacing w:before="220" w:after="220"/>
      </w:pPr>
      <w:r>
        <w:t>3.1      Zoning</w:t>
      </w:r>
    </w:p>
    <w:p w:rsidR="00DE194C" w:rsidRDefault="00ED133C">
      <w:pPr>
        <w:pStyle w:val="appealformatmay2014"/>
      </w:pPr>
      <w:r>
        <w:t>The subject site is located within the Special Use Zone (Schedule 4). The zoning provisions are found at Clause 37.01 of the planning scheme. The Purpose of the zone is:</w:t>
      </w:r>
    </w:p>
    <w:p w:rsidR="00DE194C" w:rsidRDefault="00ED133C">
      <w:pPr>
        <w:pStyle w:val="appealformatmay2014"/>
        <w:numPr>
          <w:ilvl w:val="0"/>
          <w:numId w:val="4"/>
        </w:numPr>
        <w:spacing w:after="120"/>
        <w:rPr>
          <w:i/>
          <w:iCs/>
        </w:rPr>
      </w:pPr>
      <w:r>
        <w:rPr>
          <w:i/>
          <w:iCs/>
        </w:rPr>
        <w:t>To implement the State Planning Policy Framework and the Local Planning Policy Framework, including the Municipal Strategic Statement and local planning policies.</w:t>
      </w:r>
    </w:p>
    <w:p w:rsidR="00DE194C" w:rsidRDefault="00ED133C">
      <w:pPr>
        <w:pStyle w:val="appealformatmay2014"/>
        <w:numPr>
          <w:ilvl w:val="0"/>
          <w:numId w:val="4"/>
        </w:numPr>
        <w:rPr>
          <w:i/>
          <w:iCs/>
        </w:rPr>
      </w:pPr>
      <w:r>
        <w:rPr>
          <w:i/>
          <w:iCs/>
        </w:rPr>
        <w:t>To recognise or provide for the use and development of land for specific purposes as identified in a schedule in this zone.</w:t>
      </w:r>
    </w:p>
    <w:p w:rsidR="00DE194C" w:rsidRDefault="00ED133C">
      <w:pPr>
        <w:pStyle w:val="appealformatmay2014"/>
      </w:pPr>
      <w:r>
        <w:t>Clause 37.01-5 sets out the provisions relating to Advertising signs. This control states that the advertising sign requirements are at Clause 52.05. The Special Use Zone is in Category 3 unless a schedule to this zone specifies a different zone (none currently exists). The Category 3 provisions are found at Clause 52.05-9. The Category applies to ‘High amenity areas’ with a Medium limitation classification. Major promotion signs (ie. promotion signs with an area above 18m</w:t>
      </w:r>
      <w:r>
        <w:rPr>
          <w:vertAlign w:val="superscript"/>
        </w:rPr>
        <w:t>2</w:t>
      </w:r>
      <w:r>
        <w:t xml:space="preserve">) are prohibited. </w:t>
      </w:r>
    </w:p>
    <w:p w:rsidR="00DE194C" w:rsidRDefault="00ED133C">
      <w:pPr>
        <w:pStyle w:val="appealformatmay2014"/>
      </w:pPr>
      <w:r>
        <w:t>The Schedule 4 to the Special Use Zone relates to the ‘</w:t>
      </w:r>
      <w:r>
        <w:rPr>
          <w:i/>
          <w:iCs/>
        </w:rPr>
        <w:t>Geelong Showgrounds and Racecourse</w:t>
      </w:r>
      <w:r>
        <w:t>’. The Purpose of the control is:</w:t>
      </w:r>
    </w:p>
    <w:p w:rsidR="00DE194C" w:rsidRDefault="00ED133C">
      <w:pPr>
        <w:pStyle w:val="appealformatmay2014"/>
        <w:numPr>
          <w:ilvl w:val="0"/>
          <w:numId w:val="4"/>
        </w:numPr>
        <w:rPr>
          <w:i/>
          <w:iCs/>
        </w:rPr>
      </w:pPr>
      <w:r>
        <w:rPr>
          <w:i/>
          <w:iCs/>
        </w:rPr>
        <w:t>To encourage the use and development of the Geelong Showgrounds and Racecourse for a range of entertainment, recreational, commercial and community activities.</w:t>
      </w:r>
    </w:p>
    <w:p w:rsidR="00DE194C" w:rsidRDefault="00ED133C">
      <w:pPr>
        <w:pStyle w:val="appealformatmay2014"/>
        <w:numPr>
          <w:ilvl w:val="0"/>
          <w:numId w:val="4"/>
        </w:numPr>
        <w:rPr>
          <w:i/>
          <w:iCs/>
        </w:rPr>
      </w:pPr>
      <w:r>
        <w:rPr>
          <w:i/>
          <w:iCs/>
        </w:rPr>
        <w:t>To encourage a variety of uses of the land and buildings within the Geelong Showgrounds and Racecourse facility in order to enable its usage throughout the year.</w:t>
      </w:r>
    </w:p>
    <w:p w:rsidR="00DE194C" w:rsidRDefault="00ED133C">
      <w:pPr>
        <w:pStyle w:val="appealformatmay2014"/>
        <w:numPr>
          <w:ilvl w:val="0"/>
          <w:numId w:val="4"/>
        </w:numPr>
        <w:rPr>
          <w:i/>
          <w:iCs/>
        </w:rPr>
      </w:pPr>
      <w:r>
        <w:rPr>
          <w:i/>
          <w:iCs/>
        </w:rPr>
        <w:t>To ensure that the combination of uses, their hours of operation and the form of any development do not prejudice the amenity of surrounding areas.</w:t>
      </w:r>
    </w:p>
    <w:p w:rsidR="00DE194C" w:rsidRDefault="00ED133C">
      <w:pPr>
        <w:pStyle w:val="appealformatmay2014"/>
      </w:pPr>
      <w:r>
        <w:t>The first two Objectives relate specifically to the Geelong Showgrounds and Racecourse. The third Objective relates to use and hours or operation. Of note the land use conditions around Beckley Park are very different to those adjacent the Geelong Showgrounds and the Racecourse. Further comment is provided in Section 7.3.</w:t>
      </w:r>
    </w:p>
    <w:p w:rsidR="00DE194C" w:rsidRDefault="00ED133C">
      <w:pPr>
        <w:pStyle w:val="appealformatmay2014"/>
      </w:pPr>
      <w:r>
        <w:t>The subject site is not affected by any Overlay controls.</w:t>
      </w: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ED133C">
      <w:pPr>
        <w:pStyle w:val="appealformatmay2014"/>
      </w:pPr>
      <w:r>
        <w:rPr>
          <w:noProof/>
          <w:lang w:val="en-AU" w:eastAsia="en-AU"/>
        </w:rPr>
        <w:drawing>
          <wp:anchor distT="0" distB="0" distL="0" distR="0" simplePos="0" relativeHeight="251671552" behindDoc="0" locked="0" layoutInCell="1" allowOverlap="1">
            <wp:simplePos x="0" y="0"/>
            <wp:positionH relativeFrom="margin">
              <wp:posOffset>876975</wp:posOffset>
            </wp:positionH>
            <wp:positionV relativeFrom="line">
              <wp:posOffset>256377</wp:posOffset>
            </wp:positionV>
            <wp:extent cx="4002550" cy="3928034"/>
            <wp:effectExtent l="0" t="0" r="0" b="0"/>
            <wp:wrapThrough wrapText="bothSides" distL="0" distR="0">
              <wp:wrapPolygon edited="1">
                <wp:start x="-26" y="-26"/>
                <wp:lineTo x="-26" y="0"/>
                <wp:lineTo x="-26" y="21599"/>
                <wp:lineTo x="-26" y="21625"/>
                <wp:lineTo x="0" y="21625"/>
                <wp:lineTo x="21600" y="21625"/>
                <wp:lineTo x="21625" y="21625"/>
                <wp:lineTo x="21625" y="21599"/>
                <wp:lineTo x="21625" y="0"/>
                <wp:lineTo x="21625" y="-26"/>
                <wp:lineTo x="21600" y="-26"/>
                <wp:lineTo x="0" y="-26"/>
                <wp:lineTo x="-26" y="-26"/>
              </wp:wrapPolygon>
            </wp:wrapThrough>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image.png"/>
                    <pic:cNvPicPr>
                      <a:picLocks noChangeAspect="1"/>
                    </pic:cNvPicPr>
                  </pic:nvPicPr>
                  <pic:blipFill>
                    <a:blip r:embed="rId13">
                      <a:extLst/>
                    </a:blip>
                    <a:stretch>
                      <a:fillRect/>
                    </a:stretch>
                  </pic:blipFill>
                  <pic:spPr>
                    <a:xfrm>
                      <a:off x="0" y="0"/>
                      <a:ext cx="4002550" cy="3928034"/>
                    </a:xfrm>
                    <a:prstGeom prst="rect">
                      <a:avLst/>
                    </a:prstGeom>
                    <a:ln w="9525" cap="flat">
                      <a:solidFill>
                        <a:srgbClr val="404040"/>
                      </a:solidFill>
                      <a:prstDash val="solid"/>
                      <a:miter lim="400000"/>
                    </a:ln>
                    <a:effectLst/>
                  </pic:spPr>
                </pic:pic>
              </a:graphicData>
            </a:graphic>
          </wp:anchor>
        </w:drawing>
      </w: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pacing w:line="24" w:lineRule="auto"/>
        <w:jc w:val="center"/>
        <w:rPr>
          <w:i/>
          <w:iCs/>
        </w:rPr>
      </w:pP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jc w:val="center"/>
        <w:rPr>
          <w:i/>
          <w:iCs/>
        </w:rPr>
      </w:pPr>
      <w:r>
        <w:rPr>
          <w:i/>
          <w:iCs/>
        </w:rPr>
        <w:t>Subject Site - SUZ4, abuts a Road Zone on three sides</w:t>
      </w:r>
    </w:p>
    <w:p w:rsidR="00DE194C" w:rsidRDefault="00DE194C">
      <w:pPr>
        <w:pStyle w:val="appealformatmay2014"/>
      </w:pPr>
    </w:p>
    <w:p w:rsidR="00DE194C" w:rsidRDefault="00ED133C">
      <w:pPr>
        <w:pStyle w:val="Heading2"/>
      </w:pPr>
      <w:r>
        <w:t xml:space="preserve">3.2      Particular and General </w:t>
      </w:r>
      <w:proofErr w:type="gramStart"/>
      <w:r>
        <w:t>provisions</w:t>
      </w:r>
      <w:proofErr w:type="gramEnd"/>
    </w:p>
    <w:p w:rsidR="00DE194C" w:rsidRDefault="00ED133C">
      <w:pPr>
        <w:pStyle w:val="appeal2014"/>
      </w:pPr>
      <w:r>
        <w:rPr>
          <w:rFonts w:eastAsia="Arial Unicode MS" w:cs="Arial Unicode MS"/>
        </w:rPr>
        <w:t>The particular and general provisions within the Greater Geelong Planning Scheme relevant to this proposal include:</w:t>
      </w:r>
    </w:p>
    <w:p w:rsidR="00DE194C" w:rsidRDefault="00ED133C">
      <w:pPr>
        <w:pStyle w:val="appeal2014"/>
        <w:numPr>
          <w:ilvl w:val="0"/>
          <w:numId w:val="5"/>
        </w:numPr>
      </w:pPr>
      <w:r>
        <w:rPr>
          <w:rFonts w:eastAsia="Arial Unicode MS" w:cs="Arial Unicode MS"/>
        </w:rPr>
        <w:t>Clause 52.05 Advertising Signs</w:t>
      </w:r>
    </w:p>
    <w:p w:rsidR="00DE194C" w:rsidRDefault="00ED133C">
      <w:pPr>
        <w:pStyle w:val="appeal2014"/>
        <w:numPr>
          <w:ilvl w:val="0"/>
          <w:numId w:val="5"/>
        </w:numPr>
      </w:pPr>
      <w:r>
        <w:rPr>
          <w:rFonts w:eastAsia="Arial Unicode MS" w:cs="Arial Unicode MS"/>
        </w:rPr>
        <w:t>Clause 65 Decision Guidelines</w:t>
      </w:r>
    </w:p>
    <w:p w:rsidR="00DE194C" w:rsidRDefault="00ED133C">
      <w:pPr>
        <w:pStyle w:val="appeal2014"/>
      </w:pPr>
      <w:r>
        <w:rPr>
          <w:rFonts w:eastAsia="Arial Unicode MS" w:cs="Arial Unicode MS"/>
        </w:rPr>
        <w:t>Pursuant to Clause 52.05, an application to display an animated or electronic sign within 60 metres of a freeway or arterial road declared under the Road Management Act must be referred in accordance with Section 55 of the Planning and Environment Act 1987 to the referral authority specified in Clause 66.03 or a schedule to that Clause. Any planning for an electronic sign must therefore be referred to VicRoads for assessment.</w:t>
      </w:r>
    </w:p>
    <w:p w:rsidR="00DE194C" w:rsidRDefault="00DE194C">
      <w:pPr>
        <w:pStyle w:val="appeal2014"/>
      </w:pPr>
    </w:p>
    <w:p w:rsidR="00DE194C" w:rsidRDefault="00DE194C">
      <w:pPr>
        <w:pStyle w:val="appeal2014"/>
      </w:pPr>
    </w:p>
    <w:p w:rsidR="00DE194C" w:rsidRDefault="00DE194C">
      <w:pPr>
        <w:pStyle w:val="appeal2014"/>
      </w:pPr>
    </w:p>
    <w:p w:rsidR="00DE194C" w:rsidRDefault="00DE194C">
      <w:pPr>
        <w:pStyle w:val="Body"/>
        <w:spacing w:after="80"/>
        <w:rPr>
          <w:spacing w:val="0"/>
        </w:rPr>
      </w:pPr>
    </w:p>
    <w:p w:rsidR="00DE194C" w:rsidRDefault="00DE194C">
      <w:pPr>
        <w:pStyle w:val="Body"/>
        <w:spacing w:after="80"/>
        <w:rPr>
          <w:spacing w:val="0"/>
        </w:rPr>
      </w:pPr>
    </w:p>
    <w:p w:rsidR="00DE194C" w:rsidRDefault="00ED133C">
      <w:pPr>
        <w:pStyle w:val="Body"/>
        <w:spacing w:after="80"/>
        <w:rPr>
          <w:spacing w:val="0"/>
        </w:rPr>
      </w:pPr>
      <w:r>
        <w:rPr>
          <w:spacing w:val="0"/>
        </w:rPr>
        <w:t>Clause 52.05-6 specifically relates to Major Promotion Signs. The purpose of this clause states:</w:t>
      </w:r>
    </w:p>
    <w:p w:rsidR="00DE194C" w:rsidRDefault="00DE194C">
      <w:pPr>
        <w:pStyle w:val="Body"/>
        <w:spacing w:after="80"/>
        <w:rPr>
          <w:spacing w:val="0"/>
        </w:rPr>
      </w:pPr>
    </w:p>
    <w:p w:rsidR="00DE194C" w:rsidRDefault="00ED133C">
      <w:pPr>
        <w:pStyle w:val="Body"/>
        <w:numPr>
          <w:ilvl w:val="0"/>
          <w:numId w:val="6"/>
        </w:numPr>
        <w:spacing w:after="80"/>
        <w:rPr>
          <w:i/>
          <w:iCs/>
          <w:spacing w:val="0"/>
        </w:rPr>
      </w:pPr>
      <w:r>
        <w:rPr>
          <w:i/>
          <w:iCs/>
          <w:spacing w:val="0"/>
        </w:rPr>
        <w:t>To achieve high quality visual standards for the siting of major promotion signs.</w:t>
      </w:r>
    </w:p>
    <w:p w:rsidR="00DE194C" w:rsidRDefault="00ED133C">
      <w:pPr>
        <w:pStyle w:val="Body"/>
        <w:numPr>
          <w:ilvl w:val="0"/>
          <w:numId w:val="6"/>
        </w:numPr>
        <w:spacing w:after="80"/>
        <w:rPr>
          <w:i/>
          <w:iCs/>
          <w:spacing w:val="0"/>
        </w:rPr>
      </w:pPr>
      <w:r>
        <w:rPr>
          <w:i/>
          <w:iCs/>
          <w:spacing w:val="0"/>
        </w:rPr>
        <w:t>To ensure that the signs are not detrimental to the appearance of their surroundings or the safe and efficient operation of the route through the application of consistent planning controls.</w:t>
      </w:r>
    </w:p>
    <w:p w:rsidR="00DE194C" w:rsidRDefault="00DE194C">
      <w:pPr>
        <w:pStyle w:val="Body"/>
        <w:spacing w:after="80"/>
        <w:rPr>
          <w:spacing w:val="0"/>
        </w:rPr>
      </w:pPr>
    </w:p>
    <w:p w:rsidR="00DE194C" w:rsidRDefault="00ED133C">
      <w:pPr>
        <w:pStyle w:val="Body"/>
        <w:spacing w:after="80"/>
        <w:rPr>
          <w:spacing w:val="0"/>
        </w:rPr>
      </w:pPr>
      <w:r>
        <w:rPr>
          <w:spacing w:val="0"/>
        </w:rPr>
        <w:t>When determining the effect of a proposed major promotion sign, the following locational principles must be taken into account:</w:t>
      </w:r>
    </w:p>
    <w:p w:rsidR="00DE194C" w:rsidRDefault="00DE194C">
      <w:pPr>
        <w:pStyle w:val="Body"/>
        <w:spacing w:after="80"/>
        <w:rPr>
          <w:spacing w:val="0"/>
        </w:rPr>
      </w:pPr>
    </w:p>
    <w:p w:rsidR="00DE194C" w:rsidRDefault="00ED133C">
      <w:pPr>
        <w:pStyle w:val="Body"/>
        <w:numPr>
          <w:ilvl w:val="0"/>
          <w:numId w:val="4"/>
        </w:numPr>
        <w:spacing w:after="80"/>
        <w:rPr>
          <w:i/>
          <w:iCs/>
          <w:spacing w:val="0"/>
        </w:rPr>
      </w:pPr>
      <w:r>
        <w:rPr>
          <w:i/>
          <w:iCs/>
          <w:spacing w:val="0"/>
        </w:rPr>
        <w:t>Major promotion signs are encouraged in commercial and industrial locations in a manner which compliments or enhances the character of the area.</w:t>
      </w:r>
    </w:p>
    <w:p w:rsidR="00DE194C" w:rsidRDefault="00ED133C">
      <w:pPr>
        <w:pStyle w:val="Body"/>
        <w:numPr>
          <w:ilvl w:val="0"/>
          <w:numId w:val="4"/>
        </w:numPr>
        <w:spacing w:after="80"/>
        <w:rPr>
          <w:i/>
          <w:iCs/>
          <w:spacing w:val="0"/>
        </w:rPr>
      </w:pPr>
      <w:r>
        <w:rPr>
          <w:i/>
          <w:iCs/>
          <w:spacing w:val="0"/>
        </w:rPr>
        <w:t>Major promotion signs are discouraged along forest and tourist roads, scenic routes or landscaped sections of freeways.</w:t>
      </w:r>
    </w:p>
    <w:p w:rsidR="00DE194C" w:rsidRDefault="00ED133C">
      <w:pPr>
        <w:pStyle w:val="Body"/>
        <w:numPr>
          <w:ilvl w:val="0"/>
          <w:numId w:val="4"/>
        </w:numPr>
        <w:spacing w:after="80"/>
        <w:rPr>
          <w:i/>
          <w:iCs/>
          <w:spacing w:val="0"/>
        </w:rPr>
      </w:pPr>
      <w:r>
        <w:rPr>
          <w:i/>
          <w:iCs/>
          <w:spacing w:val="0"/>
        </w:rPr>
        <w:t>Major promotion signs are discouraged within open space reserves or corridors and around waterways.</w:t>
      </w:r>
    </w:p>
    <w:p w:rsidR="00DE194C" w:rsidRDefault="00ED133C">
      <w:pPr>
        <w:pStyle w:val="Body"/>
        <w:numPr>
          <w:ilvl w:val="0"/>
          <w:numId w:val="4"/>
        </w:numPr>
        <w:spacing w:after="80"/>
        <w:rPr>
          <w:i/>
          <w:iCs/>
          <w:spacing w:val="0"/>
        </w:rPr>
      </w:pPr>
      <w:r>
        <w:rPr>
          <w:i/>
          <w:iCs/>
          <w:spacing w:val="0"/>
        </w:rPr>
        <w:t>Major promotion signs are discouraged where they will form a dominant visual element from residential areas, within a heritage place or where they will form a dominant visual element from residential areas within a heritage place or where they will obstruct significant view lines.</w:t>
      </w:r>
    </w:p>
    <w:p w:rsidR="00DE194C" w:rsidRDefault="00ED133C">
      <w:pPr>
        <w:pStyle w:val="Body"/>
        <w:numPr>
          <w:ilvl w:val="0"/>
          <w:numId w:val="4"/>
        </w:numPr>
        <w:spacing w:after="80"/>
        <w:rPr>
          <w:i/>
          <w:iCs/>
          <w:spacing w:val="0"/>
        </w:rPr>
      </w:pPr>
      <w:r>
        <w:rPr>
          <w:i/>
          <w:iCs/>
          <w:spacing w:val="0"/>
        </w:rPr>
        <w:t>In areas with a strong built form character, major promotion signs are encouraged only where they are not a dominant element in the streetscape and except for transparent feature signs (Such as neon signs), are discouraged from being erected on the roof of a building.</w:t>
      </w:r>
    </w:p>
    <w:p w:rsidR="00DE194C" w:rsidRDefault="00DE194C">
      <w:pPr>
        <w:pStyle w:val="Body"/>
        <w:spacing w:after="80"/>
        <w:rPr>
          <w:spacing w:val="0"/>
        </w:rPr>
      </w:pPr>
    </w:p>
    <w:p w:rsidR="00DE194C" w:rsidRDefault="00ED133C">
      <w:pPr>
        <w:pStyle w:val="appeal2014"/>
      </w:pPr>
      <w:r>
        <w:rPr>
          <w:rFonts w:eastAsia="Arial Unicode MS" w:cs="Arial Unicode MS"/>
        </w:rPr>
        <w:t>The provisions of Clause 73 provide definitions for Outdoor Advertising Signs. The following sign definitions are considered to be relevant to the proposal:</w:t>
      </w:r>
    </w:p>
    <w:p w:rsidR="00DE194C" w:rsidRDefault="00ED133C">
      <w:pPr>
        <w:pStyle w:val="appeal2014"/>
      </w:pPr>
      <w:r>
        <w:rPr>
          <w:rFonts w:eastAsia="Arial Unicode MS" w:cs="Arial Unicode MS"/>
          <w:i/>
          <w:iCs/>
        </w:rPr>
        <w:t>Advertisement area</w:t>
      </w:r>
      <w:r>
        <w:rPr>
          <w:rFonts w:eastAsia="Arial Unicode MS" w:cs="Arial Unicode MS"/>
        </w:rPr>
        <w:t xml:space="preserve"> - The total area of an advertisement. If the advertisement does not rotate or move, the area is one side only. </w:t>
      </w:r>
    </w:p>
    <w:p w:rsidR="00DE194C" w:rsidRDefault="00ED133C">
      <w:pPr>
        <w:pStyle w:val="appeal2014"/>
      </w:pPr>
      <w:r>
        <w:rPr>
          <w:rFonts w:eastAsia="Arial Unicode MS" w:cs="Arial Unicode MS"/>
          <w:i/>
          <w:iCs/>
        </w:rPr>
        <w:t>Electronic sign</w:t>
      </w:r>
      <w:r>
        <w:rPr>
          <w:rFonts w:eastAsia="Arial Unicode MS" w:cs="Arial Unicode MS"/>
        </w:rPr>
        <w:t xml:space="preserve"> - A sign that can be updated electronically. It includes screens broadcasting still or moving images. </w:t>
      </w:r>
    </w:p>
    <w:p w:rsidR="00DE194C" w:rsidRDefault="00ED133C">
      <w:pPr>
        <w:pStyle w:val="appeal2014"/>
      </w:pPr>
      <w:r>
        <w:rPr>
          <w:rFonts w:eastAsia="Arial Unicode MS" w:cs="Arial Unicode MS"/>
          <w:i/>
          <w:iCs/>
        </w:rPr>
        <w:t>Major promotion sign</w:t>
      </w:r>
      <w:r>
        <w:rPr>
          <w:rFonts w:eastAsia="Arial Unicode MS" w:cs="Arial Unicode MS"/>
        </w:rPr>
        <w:t xml:space="preserve"> - A sign which is 18 square metres or greater that promotes goods, services, an event or any other matter, whether or not provided, undertaken or sold or for hire on the land or in the building on which the sign is sited.</w:t>
      </w:r>
    </w:p>
    <w:p w:rsidR="00DE194C" w:rsidRDefault="00DE194C">
      <w:pPr>
        <w:pStyle w:val="Normaldecemberreport"/>
        <w:rPr>
          <w:rFonts w:ascii="Arial" w:eastAsia="Arial" w:hAnsi="Arial" w:cs="Arial"/>
          <w:b/>
          <w:bCs/>
        </w:rPr>
      </w:pPr>
    </w:p>
    <w:p w:rsidR="00DE194C" w:rsidRDefault="00DE194C">
      <w:pPr>
        <w:pStyle w:val="Normaldecemberreport"/>
        <w:rPr>
          <w:rFonts w:ascii="Arial" w:eastAsia="Arial" w:hAnsi="Arial" w:cs="Arial"/>
          <w:b/>
          <w:bCs/>
        </w:rPr>
      </w:pPr>
    </w:p>
    <w:p w:rsidR="00DE194C" w:rsidRDefault="00DE194C">
      <w:pPr>
        <w:pStyle w:val="Normaldecemberreport"/>
        <w:rPr>
          <w:rFonts w:ascii="Arial" w:eastAsia="Arial" w:hAnsi="Arial" w:cs="Arial"/>
          <w:b/>
          <w:bCs/>
        </w:rPr>
      </w:pPr>
    </w:p>
    <w:p w:rsidR="00DE194C" w:rsidRDefault="00DE194C">
      <w:pPr>
        <w:pStyle w:val="Normaldecemberreport"/>
        <w:rPr>
          <w:rFonts w:ascii="Arial" w:eastAsia="Arial" w:hAnsi="Arial" w:cs="Arial"/>
          <w:b/>
          <w:bCs/>
        </w:rPr>
      </w:pPr>
    </w:p>
    <w:p w:rsidR="00ED133C" w:rsidRDefault="00ED133C">
      <w:pPr>
        <w:pStyle w:val="Normaldecemberreport"/>
        <w:rPr>
          <w:rFonts w:ascii="Arial" w:eastAsia="Arial" w:hAnsi="Arial" w:cs="Arial"/>
          <w:b/>
          <w:bCs/>
        </w:rPr>
      </w:pPr>
    </w:p>
    <w:p w:rsidR="00ED133C" w:rsidRDefault="00ED133C">
      <w:pPr>
        <w:pStyle w:val="Normaldecemberreport"/>
        <w:rPr>
          <w:rFonts w:ascii="Arial" w:eastAsia="Arial" w:hAnsi="Arial" w:cs="Arial"/>
          <w:b/>
          <w:bCs/>
        </w:rPr>
      </w:pPr>
    </w:p>
    <w:p w:rsidR="00ED133C" w:rsidRDefault="00ED133C">
      <w:pPr>
        <w:pStyle w:val="Normaldecemberreport"/>
        <w:rPr>
          <w:rFonts w:ascii="Arial" w:eastAsia="Arial" w:hAnsi="Arial" w:cs="Arial"/>
          <w:b/>
          <w:bCs/>
        </w:rPr>
      </w:pPr>
    </w:p>
    <w:p w:rsidR="00DE194C" w:rsidRDefault="00DE194C">
      <w:pPr>
        <w:pStyle w:val="Normaldecemberreport"/>
        <w:rPr>
          <w:rFonts w:ascii="Arial" w:eastAsia="Arial" w:hAnsi="Arial" w:cs="Arial"/>
          <w:b/>
          <w:bCs/>
        </w:rPr>
      </w:pPr>
    </w:p>
    <w:p w:rsidR="00DE194C" w:rsidRDefault="00DE194C">
      <w:pPr>
        <w:pStyle w:val="Normaldecemberreport"/>
        <w:rPr>
          <w:rFonts w:ascii="Arial" w:eastAsia="Arial" w:hAnsi="Arial" w:cs="Arial"/>
          <w:b/>
          <w:bCs/>
        </w:rPr>
      </w:pPr>
    </w:p>
    <w:p w:rsidR="00DE194C" w:rsidRDefault="00ED133C">
      <w:pPr>
        <w:pStyle w:val="Heading1"/>
        <w:numPr>
          <w:ilvl w:val="0"/>
          <w:numId w:val="3"/>
        </w:numPr>
      </w:pPr>
      <w:r>
        <w:t>Relevant Planning Policies and Controls</w:t>
      </w:r>
    </w:p>
    <w:p w:rsidR="00DE194C" w:rsidRDefault="00ED133C">
      <w:pPr>
        <w:pStyle w:val="Heading2"/>
      </w:pPr>
      <w:r>
        <w:t>4.1      State Planning Policy Framework</w:t>
      </w:r>
    </w:p>
    <w:p w:rsidR="00DE194C" w:rsidRDefault="00ED133C">
      <w:pPr>
        <w:pStyle w:val="appeal2014"/>
      </w:pPr>
      <w:r>
        <w:rPr>
          <w:rFonts w:eastAsia="Arial Unicode MS" w:cs="Arial Unicode MS"/>
        </w:rPr>
        <w:t>The State Planning Policy Framework is outlined at Clauses 11-19 of the Greater Geelong Planning Scheme. In essence, State Planning Policy seeks to encourage development and appropriate land use changes and the sustainable use of land within Victoria. In general terms, the State Planning Policy Framework provides limited guidance to assist in the assessment of applications for the display of advertising signs. The strategies and design principles of Clause 15.01-1, seek to create good quality urban environments. Strategies include:</w:t>
      </w:r>
    </w:p>
    <w:p w:rsidR="00DE194C" w:rsidRDefault="00ED133C">
      <w:pPr>
        <w:pStyle w:val="appeal2014"/>
        <w:numPr>
          <w:ilvl w:val="0"/>
          <w:numId w:val="7"/>
        </w:numPr>
        <w:spacing w:after="80"/>
        <w:rPr>
          <w:i/>
          <w:iCs/>
        </w:rPr>
      </w:pPr>
      <w:r>
        <w:rPr>
          <w:i/>
          <w:iCs/>
        </w:rPr>
        <w:t>Promote good urban design to make the environment more liveable and attractive.</w:t>
      </w:r>
    </w:p>
    <w:p w:rsidR="00DE194C" w:rsidRDefault="00ED133C">
      <w:pPr>
        <w:pStyle w:val="appeal2014"/>
        <w:numPr>
          <w:ilvl w:val="0"/>
          <w:numId w:val="7"/>
        </w:numPr>
        <w:spacing w:after="360"/>
        <w:rPr>
          <w:i/>
          <w:iCs/>
        </w:rPr>
      </w:pPr>
      <w:r>
        <w:rPr>
          <w:i/>
          <w:iCs/>
        </w:rPr>
        <w:t>Ensure transport corridors integrate land use planning, urban design and transport planning and are developed and managed with particular attention to urban design aspects.</w:t>
      </w:r>
    </w:p>
    <w:p w:rsidR="00DE194C" w:rsidRDefault="00ED133C">
      <w:pPr>
        <w:pStyle w:val="appeal2014"/>
      </w:pPr>
      <w:r>
        <w:rPr>
          <w:rFonts w:eastAsia="Arial Unicode MS" w:cs="Arial Unicode MS"/>
        </w:rPr>
        <w:t>A strategy of Clause 18.02-4 is to plan and regulate the design of transport routes and nearby areas to achieve visual standards appropriate to the importance of the route. This strategy includes particular reference to specified matters, including the control of outdoor advertising.</w:t>
      </w:r>
    </w:p>
    <w:p w:rsidR="00DE194C" w:rsidRDefault="00ED133C">
      <w:pPr>
        <w:pStyle w:val="Heading2"/>
      </w:pPr>
      <w:r>
        <w:t>4.2       Local Policies</w:t>
      </w:r>
    </w:p>
    <w:p w:rsidR="00DE194C" w:rsidRDefault="00ED133C">
      <w:pPr>
        <w:pStyle w:val="appeal2014"/>
      </w:pPr>
      <w:r>
        <w:rPr>
          <w:rFonts w:eastAsia="Arial Unicode MS" w:cs="Arial Unicode MS"/>
        </w:rPr>
        <w:t xml:space="preserve">There are no direct local policies relating to advertising signage. </w:t>
      </w:r>
      <w:r>
        <w:rPr>
          <w:rFonts w:eastAsia="Arial Unicode MS" w:cs="Arial Unicode MS"/>
          <w:i/>
          <w:iCs/>
        </w:rPr>
        <w:t>The Advertising Sign Guidelines</w:t>
      </w:r>
      <w:r>
        <w:rPr>
          <w:rFonts w:eastAsia="Arial Unicode MS" w:cs="Arial Unicode MS"/>
        </w:rPr>
        <w:t>, City of Greater Geelong, November 1997 is an Incorporated Document pursuant to the Schedule to Clause 81.01. The provisions of this policy are not directly relevant to the circumstances associated with the subject proposal given its freeway location and the nature of surrounding development (essentially a highway / freeway environment).</w:t>
      </w:r>
      <w:r>
        <w:rPr>
          <w:noProof/>
          <w:lang w:val="en-AU" w:eastAsia="en-AU"/>
        </w:rPr>
        <w:drawing>
          <wp:anchor distT="0" distB="0" distL="0" distR="0" simplePos="0" relativeHeight="251677696" behindDoc="0" locked="0" layoutInCell="1" allowOverlap="1">
            <wp:simplePos x="0" y="0"/>
            <wp:positionH relativeFrom="margin">
              <wp:posOffset>4762</wp:posOffset>
            </wp:positionH>
            <wp:positionV relativeFrom="line">
              <wp:posOffset>429497</wp:posOffset>
            </wp:positionV>
            <wp:extent cx="5756500" cy="1661490"/>
            <wp:effectExtent l="0" t="0" r="0" b="0"/>
            <wp:wrapTopAndBottom distT="0" dist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DSC_0114.jpg"/>
                    <pic:cNvPicPr>
                      <a:picLocks noChangeAspect="1"/>
                    </pic:cNvPicPr>
                  </pic:nvPicPr>
                  <pic:blipFill>
                    <a:blip r:embed="rId14">
                      <a:extLst/>
                    </a:blip>
                    <a:stretch>
                      <a:fillRect/>
                    </a:stretch>
                  </pic:blipFill>
                  <pic:spPr>
                    <a:xfrm>
                      <a:off x="0" y="0"/>
                      <a:ext cx="5756500" cy="1661490"/>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DE194C">
      <w:pPr>
        <w:pStyle w:val="appeal2014"/>
        <w:spacing w:line="96" w:lineRule="auto"/>
      </w:pP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jc w:val="center"/>
        <w:rPr>
          <w:i/>
          <w:iCs/>
        </w:rPr>
      </w:pPr>
      <w:r>
        <w:rPr>
          <w:i/>
          <w:iCs/>
        </w:rPr>
        <w:t>View towards Beckley Park travelling on the Princes Highway towards Geelong</w:t>
      </w:r>
    </w:p>
    <w:p w:rsidR="00DE194C" w:rsidRDefault="00DE194C">
      <w:pPr>
        <w:pStyle w:val="appeal2014"/>
      </w:pPr>
    </w:p>
    <w:p w:rsidR="00DE194C" w:rsidRDefault="00DE194C">
      <w:pPr>
        <w:pStyle w:val="appeal2014"/>
      </w:pPr>
    </w:p>
    <w:p w:rsidR="00DE194C" w:rsidRDefault="00DE194C">
      <w:pPr>
        <w:pStyle w:val="appeal2014"/>
      </w:pPr>
    </w:p>
    <w:p w:rsidR="00DE194C" w:rsidRDefault="00ED133C">
      <w:pPr>
        <w:pStyle w:val="Heading1"/>
        <w:numPr>
          <w:ilvl w:val="0"/>
          <w:numId w:val="3"/>
        </w:numPr>
      </w:pPr>
      <w:r>
        <w:t>Background</w:t>
      </w:r>
    </w:p>
    <w:p w:rsidR="00DE194C" w:rsidRDefault="00ED133C">
      <w:pPr>
        <w:pStyle w:val="Heading2"/>
      </w:pPr>
      <w:r>
        <w:t>5.1     Need for the Amendment</w:t>
      </w:r>
    </w:p>
    <w:p w:rsidR="00DE194C" w:rsidRDefault="00ED133C">
      <w:pPr>
        <w:pStyle w:val="appealformatmay2014"/>
      </w:pPr>
      <w:r>
        <w:t>The Committee of Management seeks the opportunity to have major promotion signs considered for Beckley Park. These signs will provide revenue and the funds can be used to offset operating costs and support future development works. The Committee has approached and been given support by the Land Management Policy section of DELWP to facilitate this outcome.</w:t>
      </w: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pacing w:after="440"/>
      </w:pPr>
      <w:r>
        <w:t>The amendment is necessary as the present zoning provisions of the Special Use Zone (Schedule 4) do not allow the consideration of an application for major promotional signage. The change sought will insert a site specific provision that will apply only to the subject site. This provision will apply the Category 2 requirements at Clause 52.05.</w:t>
      </w:r>
    </w:p>
    <w:p w:rsidR="00DE194C" w:rsidRDefault="00ED133C">
      <w:pPr>
        <w:pStyle w:val="Heading2"/>
      </w:pPr>
      <w:r>
        <w:t>5.2     Precedent</w:t>
      </w:r>
    </w:p>
    <w:p w:rsidR="00DE194C" w:rsidRDefault="00ED133C">
      <w:pPr>
        <w:pStyle w:val="appealformatmay2014"/>
      </w:pPr>
      <w:r>
        <w:t>Amendment C165 to the Greater Bendigo Planning Scheme was prepared by the Minister for Planning in response to a request from the Heathcote Football and Netball Club. The amendment applied to Barrack Reserve, located in central Heathcote between High Street and McIvor Creek. The amendment was required as it would facilitate the display of promotional signage at Barrack Reserve, which would otherwise be prohibited under the advertising controls of clause 52.05. The Public Park and Recreation Zone and Urban Floodway Zone identify advertising signage requirements as Category 4 – Sensitive areas.</w:t>
      </w:r>
    </w:p>
    <w:p w:rsidR="00DE194C" w:rsidRDefault="00ED133C">
      <w:pPr>
        <w:pStyle w:val="appealformatmay2014"/>
      </w:pPr>
      <w:r>
        <w:t>The amendment made the following changes:</w:t>
      </w:r>
    </w:p>
    <w:p w:rsidR="00DE194C" w:rsidRDefault="00ED133C">
      <w:pPr>
        <w:pStyle w:val="appeal2014"/>
        <w:numPr>
          <w:ilvl w:val="0"/>
          <w:numId w:val="7"/>
        </w:numPr>
        <w:rPr>
          <w:i/>
          <w:iCs/>
        </w:rPr>
      </w:pPr>
      <w:r>
        <w:rPr>
          <w:i/>
          <w:iCs/>
        </w:rPr>
        <w:t>Amends the schedules to the Public Park and Recreation Zone and Urban Floodway Zone to identify the applicable advertising sign category for Barrack Reserve, Heathcote as Category 2.</w:t>
      </w:r>
    </w:p>
    <w:p w:rsidR="00DE194C" w:rsidRDefault="00ED133C">
      <w:pPr>
        <w:pStyle w:val="appeal2014"/>
        <w:numPr>
          <w:ilvl w:val="0"/>
          <w:numId w:val="7"/>
        </w:numPr>
        <w:rPr>
          <w:i/>
          <w:iCs/>
        </w:rPr>
      </w:pPr>
      <w:r>
        <w:rPr>
          <w:i/>
          <w:iCs/>
        </w:rPr>
        <w:t>Provides for a planning permit to be granted for Advertising Signage.</w:t>
      </w:r>
    </w:p>
    <w:p w:rsidR="00DE194C" w:rsidRDefault="00ED133C">
      <w:pPr>
        <w:pStyle w:val="appeal2014"/>
      </w:pPr>
      <w:r>
        <w:rPr>
          <w:rFonts w:eastAsia="Arial Unicode MS" w:cs="Arial Unicode MS"/>
        </w:rPr>
        <w:t>The amendment was considered to implement the objectives of planning in Victoria for the following reason:</w:t>
      </w:r>
    </w:p>
    <w:p w:rsidR="00DE194C" w:rsidRDefault="00ED133C">
      <w:pPr>
        <w:pStyle w:val="appeal2014"/>
        <w:rPr>
          <w:i/>
          <w:iCs/>
        </w:rPr>
      </w:pPr>
      <w:r>
        <w:rPr>
          <w:i/>
          <w:iCs/>
        </w:rPr>
        <w:t>The amendment implements the objectives of planning in Victoria by providing an opportunity for the consideration of the ongoing display of suitable outdoor advertising signage in appropriate main road locations which will contribute to the complexity of the built environment in accordance with Section 4(1)c of the Planning and Environment Act 1987.</w:t>
      </w:r>
    </w:p>
    <w:p w:rsidR="00DE194C" w:rsidRDefault="00DE194C">
      <w:pPr>
        <w:pStyle w:val="appeal2014"/>
        <w:rPr>
          <w:i/>
          <w:iCs/>
        </w:rPr>
      </w:pPr>
    </w:p>
    <w:p w:rsidR="00DE194C" w:rsidRDefault="00DE194C">
      <w:pPr>
        <w:pStyle w:val="appeal2014"/>
        <w:rPr>
          <w:i/>
          <w:iCs/>
        </w:rPr>
      </w:pPr>
    </w:p>
    <w:p w:rsidR="00DE194C" w:rsidRDefault="00ED133C">
      <w:pPr>
        <w:pStyle w:val="appeal2014"/>
      </w:pPr>
      <w:r>
        <w:rPr>
          <w:rFonts w:eastAsia="Arial Unicode MS" w:cs="Arial Unicode MS"/>
        </w:rPr>
        <w:t>There are a number of parallels between the Heathcote site and what is proposed for Beckley Park. These are:</w:t>
      </w:r>
    </w:p>
    <w:p w:rsidR="00DE194C" w:rsidRDefault="00ED133C">
      <w:pPr>
        <w:pStyle w:val="appeal2014"/>
        <w:numPr>
          <w:ilvl w:val="0"/>
          <w:numId w:val="8"/>
        </w:numPr>
      </w:pPr>
      <w:r>
        <w:rPr>
          <w:rFonts w:eastAsia="Arial Unicode MS" w:cs="Arial Unicode MS"/>
        </w:rPr>
        <w:t>similar public benefit outcomes in terms of funding public reserves and sporting groups;</w:t>
      </w:r>
    </w:p>
    <w:p w:rsidR="00DE194C" w:rsidRDefault="00ED133C">
      <w:pPr>
        <w:pStyle w:val="appeal2014"/>
        <w:numPr>
          <w:ilvl w:val="0"/>
          <w:numId w:val="8"/>
        </w:numPr>
      </w:pPr>
      <w:r>
        <w:rPr>
          <w:rFonts w:eastAsia="Arial Unicode MS" w:cs="Arial Unicode MS"/>
        </w:rPr>
        <w:t>similar zoning restrictions (ie between the PPRZ and the SUZ4); and</w:t>
      </w:r>
    </w:p>
    <w:p w:rsidR="00DE194C" w:rsidRDefault="00ED133C">
      <w:pPr>
        <w:pStyle w:val="appeal2014"/>
        <w:numPr>
          <w:ilvl w:val="0"/>
          <w:numId w:val="8"/>
        </w:numPr>
      </w:pPr>
      <w:proofErr w:type="gramStart"/>
      <w:r>
        <w:rPr>
          <w:rFonts w:eastAsia="Arial Unicode MS" w:cs="Arial Unicode MS"/>
        </w:rPr>
        <w:t>similar</w:t>
      </w:r>
      <w:proofErr w:type="gramEnd"/>
      <w:r>
        <w:rPr>
          <w:rFonts w:eastAsia="Arial Unicode MS" w:cs="Arial Unicode MS"/>
        </w:rPr>
        <w:t xml:space="preserve"> remedy mechanisms are proposed (ie. a site specific variation in the Schedule).</w:t>
      </w:r>
    </w:p>
    <w:p w:rsidR="00DE194C" w:rsidRDefault="00ED133C">
      <w:pPr>
        <w:pStyle w:val="appeal2014"/>
        <w:rPr>
          <w:b/>
          <w:bCs/>
        </w:rPr>
      </w:pPr>
      <w:r>
        <w:rPr>
          <w:b/>
          <w:bCs/>
          <w:noProof/>
          <w:lang w:val="en-AU" w:eastAsia="en-AU"/>
        </w:rPr>
        <w:drawing>
          <wp:anchor distT="0" distB="0" distL="0" distR="0" simplePos="0" relativeHeight="251678720" behindDoc="0" locked="0" layoutInCell="1" allowOverlap="1">
            <wp:simplePos x="0" y="0"/>
            <wp:positionH relativeFrom="margin">
              <wp:posOffset>4762</wp:posOffset>
            </wp:positionH>
            <wp:positionV relativeFrom="line">
              <wp:posOffset>202857</wp:posOffset>
            </wp:positionV>
            <wp:extent cx="5756500" cy="2049326"/>
            <wp:effectExtent l="0" t="0" r="0" b="0"/>
            <wp:wrapTopAndBottom distT="0" dist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GOPR6403.jpg"/>
                    <pic:cNvPicPr>
                      <a:picLocks noChangeAspect="1"/>
                    </pic:cNvPicPr>
                  </pic:nvPicPr>
                  <pic:blipFill>
                    <a:blip r:embed="rId15">
                      <a:extLst/>
                    </a:blip>
                    <a:stretch>
                      <a:fillRect/>
                    </a:stretch>
                  </pic:blipFill>
                  <pic:spPr>
                    <a:xfrm>
                      <a:off x="0" y="0"/>
                      <a:ext cx="5756500" cy="2049326"/>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DE194C">
      <w:pPr>
        <w:pStyle w:val="appeal2014"/>
        <w:rPr>
          <w:b/>
          <w:bCs/>
        </w:rPr>
      </w:pP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jc w:val="center"/>
        <w:rPr>
          <w:i/>
          <w:iCs/>
        </w:rPr>
      </w:pPr>
      <w:r>
        <w:rPr>
          <w:i/>
          <w:iCs/>
        </w:rPr>
        <w:t xml:space="preserve">The approach to Beckley Park consists of significant road infrastructure </w:t>
      </w:r>
      <w:proofErr w:type="gramStart"/>
      <w:r>
        <w:rPr>
          <w:i/>
          <w:iCs/>
        </w:rPr>
        <w:t>Above</w:t>
      </w:r>
      <w:proofErr w:type="gramEnd"/>
      <w:r>
        <w:rPr>
          <w:i/>
          <w:iCs/>
        </w:rPr>
        <w:t>, heading north towards Melbourne, Below, the Princes Hwy / Ring Road diverge</w:t>
      </w:r>
    </w:p>
    <w:p w:rsidR="00DE194C" w:rsidRDefault="00ED133C">
      <w:pPr>
        <w:pStyle w:val="appeal2014"/>
        <w:rPr>
          <w:b/>
          <w:bCs/>
        </w:rPr>
      </w:pPr>
      <w:r>
        <w:rPr>
          <w:b/>
          <w:bCs/>
          <w:noProof/>
          <w:lang w:val="en-AU" w:eastAsia="en-AU"/>
        </w:rPr>
        <w:drawing>
          <wp:anchor distT="0" distB="0" distL="0" distR="0" simplePos="0" relativeHeight="251679744" behindDoc="0" locked="0" layoutInCell="1" allowOverlap="1">
            <wp:simplePos x="0" y="0"/>
            <wp:positionH relativeFrom="margin">
              <wp:posOffset>4762</wp:posOffset>
            </wp:positionH>
            <wp:positionV relativeFrom="line">
              <wp:posOffset>267807</wp:posOffset>
            </wp:positionV>
            <wp:extent cx="5756500" cy="2340018"/>
            <wp:effectExtent l="0" t="0" r="0" b="0"/>
            <wp:wrapTopAndBottom distT="0" dist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GOPR6511.jpg"/>
                    <pic:cNvPicPr>
                      <a:picLocks noChangeAspect="1"/>
                    </pic:cNvPicPr>
                  </pic:nvPicPr>
                  <pic:blipFill>
                    <a:blip r:embed="rId16">
                      <a:extLst/>
                    </a:blip>
                    <a:stretch>
                      <a:fillRect/>
                    </a:stretch>
                  </pic:blipFill>
                  <pic:spPr>
                    <a:xfrm>
                      <a:off x="0" y="0"/>
                      <a:ext cx="5756500" cy="2340018"/>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DE194C">
      <w:pPr>
        <w:pStyle w:val="appeal2014"/>
        <w:rPr>
          <w:b/>
          <w:bCs/>
        </w:rPr>
      </w:pPr>
    </w:p>
    <w:p w:rsidR="00DE194C" w:rsidRDefault="00DE194C">
      <w:pPr>
        <w:pStyle w:val="appeal2014"/>
        <w:rPr>
          <w:b/>
          <w:bCs/>
        </w:rPr>
      </w:pPr>
    </w:p>
    <w:p w:rsidR="00DE194C" w:rsidRDefault="00DE194C">
      <w:pPr>
        <w:pStyle w:val="appeal2014"/>
        <w:rPr>
          <w:b/>
          <w:bCs/>
        </w:rPr>
      </w:pPr>
    </w:p>
    <w:p w:rsidR="00DE194C" w:rsidRDefault="00DE194C">
      <w:pPr>
        <w:pStyle w:val="appeal2014"/>
        <w:rPr>
          <w:b/>
          <w:bCs/>
        </w:rPr>
      </w:pPr>
    </w:p>
    <w:p w:rsidR="00DE194C" w:rsidRDefault="00DE194C">
      <w:pPr>
        <w:pStyle w:val="appeal2014"/>
        <w:rPr>
          <w:b/>
          <w:bCs/>
        </w:rPr>
      </w:pPr>
    </w:p>
    <w:p w:rsidR="00DE194C" w:rsidRDefault="00ED133C">
      <w:pPr>
        <w:pStyle w:val="Heading1"/>
        <w:numPr>
          <w:ilvl w:val="0"/>
          <w:numId w:val="3"/>
        </w:numPr>
      </w:pPr>
      <w:r>
        <w:t>Indicative Proposal</w:t>
      </w:r>
    </w:p>
    <w:p w:rsidR="00DE194C" w:rsidRDefault="00ED133C">
      <w:pPr>
        <w:pStyle w:val="appeal2014"/>
      </w:pPr>
      <w:r>
        <w:rPr>
          <w:rFonts w:eastAsia="Arial Unicode MS" w:cs="Arial Unicode MS"/>
        </w:rPr>
        <w:t>Indicative plans have been prepared which show potential sign locations and details.</w:t>
      </w:r>
    </w:p>
    <w:p w:rsidR="00DE194C" w:rsidRDefault="00ED133C">
      <w:pPr>
        <w:pStyle w:val="appeal2014"/>
      </w:pPr>
      <w:r>
        <w:rPr>
          <w:rFonts w:eastAsia="Arial Unicode MS" w:cs="Arial Unicode MS"/>
        </w:rPr>
        <w:t xml:space="preserve">Sign 1 </w:t>
      </w:r>
    </w:p>
    <w:p w:rsidR="00DE194C" w:rsidRDefault="00ED133C">
      <w:pPr>
        <w:pStyle w:val="appeal2014"/>
      </w:pPr>
      <w:r>
        <w:rPr>
          <w:rFonts w:eastAsia="Arial Unicode MS" w:cs="Arial Unicode MS"/>
        </w:rPr>
        <w:t>Sign 1 consists of a V shaped advertising display (a standard sign design for arterial roads). The sign will have display faces of 18.99m x 4.5m with a 0.6m underside cladding. The sign will have two faces. The east face (ie. displayed towards motorists travelling towards Colac) will have an electronic display face. The west face (ie. for motorists heading towards Melbourne) will be a static (not electronic) sign. The sign will have an overall height of 19.49mn. The sign will be positioned approximately mid point along the Beckley Park boundary to the Ring Road.</w:t>
      </w:r>
    </w:p>
    <w:p w:rsidR="00DE194C" w:rsidRDefault="00ED133C">
      <w:pPr>
        <w:pStyle w:val="appeal2014"/>
      </w:pPr>
      <w:r>
        <w:rPr>
          <w:rFonts w:eastAsia="Arial Unicode MS" w:cs="Arial Unicode MS"/>
        </w:rPr>
        <w:t>Sign 2</w:t>
      </w:r>
    </w:p>
    <w:p w:rsidR="00DE194C" w:rsidRDefault="00ED133C">
      <w:pPr>
        <w:pStyle w:val="appeal2014"/>
      </w:pPr>
      <w:r>
        <w:rPr>
          <w:rFonts w:eastAsia="Arial Unicode MS" w:cs="Arial Unicode MS"/>
        </w:rPr>
        <w:t xml:space="preserve">Sign 2 is a V shaped advertising display. The sign will have sign faces of 18.99m x 4.5m with a 0.6m underside cladding. The sign will have two faces. The </w:t>
      </w:r>
      <w:proofErr w:type="gramStart"/>
      <w:r>
        <w:rPr>
          <w:rFonts w:eastAsia="Arial Unicode MS" w:cs="Arial Unicode MS"/>
        </w:rPr>
        <w:t>north face</w:t>
      </w:r>
      <w:proofErr w:type="gramEnd"/>
      <w:r>
        <w:rPr>
          <w:rFonts w:eastAsia="Arial Unicode MS" w:cs="Arial Unicode MS"/>
        </w:rPr>
        <w:t xml:space="preserve"> (ie. displayed towards motorists travelling towards Geelong), will have an electronic display face. The south face (ie. for motorists heading towards Melbourne) will be a static (not electronic) sign. The sign will have an overall height of 19.49mn. The sign will be positioned approximately mid point along the boundary to the Princes Highway.</w:t>
      </w:r>
    </w:p>
    <w:p w:rsidR="00DE194C" w:rsidRDefault="00ED133C">
      <w:pPr>
        <w:pStyle w:val="appeal2014"/>
      </w:pPr>
      <w:r>
        <w:rPr>
          <w:noProof/>
          <w:lang w:val="en-AU" w:eastAsia="en-AU"/>
        </w:rPr>
        <w:drawing>
          <wp:anchor distT="0" distB="0" distL="0" distR="0" simplePos="0" relativeHeight="251672576" behindDoc="0" locked="0" layoutInCell="1" allowOverlap="1">
            <wp:simplePos x="0" y="0"/>
            <wp:positionH relativeFrom="margin">
              <wp:posOffset>-11000</wp:posOffset>
            </wp:positionH>
            <wp:positionV relativeFrom="line">
              <wp:posOffset>354167</wp:posOffset>
            </wp:positionV>
            <wp:extent cx="5756500" cy="1553949"/>
            <wp:effectExtent l="0" t="0" r="0" b="0"/>
            <wp:wrapThrough wrapText="bothSides" distL="0" distR="0">
              <wp:wrapPolygon edited="1">
                <wp:start x="-18" y="-66"/>
                <wp:lineTo x="-18" y="0"/>
                <wp:lineTo x="-18" y="21597"/>
                <wp:lineTo x="-18" y="21664"/>
                <wp:lineTo x="0" y="21664"/>
                <wp:lineTo x="21601" y="21664"/>
                <wp:lineTo x="21619" y="21664"/>
                <wp:lineTo x="21619" y="21597"/>
                <wp:lineTo x="21619" y="0"/>
                <wp:lineTo x="21619" y="-66"/>
                <wp:lineTo x="21601" y="-66"/>
                <wp:lineTo x="0" y="-66"/>
                <wp:lineTo x="-18" y="-66"/>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pasted-image.png"/>
                    <pic:cNvPicPr>
                      <a:picLocks noChangeAspect="1"/>
                    </pic:cNvPicPr>
                  </pic:nvPicPr>
                  <pic:blipFill>
                    <a:blip r:embed="rId17">
                      <a:extLst/>
                    </a:blip>
                    <a:stretch>
                      <a:fillRect/>
                    </a:stretch>
                  </pic:blipFill>
                  <pic:spPr>
                    <a:xfrm>
                      <a:off x="0" y="0"/>
                      <a:ext cx="5756500" cy="1553949"/>
                    </a:xfrm>
                    <a:prstGeom prst="rect">
                      <a:avLst/>
                    </a:prstGeom>
                    <a:ln w="9525" cap="flat">
                      <a:solidFill>
                        <a:schemeClr val="accent6"/>
                      </a:solidFill>
                      <a:prstDash val="solid"/>
                      <a:miter lim="400000"/>
                    </a:ln>
                    <a:effectLst/>
                  </pic:spPr>
                </pic:pic>
              </a:graphicData>
            </a:graphic>
          </wp:anchor>
        </w:drawing>
      </w:r>
    </w:p>
    <w:p w:rsidR="00DE194C" w:rsidRDefault="00DE194C">
      <w:pPr>
        <w:pStyle w:val="appeal2014"/>
        <w:spacing w:line="72" w:lineRule="auto"/>
      </w:pPr>
    </w:p>
    <w:p w:rsidR="00DE194C" w:rsidRDefault="00ED133C">
      <w:pPr>
        <w:pStyle w:val="appeal2014"/>
        <w:jc w:val="center"/>
        <w:rPr>
          <w:i/>
          <w:iCs/>
        </w:rPr>
      </w:pPr>
      <w:proofErr w:type="gramStart"/>
      <w:r>
        <w:rPr>
          <w:i/>
          <w:iCs/>
        </w:rPr>
        <w:t>Perspective of Sign 1 travelling in a westerly direction along the Ring Road.</w:t>
      </w:r>
      <w:proofErr w:type="gramEnd"/>
    </w:p>
    <w:p w:rsidR="00DE194C" w:rsidRDefault="00DE194C">
      <w:pPr>
        <w:pStyle w:val="Body"/>
        <w:spacing w:before="0" w:after="260"/>
        <w:rPr>
          <w:spacing w:val="0"/>
        </w:rPr>
      </w:pPr>
    </w:p>
    <w:p w:rsidR="00DE194C" w:rsidRDefault="00DE194C">
      <w:pPr>
        <w:pStyle w:val="Body"/>
        <w:spacing w:before="0" w:after="260"/>
        <w:rPr>
          <w:spacing w:val="0"/>
        </w:rPr>
      </w:pPr>
    </w:p>
    <w:p w:rsidR="00DE194C" w:rsidRDefault="00DE194C">
      <w:pPr>
        <w:pStyle w:val="Body"/>
        <w:spacing w:before="0" w:after="260"/>
        <w:rPr>
          <w:spacing w:val="0"/>
        </w:rPr>
      </w:pPr>
    </w:p>
    <w:p w:rsidR="00DE194C" w:rsidRDefault="00DE194C">
      <w:pPr>
        <w:pStyle w:val="Body"/>
        <w:spacing w:before="0" w:after="260"/>
        <w:rPr>
          <w:spacing w:val="0"/>
        </w:rPr>
      </w:pPr>
    </w:p>
    <w:p w:rsidR="00DE194C" w:rsidRDefault="00ED133C">
      <w:pPr>
        <w:pStyle w:val="Body"/>
        <w:spacing w:before="0" w:after="260"/>
        <w:rPr>
          <w:spacing w:val="0"/>
        </w:rPr>
      </w:pPr>
      <w:r>
        <w:rPr>
          <w:noProof/>
          <w:spacing w:val="0"/>
          <w:lang w:val="en-AU" w:eastAsia="en-AU"/>
        </w:rPr>
        <w:drawing>
          <wp:anchor distT="0" distB="0" distL="0" distR="0" simplePos="0" relativeHeight="251673600" behindDoc="0" locked="0" layoutInCell="1" allowOverlap="1">
            <wp:simplePos x="0" y="0"/>
            <wp:positionH relativeFrom="margin">
              <wp:posOffset>4762</wp:posOffset>
            </wp:positionH>
            <wp:positionV relativeFrom="line">
              <wp:posOffset>467889</wp:posOffset>
            </wp:positionV>
            <wp:extent cx="5756500" cy="2154200"/>
            <wp:effectExtent l="0" t="0" r="0" b="0"/>
            <wp:wrapThrough wrapText="bothSides" distL="0" distR="0">
              <wp:wrapPolygon edited="1">
                <wp:start x="-18" y="-48"/>
                <wp:lineTo x="-18" y="0"/>
                <wp:lineTo x="-18" y="21600"/>
                <wp:lineTo x="-18" y="21648"/>
                <wp:lineTo x="0" y="21648"/>
                <wp:lineTo x="21601" y="21648"/>
                <wp:lineTo x="21619" y="21648"/>
                <wp:lineTo x="21619" y="21600"/>
                <wp:lineTo x="21619" y="0"/>
                <wp:lineTo x="21619" y="-48"/>
                <wp:lineTo x="21601" y="-48"/>
                <wp:lineTo x="0" y="-48"/>
                <wp:lineTo x="-18" y="-48"/>
              </wp:wrapPolygon>
            </wp:wrapThrough>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pasted-image.png"/>
                    <pic:cNvPicPr>
                      <a:picLocks noChangeAspect="1"/>
                    </pic:cNvPicPr>
                  </pic:nvPicPr>
                  <pic:blipFill>
                    <a:blip r:embed="rId18">
                      <a:extLst/>
                    </a:blip>
                    <a:stretch>
                      <a:fillRect/>
                    </a:stretch>
                  </pic:blipFill>
                  <pic:spPr>
                    <a:xfrm>
                      <a:off x="0" y="0"/>
                      <a:ext cx="5756500" cy="2154200"/>
                    </a:xfrm>
                    <a:prstGeom prst="rect">
                      <a:avLst/>
                    </a:prstGeom>
                    <a:ln w="9525" cap="flat">
                      <a:solidFill>
                        <a:schemeClr val="accent6"/>
                      </a:solidFill>
                      <a:prstDash val="solid"/>
                      <a:miter lim="400000"/>
                    </a:ln>
                    <a:effectLst/>
                  </pic:spPr>
                </pic:pic>
              </a:graphicData>
            </a:graphic>
          </wp:anchor>
        </w:drawing>
      </w:r>
    </w:p>
    <w:p w:rsidR="00DE194C" w:rsidRDefault="00DE194C">
      <w:pPr>
        <w:pStyle w:val="Body"/>
        <w:spacing w:before="0" w:after="260"/>
        <w:rPr>
          <w:spacing w:val="0"/>
        </w:rPr>
      </w:pPr>
    </w:p>
    <w:p w:rsidR="00DE194C" w:rsidRDefault="00ED133C">
      <w:pPr>
        <w:pStyle w:val="appeal2014"/>
        <w:jc w:val="center"/>
        <w:rPr>
          <w:i/>
          <w:iCs/>
        </w:rPr>
      </w:pPr>
      <w:r>
        <w:rPr>
          <w:i/>
          <w:iCs/>
        </w:rPr>
        <w:t>Perspective of Sign 2 travelling in a northerly direction along the Princes Highway</w:t>
      </w:r>
    </w:p>
    <w:p w:rsidR="00DE194C" w:rsidRDefault="00DE194C">
      <w:pPr>
        <w:pStyle w:val="Body"/>
        <w:spacing w:before="0" w:after="260"/>
        <w:rPr>
          <w:spacing w:val="0"/>
        </w:rPr>
      </w:pPr>
    </w:p>
    <w:p w:rsidR="00DE194C" w:rsidRDefault="00ED133C">
      <w:pPr>
        <w:pStyle w:val="Body"/>
        <w:spacing w:before="0" w:after="260"/>
        <w:rPr>
          <w:spacing w:val="0"/>
        </w:rPr>
      </w:pPr>
      <w:r>
        <w:rPr>
          <w:spacing w:val="0"/>
        </w:rPr>
        <w:t>We note that before any major promotion signage can be erected at Beckley Park a planning permit must be issued. During the planning application process, a full assessment will be undertaken which will be subject to numerous inputs including from VicRoads. The sign proposals shown are indicative only. Approval of the amendment does not imply they will be approved.</w:t>
      </w:r>
    </w:p>
    <w:p w:rsidR="00DE194C" w:rsidRDefault="00ED133C">
      <w:pPr>
        <w:pStyle w:val="Body"/>
        <w:spacing w:before="0" w:after="260"/>
        <w:rPr>
          <w:spacing w:val="0"/>
        </w:rPr>
      </w:pPr>
      <w:r>
        <w:rPr>
          <w:noProof/>
          <w:spacing w:val="0"/>
          <w:lang w:val="en-AU" w:eastAsia="en-AU"/>
        </w:rPr>
        <w:drawing>
          <wp:anchor distT="0" distB="0" distL="0" distR="0" simplePos="0" relativeHeight="251680768" behindDoc="0" locked="0" layoutInCell="1" allowOverlap="1">
            <wp:simplePos x="0" y="0"/>
            <wp:positionH relativeFrom="margin">
              <wp:posOffset>9524</wp:posOffset>
            </wp:positionH>
            <wp:positionV relativeFrom="line">
              <wp:posOffset>363481</wp:posOffset>
            </wp:positionV>
            <wp:extent cx="5756500" cy="2483930"/>
            <wp:effectExtent l="0" t="0" r="0" b="0"/>
            <wp:wrapTopAndBottom distT="0" dist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GOPR6530.jpg"/>
                    <pic:cNvPicPr>
                      <a:picLocks noChangeAspect="1"/>
                    </pic:cNvPicPr>
                  </pic:nvPicPr>
                  <pic:blipFill>
                    <a:blip r:embed="rId19">
                      <a:extLst/>
                    </a:blip>
                    <a:stretch>
                      <a:fillRect/>
                    </a:stretch>
                  </pic:blipFill>
                  <pic:spPr>
                    <a:xfrm>
                      <a:off x="0" y="0"/>
                      <a:ext cx="5756500" cy="2483930"/>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DE194C">
      <w:pPr>
        <w:pStyle w:val="Body"/>
        <w:spacing w:before="0" w:after="260"/>
        <w:rPr>
          <w:spacing w:val="0"/>
        </w:rPr>
      </w:pPr>
    </w:p>
    <w:p w:rsidR="00DE194C" w:rsidRDefault="00ED133C">
      <w:pPr>
        <w:pStyle w:val="appeal2014"/>
        <w:jc w:val="center"/>
        <w:rPr>
          <w:i/>
          <w:iCs/>
        </w:rPr>
      </w:pPr>
      <w:r>
        <w:rPr>
          <w:i/>
          <w:iCs/>
        </w:rPr>
        <w:t>The diverge between the Princes Hwy and Ring Road involves substantial elevated structures which have a significant bearing on the driver experience</w:t>
      </w:r>
    </w:p>
    <w:p w:rsidR="00DE194C" w:rsidRDefault="00DE194C">
      <w:pPr>
        <w:pStyle w:val="Body"/>
        <w:spacing w:before="0" w:after="260"/>
        <w:rPr>
          <w:spacing w:val="0"/>
        </w:rPr>
      </w:pPr>
    </w:p>
    <w:p w:rsidR="00DE194C" w:rsidRDefault="00DE194C">
      <w:pPr>
        <w:pStyle w:val="Body"/>
        <w:spacing w:after="80"/>
        <w:rPr>
          <w:spacing w:val="0"/>
        </w:rPr>
      </w:pPr>
    </w:p>
    <w:p w:rsidR="00DE194C" w:rsidRDefault="00ED133C">
      <w:pPr>
        <w:pStyle w:val="Heading1"/>
        <w:numPr>
          <w:ilvl w:val="0"/>
          <w:numId w:val="3"/>
        </w:numPr>
      </w:pPr>
      <w:r>
        <w:t>Planning Assessment</w:t>
      </w:r>
    </w:p>
    <w:p w:rsidR="00DE194C" w:rsidRDefault="00ED133C">
      <w:pPr>
        <w:pStyle w:val="Heading2"/>
      </w:pPr>
      <w:r>
        <w:t>7.1     Overview</w:t>
      </w:r>
    </w:p>
    <w:p w:rsidR="00DE194C" w:rsidRDefault="00ED133C">
      <w:pPr>
        <w:pStyle w:val="appeal2014"/>
      </w:pPr>
      <w:r>
        <w:rPr>
          <w:rFonts w:eastAsia="Arial Unicode MS" w:cs="Arial Unicode MS"/>
        </w:rPr>
        <w:t xml:space="preserve">The proposed planning scheme amendment seeks to allow the consideration of major promotional signage at a significant sporting and community facility. Beckley Park is ideally suited for major promotional displays having long abuttals to two significant major transport routes. There is already major promotional signage within the vicinity and therefore the proposed signage will not introduce a foreign element. The likely position of the signage is well away from sensitive uses. </w:t>
      </w:r>
    </w:p>
    <w:p w:rsidR="00DE194C" w:rsidRDefault="00ED133C">
      <w:pPr>
        <w:pStyle w:val="appeal2014"/>
      </w:pPr>
      <w:r>
        <w:rPr>
          <w:rFonts w:eastAsia="Arial Unicode MS" w:cs="Arial Unicode MS"/>
        </w:rPr>
        <w:t>Beckley Park is an appropriate location for a major promotion signage for the following reasons.</w:t>
      </w:r>
    </w:p>
    <w:p w:rsidR="00DE194C" w:rsidRDefault="00ED133C">
      <w:pPr>
        <w:pStyle w:val="appeal2014"/>
        <w:numPr>
          <w:ilvl w:val="0"/>
          <w:numId w:val="8"/>
        </w:numPr>
      </w:pPr>
      <w:r>
        <w:rPr>
          <w:rFonts w:eastAsia="Arial Unicode MS" w:cs="Arial Unicode MS"/>
        </w:rPr>
        <w:t>The likely signage locations are well separated from residential development and other sensitive land uses. They will not be a dominant visual element when viewed from these areas.</w:t>
      </w:r>
    </w:p>
    <w:p w:rsidR="00DE194C" w:rsidRDefault="00ED133C">
      <w:pPr>
        <w:pStyle w:val="appeal2014"/>
        <w:numPr>
          <w:ilvl w:val="0"/>
          <w:numId w:val="8"/>
        </w:numPr>
      </w:pPr>
      <w:r>
        <w:rPr>
          <w:rFonts w:eastAsia="Arial Unicode MS" w:cs="Arial Unicode MS"/>
        </w:rPr>
        <w:t>The Princes Highway and Geelong Ring Road are main traffic routes. The site is not identified as a ‘gateway’ by the planning scheme.</w:t>
      </w:r>
    </w:p>
    <w:p w:rsidR="00DE194C" w:rsidRDefault="00ED133C">
      <w:pPr>
        <w:pStyle w:val="appeal2014"/>
        <w:numPr>
          <w:ilvl w:val="0"/>
          <w:numId w:val="8"/>
        </w:numPr>
      </w:pPr>
      <w:r>
        <w:rPr>
          <w:rFonts w:eastAsia="Arial Unicode MS" w:cs="Arial Unicode MS"/>
        </w:rPr>
        <w:t>The signage will not impact on any architectural landmarks that deserve special protection.</w:t>
      </w:r>
    </w:p>
    <w:p w:rsidR="00DE194C" w:rsidRDefault="00ED133C">
      <w:pPr>
        <w:pStyle w:val="appeal2014"/>
        <w:numPr>
          <w:ilvl w:val="0"/>
          <w:numId w:val="8"/>
        </w:numPr>
      </w:pPr>
      <w:r>
        <w:rPr>
          <w:rFonts w:eastAsia="Arial Unicode MS" w:cs="Arial Unicode MS"/>
        </w:rPr>
        <w:t>The display will not intrude into views of parkland or compromise the value of parkland.</w:t>
      </w:r>
    </w:p>
    <w:p w:rsidR="00DE194C" w:rsidRDefault="00ED133C">
      <w:pPr>
        <w:pStyle w:val="appeal2014"/>
        <w:numPr>
          <w:ilvl w:val="0"/>
          <w:numId w:val="8"/>
        </w:numPr>
      </w:pPr>
      <w:r>
        <w:rPr>
          <w:rFonts w:eastAsia="Arial Unicode MS" w:cs="Arial Unicode MS"/>
        </w:rPr>
        <w:t>The sole viewing audience for the signage will be motorists travelling along main roads. The signage will have no presence apart from this approach.</w:t>
      </w:r>
    </w:p>
    <w:p w:rsidR="00DE194C" w:rsidRDefault="00ED133C">
      <w:pPr>
        <w:pStyle w:val="appeal2014"/>
        <w:numPr>
          <w:ilvl w:val="0"/>
          <w:numId w:val="8"/>
        </w:numPr>
      </w:pPr>
      <w:r>
        <w:rPr>
          <w:rFonts w:eastAsia="Arial Unicode MS" w:cs="Arial Unicode MS"/>
        </w:rPr>
        <w:t xml:space="preserve">The adjacent buildings within the Beckley Park complex provide a physical counterpoint to the proposed signage as does the substantial highway structures and infrastructure. </w:t>
      </w:r>
    </w:p>
    <w:p w:rsidR="00DE194C" w:rsidRDefault="00ED133C">
      <w:pPr>
        <w:pStyle w:val="appeal2014"/>
        <w:numPr>
          <w:ilvl w:val="0"/>
          <w:numId w:val="8"/>
        </w:numPr>
      </w:pPr>
      <w:r>
        <w:rPr>
          <w:rFonts w:eastAsia="Arial Unicode MS" w:cs="Arial Unicode MS"/>
        </w:rPr>
        <w:t>The visual impact of the signage will be limited due to its position and approach points.</w:t>
      </w:r>
    </w:p>
    <w:p w:rsidR="00DE194C" w:rsidRDefault="00ED133C">
      <w:pPr>
        <w:pStyle w:val="appeal2014"/>
        <w:numPr>
          <w:ilvl w:val="0"/>
          <w:numId w:val="8"/>
        </w:numPr>
      </w:pPr>
      <w:r>
        <w:rPr>
          <w:rFonts w:eastAsia="Arial Unicode MS" w:cs="Arial Unicode MS"/>
        </w:rPr>
        <w:t>The signage will not compete with other signage on buildings or elsewhere along the road corridor, nor will it contribute to visual clutter.</w:t>
      </w:r>
    </w:p>
    <w:p w:rsidR="00DE194C" w:rsidRDefault="00ED133C">
      <w:pPr>
        <w:pStyle w:val="appeal2014"/>
        <w:numPr>
          <w:ilvl w:val="0"/>
          <w:numId w:val="8"/>
        </w:numPr>
      </w:pPr>
      <w:r>
        <w:rPr>
          <w:rFonts w:eastAsia="Arial Unicode MS" w:cs="Arial Unicode MS"/>
        </w:rPr>
        <w:t xml:space="preserve">Road safety issues can be assessed at the planning permit application stage however we note there </w:t>
      </w:r>
      <w:proofErr w:type="gramStart"/>
      <w:r>
        <w:rPr>
          <w:rFonts w:eastAsia="Arial Unicode MS" w:cs="Arial Unicode MS"/>
        </w:rPr>
        <w:t>are no traffic directional signage</w:t>
      </w:r>
      <w:proofErr w:type="gramEnd"/>
      <w:r>
        <w:rPr>
          <w:rFonts w:eastAsia="Arial Unicode MS" w:cs="Arial Unicode MS"/>
        </w:rPr>
        <w:t xml:space="preserve"> or areas requiring high levels of driver concentration near the approaches to the signage.</w:t>
      </w:r>
    </w:p>
    <w:p w:rsidR="00DE194C" w:rsidRDefault="00DE194C">
      <w:pPr>
        <w:pStyle w:val="Body"/>
        <w:spacing w:after="80"/>
        <w:rPr>
          <w:spacing w:val="0"/>
        </w:rPr>
      </w:pPr>
    </w:p>
    <w:p w:rsidR="00DE194C" w:rsidRDefault="00DE194C">
      <w:pPr>
        <w:pStyle w:val="Body"/>
        <w:spacing w:after="80"/>
        <w:rPr>
          <w:spacing w:val="0"/>
        </w:rPr>
      </w:pPr>
    </w:p>
    <w:p w:rsidR="00DE194C" w:rsidRDefault="00DE194C">
      <w:pPr>
        <w:pStyle w:val="Body"/>
        <w:spacing w:after="80"/>
        <w:rPr>
          <w:spacing w:val="0"/>
        </w:rPr>
      </w:pPr>
    </w:p>
    <w:p w:rsidR="00DE194C" w:rsidRDefault="00ED133C">
      <w:pPr>
        <w:pStyle w:val="Heading2"/>
      </w:pPr>
      <w:r>
        <w:t>7.2       Clause 52.05</w:t>
      </w:r>
    </w:p>
    <w:p w:rsidR="00DE194C" w:rsidRDefault="00ED133C">
      <w:pPr>
        <w:pStyle w:val="appeal2014"/>
      </w:pPr>
      <w:r>
        <w:rPr>
          <w:rFonts w:eastAsia="Arial Unicode MS" w:cs="Arial Unicode MS"/>
        </w:rPr>
        <w:t>The provisions of Clause 52.05-6 set out locational criteria for the display of major promotion signs. These criteria are addressed below.</w:t>
      </w:r>
    </w:p>
    <w:tbl>
      <w:tblPr>
        <w:tblW w:w="9020" w:type="dxa"/>
        <w:tblInd w:w="108" w:type="dxa"/>
        <w:tblBorders>
          <w:top w:val="single" w:sz="4" w:space="0" w:color="FEFFFE"/>
          <w:left w:val="single" w:sz="2" w:space="0" w:color="FEFFFE"/>
          <w:bottom w:val="single" w:sz="4" w:space="0" w:color="FEFFFE"/>
          <w:right w:val="single" w:sz="2" w:space="0" w:color="FEFFFE"/>
          <w:insideH w:val="single" w:sz="6" w:space="0" w:color="8587C9"/>
          <w:insideV w:val="single" w:sz="6" w:space="0" w:color="8587C9"/>
        </w:tblBorders>
        <w:shd w:val="clear" w:color="auto" w:fill="008CB4"/>
        <w:tblLayout w:type="fixed"/>
        <w:tblLook w:val="04A0"/>
      </w:tblPr>
      <w:tblGrid>
        <w:gridCol w:w="4510"/>
        <w:gridCol w:w="4510"/>
      </w:tblGrid>
      <w:tr w:rsidR="00DE194C">
        <w:trPr>
          <w:trHeight w:val="235"/>
          <w:tblHeader/>
        </w:trPr>
        <w:tc>
          <w:tcPr>
            <w:tcW w:w="4510" w:type="dxa"/>
            <w:tcBorders>
              <w:top w:val="single" w:sz="6" w:space="0" w:color="6364B3"/>
              <w:left w:val="single" w:sz="6" w:space="0" w:color="6364B3"/>
              <w:bottom w:val="single" w:sz="6" w:space="0" w:color="6364B3"/>
              <w:right w:val="single" w:sz="6" w:space="0" w:color="6364B3"/>
            </w:tcBorders>
            <w:shd w:val="clear" w:color="auto" w:fill="008CB4"/>
            <w:tcMar>
              <w:top w:w="80" w:type="dxa"/>
              <w:left w:w="80" w:type="dxa"/>
              <w:bottom w:w="80" w:type="dxa"/>
              <w:right w:w="80" w:type="dxa"/>
            </w:tcMar>
          </w:tcPr>
          <w:p w:rsidR="00DE194C" w:rsidRDefault="00ED133C">
            <w:pPr>
              <w:pStyle w:val="TableStyle1"/>
            </w:pPr>
            <w:r>
              <w:rPr>
                <w:rFonts w:ascii="Helvetica" w:hAnsi="Helvetica"/>
                <w:color w:val="000000"/>
                <w:spacing w:val="3"/>
                <w:sz w:val="18"/>
                <w:szCs w:val="18"/>
              </w:rPr>
              <w:t>Planning Scheme Provision</w:t>
            </w:r>
          </w:p>
        </w:tc>
        <w:tc>
          <w:tcPr>
            <w:tcW w:w="4510" w:type="dxa"/>
            <w:tcBorders>
              <w:top w:val="single" w:sz="6" w:space="0" w:color="6364B3"/>
              <w:left w:val="single" w:sz="6" w:space="0" w:color="6364B3"/>
              <w:bottom w:val="single" w:sz="6" w:space="0" w:color="6364B3"/>
              <w:right w:val="single" w:sz="6" w:space="0" w:color="6364B3"/>
            </w:tcBorders>
            <w:shd w:val="clear" w:color="auto" w:fill="008CB4"/>
            <w:tcMar>
              <w:top w:w="80" w:type="dxa"/>
              <w:left w:w="80" w:type="dxa"/>
              <w:bottom w:w="80" w:type="dxa"/>
              <w:right w:w="80" w:type="dxa"/>
            </w:tcMar>
          </w:tcPr>
          <w:p w:rsidR="00DE194C" w:rsidRDefault="00ED133C">
            <w:pPr>
              <w:pStyle w:val="TableStyle1"/>
            </w:pPr>
            <w:r>
              <w:rPr>
                <w:rFonts w:ascii="Helvetica" w:hAnsi="Helvetica"/>
                <w:color w:val="000000"/>
                <w:spacing w:val="3"/>
                <w:sz w:val="18"/>
                <w:szCs w:val="18"/>
              </w:rPr>
              <w:t>Response</w:t>
            </w:r>
          </w:p>
        </w:tc>
      </w:tr>
      <w:tr w:rsidR="00DE194C">
        <w:tblPrEx>
          <w:shd w:val="clear" w:color="auto" w:fill="7AC4EA"/>
        </w:tblPrEx>
        <w:trPr>
          <w:trHeight w:val="455"/>
        </w:trPr>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Clause 52.05-6: Major Promotion Signs</w:t>
            </w:r>
          </w:p>
        </w:tc>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DE194C"/>
        </w:tc>
      </w:tr>
      <w:tr w:rsidR="00DE194C">
        <w:tblPrEx>
          <w:shd w:val="clear" w:color="auto" w:fill="7AC4EA"/>
        </w:tblPrEx>
        <w:trPr>
          <w:trHeight w:val="2435"/>
        </w:trPr>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Major promotion signs are encouraged in commercial and industrial locations in a manner which complements or enhances the character of the area.</w:t>
            </w:r>
          </w:p>
        </w:tc>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suppressAutoHyphens/>
            </w:pPr>
            <w:r>
              <w:rPr>
                <w:rFonts w:ascii="Helvetica" w:hAnsi="Helvetica"/>
                <w:color w:val="000000"/>
                <w:spacing w:val="3"/>
                <w:sz w:val="18"/>
                <w:szCs w:val="18"/>
              </w:rPr>
              <w:t xml:space="preserve">In terms of the locational principles set out at Clause 52.05, the subject site is located within a primary transport corridor. The two main roads adjacent the site have a significant physical presence in terms of how the landscape is read and experienced. The signage relates to the main road corridor and not a typical urban area where ‘character’ or ‘streetscape’ issues are important considerations. </w:t>
            </w:r>
          </w:p>
        </w:tc>
      </w:tr>
      <w:tr w:rsidR="00DE194C">
        <w:tblPrEx>
          <w:shd w:val="clear" w:color="auto" w:fill="7AC4EA"/>
        </w:tblPrEx>
        <w:trPr>
          <w:trHeight w:val="895"/>
        </w:trPr>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Major promotion signs are discouraged within open space reserves or corridors and around waterways.</w:t>
            </w:r>
          </w:p>
        </w:tc>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Open space reserves or waterways do not abut the site.</w:t>
            </w:r>
          </w:p>
        </w:tc>
      </w:tr>
      <w:tr w:rsidR="00DE194C">
        <w:tblPrEx>
          <w:shd w:val="clear" w:color="auto" w:fill="7AC4EA"/>
        </w:tblPrEx>
        <w:trPr>
          <w:trHeight w:val="1335"/>
        </w:trPr>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Major promotion signs are discouraged where they will form a dominant visual element from residential areas, within a heritage place or where they will obstruct significant view-lines.</w:t>
            </w:r>
          </w:p>
        </w:tc>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pPr>
            <w:r>
              <w:rPr>
                <w:rFonts w:ascii="Helvetica" w:hAnsi="Helvetica"/>
                <w:color w:val="000000"/>
                <w:spacing w:val="3"/>
                <w:sz w:val="18"/>
                <w:szCs w:val="18"/>
              </w:rPr>
              <w:t>The proposed signage is not adjacent residential land. It is well distanced from residential land and Beckley Park provides an intervening area.</w:t>
            </w:r>
          </w:p>
        </w:tc>
      </w:tr>
      <w:tr w:rsidR="00DE194C">
        <w:tblPrEx>
          <w:shd w:val="clear" w:color="auto" w:fill="7AC4EA"/>
        </w:tblPrEx>
        <w:trPr>
          <w:trHeight w:val="1888"/>
        </w:trPr>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spacing w:after="60" w:line="264" w:lineRule="auto"/>
              <w:jc w:val="both"/>
            </w:pPr>
            <w:r>
              <w:rPr>
                <w:rFonts w:ascii="Helvetica" w:hAnsi="Helvetica"/>
                <w:color w:val="000000"/>
                <w:spacing w:val="3"/>
                <w:sz w:val="18"/>
                <w:szCs w:val="18"/>
              </w:rPr>
              <w:t>In areas with a strong built form character, major promotion signs are encouraged only where they are not a dominant element in the streetscape and except for transparent feature signs (such as neon signs), are discouraged from being erected on the roof of a building.</w:t>
            </w:r>
          </w:p>
        </w:tc>
        <w:tc>
          <w:tcPr>
            <w:tcW w:w="4510" w:type="dxa"/>
            <w:tcBorders>
              <w:top w:val="single" w:sz="6" w:space="0" w:color="6364B3"/>
              <w:left w:val="single" w:sz="6" w:space="0" w:color="6364B3"/>
              <w:bottom w:val="single" w:sz="6" w:space="0" w:color="6364B3"/>
              <w:right w:val="single" w:sz="6" w:space="0" w:color="6364B3"/>
            </w:tcBorders>
            <w:shd w:val="clear" w:color="auto" w:fill="7AC4EA"/>
            <w:tcMar>
              <w:top w:w="80" w:type="dxa"/>
              <w:left w:w="80" w:type="dxa"/>
              <w:bottom w:w="80" w:type="dxa"/>
              <w:right w:w="80" w:type="dxa"/>
            </w:tcMar>
          </w:tcPr>
          <w:p w:rsidR="00DE194C" w:rsidRDefault="00ED133C">
            <w:pPr>
              <w:pStyle w:val="TableStyle3"/>
              <w:suppressAutoHyphens/>
              <w:spacing w:after="60" w:line="264" w:lineRule="auto"/>
              <w:jc w:val="both"/>
            </w:pPr>
            <w:r>
              <w:rPr>
                <w:rFonts w:ascii="Helvetica" w:hAnsi="Helvetica"/>
                <w:color w:val="000000"/>
                <w:spacing w:val="3"/>
                <w:sz w:val="18"/>
                <w:szCs w:val="18"/>
              </w:rPr>
              <w:t>The setting is one strongly influenced by late twentieth century main road engineering. The site sits within a massive urban infrastructure element which is designed to convey large volumes of traffic at high speed.</w:t>
            </w:r>
          </w:p>
        </w:tc>
      </w:tr>
    </w:tbl>
    <w:p w:rsidR="00DE194C" w:rsidRDefault="00DE194C">
      <w:pPr>
        <w:pStyle w:val="Body"/>
        <w:spacing w:after="80"/>
        <w:rPr>
          <w:spacing w:val="0"/>
        </w:rPr>
      </w:pPr>
    </w:p>
    <w:p w:rsidR="00DE194C" w:rsidRDefault="00DE194C">
      <w:pPr>
        <w:pStyle w:val="Body"/>
        <w:spacing w:after="80"/>
        <w:rPr>
          <w:spacing w:val="0"/>
        </w:rPr>
      </w:pPr>
    </w:p>
    <w:p w:rsidR="00DE194C" w:rsidRDefault="00ED133C">
      <w:pPr>
        <w:pStyle w:val="appeal2014"/>
      </w:pPr>
      <w:r>
        <w:rPr>
          <w:rFonts w:eastAsia="Arial Unicode MS" w:cs="Arial Unicode MS"/>
        </w:rPr>
        <w:t xml:space="preserve">In response to the various Planning Scheme criteria, the following is noted in support of the proposal: </w:t>
      </w:r>
    </w:p>
    <w:p w:rsidR="00DE194C" w:rsidRDefault="00ED133C">
      <w:pPr>
        <w:pStyle w:val="appeal2014"/>
        <w:numPr>
          <w:ilvl w:val="0"/>
          <w:numId w:val="5"/>
        </w:numPr>
      </w:pPr>
      <w:r>
        <w:rPr>
          <w:rFonts w:eastAsia="Arial Unicode MS" w:cs="Arial Unicode MS"/>
        </w:rPr>
        <w:t>The signage is consistent with the advertising theme found along main roads within the metropolitan area and regional cities.</w:t>
      </w:r>
    </w:p>
    <w:p w:rsidR="00DE194C" w:rsidRDefault="00ED133C">
      <w:pPr>
        <w:pStyle w:val="appeal2014"/>
        <w:numPr>
          <w:ilvl w:val="0"/>
          <w:numId w:val="5"/>
        </w:numPr>
      </w:pPr>
      <w:r>
        <w:rPr>
          <w:rFonts w:eastAsia="Arial Unicode MS" w:cs="Arial Unicode MS"/>
        </w:rPr>
        <w:t xml:space="preserve">As encouraged by policy, there is no advertising competition in terms of view shed. </w:t>
      </w:r>
    </w:p>
    <w:p w:rsidR="00DE194C" w:rsidRDefault="00DE194C">
      <w:pPr>
        <w:pStyle w:val="appeal2014"/>
      </w:pPr>
    </w:p>
    <w:p w:rsidR="00DE194C" w:rsidRDefault="00DE194C">
      <w:pPr>
        <w:pStyle w:val="appeal2014"/>
      </w:pPr>
    </w:p>
    <w:p w:rsidR="00DE194C" w:rsidRDefault="00DE194C">
      <w:pPr>
        <w:pStyle w:val="appeal2014"/>
      </w:pPr>
    </w:p>
    <w:p w:rsidR="00DE194C" w:rsidRDefault="00ED133C">
      <w:pPr>
        <w:pStyle w:val="appeal2014"/>
        <w:numPr>
          <w:ilvl w:val="0"/>
          <w:numId w:val="9"/>
        </w:numPr>
      </w:pPr>
      <w:r>
        <w:rPr>
          <w:rFonts w:eastAsia="Arial Unicode MS" w:cs="Arial Unicode MS"/>
        </w:rPr>
        <w:t xml:space="preserve">The visual amenity of the area can be </w:t>
      </w:r>
      <w:proofErr w:type="gramStart"/>
      <w:r>
        <w:rPr>
          <w:rFonts w:eastAsia="Arial Unicode MS" w:cs="Arial Unicode MS"/>
        </w:rPr>
        <w:t>assessed,</w:t>
      </w:r>
      <w:proofErr w:type="gramEnd"/>
      <w:r>
        <w:rPr>
          <w:rFonts w:eastAsia="Arial Unicode MS" w:cs="Arial Unicode MS"/>
        </w:rPr>
        <w:t xml:space="preserve"> there is no valued amenity to which the signage could cause detriment (ie. the host site or surrounds). </w:t>
      </w:r>
    </w:p>
    <w:p w:rsidR="00DE194C" w:rsidRDefault="00ED133C">
      <w:pPr>
        <w:pStyle w:val="appeal2014"/>
        <w:numPr>
          <w:ilvl w:val="0"/>
          <w:numId w:val="9"/>
        </w:numPr>
      </w:pPr>
      <w:r>
        <w:rPr>
          <w:rFonts w:eastAsia="Arial Unicode MS" w:cs="Arial Unicode MS"/>
        </w:rPr>
        <w:t xml:space="preserve">The sign will not result in, or cause visual clutter. </w:t>
      </w:r>
    </w:p>
    <w:p w:rsidR="00DE194C" w:rsidRDefault="00ED133C">
      <w:pPr>
        <w:pStyle w:val="appeal2014"/>
        <w:numPr>
          <w:ilvl w:val="0"/>
          <w:numId w:val="9"/>
        </w:numPr>
      </w:pPr>
      <w:r>
        <w:rPr>
          <w:rFonts w:eastAsia="Arial Unicode MS" w:cs="Arial Unicode MS"/>
        </w:rPr>
        <w:t xml:space="preserve">There is general compliance with signage provisions within the SPPF given this location. </w:t>
      </w:r>
    </w:p>
    <w:p w:rsidR="00DE194C" w:rsidRDefault="00ED133C">
      <w:pPr>
        <w:pStyle w:val="appeal2014"/>
        <w:numPr>
          <w:ilvl w:val="0"/>
          <w:numId w:val="9"/>
        </w:numPr>
      </w:pPr>
      <w:r>
        <w:rPr>
          <w:rFonts w:eastAsia="Arial Unicode MS" w:cs="Arial Unicode MS"/>
        </w:rPr>
        <w:t xml:space="preserve">No valuable viewing corridors or impacts on residential amenity would occur.  </w:t>
      </w:r>
    </w:p>
    <w:p w:rsidR="00DE194C" w:rsidRDefault="00ED133C">
      <w:pPr>
        <w:pStyle w:val="appeal2014"/>
        <w:numPr>
          <w:ilvl w:val="0"/>
          <w:numId w:val="9"/>
        </w:numPr>
      </w:pPr>
      <w:r>
        <w:rPr>
          <w:rFonts w:eastAsia="Arial Unicode MS" w:cs="Arial Unicode MS"/>
        </w:rPr>
        <w:t>The subject site is not nominated in the planning scheme as a gateway.</w:t>
      </w:r>
    </w:p>
    <w:p w:rsidR="00DE194C" w:rsidRDefault="00ED133C">
      <w:pPr>
        <w:pStyle w:val="appeal2014"/>
      </w:pPr>
      <w:r>
        <w:rPr>
          <w:rFonts w:eastAsia="Arial Unicode MS" w:cs="Arial Unicode MS"/>
        </w:rPr>
        <w:t xml:space="preserve">Transport corridors are preferable locations for advertising signs in contrast to more sensitive sites, because of their built form and lower levels of actual or expected urban amenity. Planning policy reflected in the planning scheme contemplates the presence of significant outdoor signage in such main road locations. Planning controls seek to regulate the impact of such signage to prevent clutter, interference with prominent views or detrimental impacts on the safety or efficiency of adjacent main roads. It has now been accepted on many occasions that well designed and sited advertising signage is a legitimate element along appropriate sections of main roads and freeways. </w:t>
      </w:r>
    </w:p>
    <w:p w:rsidR="00DE194C" w:rsidRDefault="00ED133C">
      <w:pPr>
        <w:pStyle w:val="appeal2014"/>
      </w:pPr>
      <w:r>
        <w:rPr>
          <w:rFonts w:eastAsia="Arial Unicode MS" w:cs="Arial Unicode MS"/>
        </w:rPr>
        <w:t>The subject site is located adjacent two major transport corridors where long distant views are not apparent. We note the site is not at a major gateway point, landmark site or within a view protection zone, heritage or height control area. The signage will not contribute to clutter or interfere with view-lines to existing signage or notable buildings or key viewing points. The interpretation of the signage will be strongly influenced by the functional style of the main road corridor and the width of the roadway reservations which form a framing element. The proposed signage will not sit within traditional streetscapes.</w:t>
      </w:r>
    </w:p>
    <w:p w:rsidR="00DE194C" w:rsidRDefault="00ED133C">
      <w:pPr>
        <w:pStyle w:val="appeal2014"/>
      </w:pPr>
      <w:r>
        <w:rPr>
          <w:rFonts w:eastAsia="Arial Unicode MS" w:cs="Arial Unicode MS"/>
        </w:rPr>
        <w:t xml:space="preserve">The area cannot be said to have a ‘strong built form character' (a key assessment criteria identified in Clause 52.05-6) </w:t>
      </w:r>
      <w:proofErr w:type="gramStart"/>
      <w:r>
        <w:rPr>
          <w:rFonts w:eastAsia="Arial Unicode MS" w:cs="Arial Unicode MS"/>
        </w:rPr>
        <w:t>The</w:t>
      </w:r>
      <w:proofErr w:type="gramEnd"/>
      <w:r>
        <w:rPr>
          <w:rFonts w:eastAsia="Arial Unicode MS" w:cs="Arial Unicode MS"/>
        </w:rPr>
        <w:t xml:space="preserve"> proposed signage is for a site within two significant road corridors. The impact of signage must therefore be assessed with regards the existing character. This is a point made by VCAT in the decision of </w:t>
      </w:r>
      <w:r>
        <w:rPr>
          <w:rFonts w:eastAsia="Arial Unicode MS" w:cs="Arial Unicode MS"/>
          <w:i/>
          <w:iCs/>
        </w:rPr>
        <w:t>IOM Pty Ltd v Knox CC &amp; Ors</w:t>
      </w:r>
      <w:r>
        <w:rPr>
          <w:rFonts w:eastAsia="Arial Unicode MS" w:cs="Arial Unicode MS"/>
        </w:rPr>
        <w:t xml:space="preserve"> [2012] VCAT 1447 which was cited with approval in the decision </w:t>
      </w:r>
      <w:r>
        <w:rPr>
          <w:rFonts w:eastAsia="Arial Unicode MS" w:cs="Arial Unicode MS"/>
          <w:i/>
          <w:iCs/>
        </w:rPr>
        <w:t>IOM Pty Ltd v Knox CC</w:t>
      </w:r>
      <w:r>
        <w:rPr>
          <w:rFonts w:eastAsia="Arial Unicode MS" w:cs="Arial Unicode MS"/>
        </w:rPr>
        <w:t xml:space="preserve"> [2014] VCAT 1315.</w:t>
      </w:r>
    </w:p>
    <w:p w:rsidR="00DE194C" w:rsidRDefault="00ED133C">
      <w:pPr>
        <w:pStyle w:val="appeal2014"/>
        <w:numPr>
          <w:ilvl w:val="0"/>
          <w:numId w:val="11"/>
        </w:numPr>
        <w:rPr>
          <w:i/>
          <w:iCs/>
        </w:rPr>
      </w:pPr>
      <w:r>
        <w:rPr>
          <w:i/>
          <w:iCs/>
        </w:rPr>
        <w:t>In an application for review by the applicant company, Member Taranto provided a useful summary of ‘key principles’ emerging from other Tribunal decisions. I also adopt those principles, which are as follows:</w:t>
      </w:r>
    </w:p>
    <w:p w:rsidR="00DE194C" w:rsidRDefault="00ED133C">
      <w:pPr>
        <w:pStyle w:val="appeal2014"/>
        <w:numPr>
          <w:ilvl w:val="0"/>
          <w:numId w:val="12"/>
        </w:numPr>
        <w:rPr>
          <w:i/>
          <w:iCs/>
        </w:rPr>
      </w:pPr>
      <w:r>
        <w:rPr>
          <w:i/>
          <w:iCs/>
        </w:rPr>
        <w:t>Proposals for major promotion signs should be assessed from a neutral rather than negative point of view (Kings Funeral Services v Greater Dandenong CC).</w:t>
      </w:r>
    </w:p>
    <w:p w:rsidR="00DE194C" w:rsidRDefault="00DE194C">
      <w:pPr>
        <w:pStyle w:val="appeal2014"/>
        <w:rPr>
          <w:i/>
          <w:iCs/>
        </w:rPr>
      </w:pPr>
    </w:p>
    <w:p w:rsidR="00DE194C" w:rsidRDefault="00DE194C">
      <w:pPr>
        <w:pStyle w:val="appeal2014"/>
        <w:rPr>
          <w:i/>
          <w:iCs/>
        </w:rPr>
      </w:pPr>
    </w:p>
    <w:p w:rsidR="00DE194C" w:rsidRDefault="00DE194C">
      <w:pPr>
        <w:pStyle w:val="appeal2014"/>
        <w:rPr>
          <w:i/>
          <w:iCs/>
        </w:rPr>
      </w:pPr>
    </w:p>
    <w:p w:rsidR="00DE194C" w:rsidRDefault="00ED133C">
      <w:pPr>
        <w:pStyle w:val="appeal2014"/>
        <w:numPr>
          <w:ilvl w:val="0"/>
          <w:numId w:val="12"/>
        </w:numPr>
        <w:rPr>
          <w:i/>
          <w:iCs/>
        </w:rPr>
      </w:pPr>
      <w:r>
        <w:rPr>
          <w:i/>
          <w:iCs/>
        </w:rPr>
        <w:t>An inherent quality of major promotion signs is that they are typically placed in prominent locations and of a scale to maximise their exposure — that is they are designed to be seen and attract attention to themselves (Caption Pty Ltd v Melbourne CC).</w:t>
      </w:r>
    </w:p>
    <w:p w:rsidR="00DE194C" w:rsidRDefault="00ED133C">
      <w:pPr>
        <w:pStyle w:val="appeal2014"/>
        <w:numPr>
          <w:ilvl w:val="0"/>
          <w:numId w:val="12"/>
        </w:numPr>
        <w:rPr>
          <w:i/>
          <w:iCs/>
        </w:rPr>
      </w:pPr>
      <w:r>
        <w:rPr>
          <w:i/>
          <w:iCs/>
        </w:rPr>
        <w:t>As a matter of principle, it cannot be fairly said that major promotion signs reduce visual amenity (Wyndson Pty Ltd v Bayside CC).</w:t>
      </w:r>
    </w:p>
    <w:p w:rsidR="00DE194C" w:rsidRDefault="00ED133C">
      <w:pPr>
        <w:pStyle w:val="appeal2014"/>
        <w:numPr>
          <w:ilvl w:val="0"/>
          <w:numId w:val="12"/>
        </w:numPr>
        <w:rPr>
          <w:i/>
          <w:iCs/>
        </w:rPr>
      </w:pPr>
      <w:r>
        <w:rPr>
          <w:i/>
          <w:iCs/>
        </w:rPr>
        <w:t>Such signs are a legitimate commercial activity (Wyndson Pty Ltd v Bayside CC).</w:t>
      </w:r>
    </w:p>
    <w:p w:rsidR="00DE194C" w:rsidRDefault="00ED133C">
      <w:pPr>
        <w:pStyle w:val="appeal2014"/>
        <w:numPr>
          <w:ilvl w:val="0"/>
          <w:numId w:val="12"/>
        </w:numPr>
        <w:rPr>
          <w:i/>
          <w:iCs/>
        </w:rPr>
      </w:pPr>
      <w:r>
        <w:rPr>
          <w:i/>
          <w:iCs/>
        </w:rPr>
        <w:t>Major promotion signs can serve an important function in relation to public information and awareness and can add interest, colour and character to an area (Buckle Outdoor Advertising Pty Ltd v Port Phillip CC &amp; Ors).</w:t>
      </w:r>
    </w:p>
    <w:p w:rsidR="00DE194C" w:rsidRDefault="00ED133C">
      <w:pPr>
        <w:pStyle w:val="appeal2014"/>
        <w:numPr>
          <w:ilvl w:val="0"/>
          <w:numId w:val="12"/>
        </w:numPr>
        <w:rPr>
          <w:i/>
          <w:iCs/>
        </w:rPr>
      </w:pPr>
      <w:r>
        <w:rPr>
          <w:i/>
          <w:iCs/>
        </w:rPr>
        <w:t>The critical element is that any major promotion sign is of a scale, form and location that is appropriate in the context of the existing physical environment (Buckle Outdoor Advertising Pty Ltd v Port Phillip CC &amp; Ors).</w:t>
      </w:r>
    </w:p>
    <w:p w:rsidR="00DE194C" w:rsidRDefault="00ED133C">
      <w:pPr>
        <w:pStyle w:val="appeal2014"/>
        <w:numPr>
          <w:ilvl w:val="0"/>
          <w:numId w:val="12"/>
        </w:numPr>
        <w:rPr>
          <w:i/>
          <w:iCs/>
        </w:rPr>
      </w:pPr>
      <w:r>
        <w:rPr>
          <w:i/>
          <w:iCs/>
        </w:rPr>
        <w:t>Any sign must be consistent with planning policies guiding future development and have regard to potential amenity impacts on surrounding uses (Buckle Outdoor Advertising Pty Ltd v Port Phillip CC &amp; Ors).</w:t>
      </w:r>
    </w:p>
    <w:p w:rsidR="00DE194C" w:rsidRDefault="00ED133C">
      <w:pPr>
        <w:pStyle w:val="appeal2014"/>
        <w:numPr>
          <w:ilvl w:val="0"/>
          <w:numId w:val="10"/>
        </w:numPr>
        <w:rPr>
          <w:i/>
          <w:iCs/>
        </w:rPr>
      </w:pPr>
      <w:r>
        <w:rPr>
          <w:i/>
          <w:iCs/>
        </w:rPr>
        <w:t>In another decision, Member Taranto adopted the approach advanced by Senior Member Byard that ‘Sign cases … have to be judged on their own merits and on their own design, site context and location’. I also adopt that approach.</w:t>
      </w:r>
    </w:p>
    <w:p w:rsidR="00DE194C" w:rsidRDefault="00ED133C" w:rsidP="00ED133C">
      <w:pPr>
        <w:pStyle w:val="appeal2014"/>
        <w:rPr>
          <w:b/>
          <w:bCs/>
        </w:rPr>
      </w:pPr>
      <w:r>
        <w:rPr>
          <w:b/>
          <w:bCs/>
          <w:noProof/>
          <w:lang w:val="en-AU" w:eastAsia="en-AU"/>
        </w:rPr>
        <w:drawing>
          <wp:anchor distT="0" distB="0" distL="0" distR="0" simplePos="0" relativeHeight="251681792" behindDoc="0" locked="0" layoutInCell="1" allowOverlap="1">
            <wp:simplePos x="0" y="0"/>
            <wp:positionH relativeFrom="margin">
              <wp:posOffset>0</wp:posOffset>
            </wp:positionH>
            <wp:positionV relativeFrom="line">
              <wp:posOffset>276274</wp:posOffset>
            </wp:positionV>
            <wp:extent cx="5756500" cy="2208267"/>
            <wp:effectExtent l="0" t="0" r="0" b="0"/>
            <wp:wrapTopAndBottom distT="0" dist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GOPR6485.jpg"/>
                    <pic:cNvPicPr>
                      <a:picLocks noChangeAspect="1"/>
                    </pic:cNvPicPr>
                  </pic:nvPicPr>
                  <pic:blipFill>
                    <a:blip r:embed="rId20">
                      <a:extLst/>
                    </a:blip>
                    <a:stretch>
                      <a:fillRect/>
                    </a:stretch>
                  </pic:blipFill>
                  <pic:spPr>
                    <a:xfrm>
                      <a:off x="0" y="0"/>
                      <a:ext cx="5756500" cy="2208267"/>
                    </a:xfrm>
                    <a:prstGeom prst="rect">
                      <a:avLst/>
                    </a:prstGeom>
                    <a:ln w="9525" cap="flat">
                      <a:solidFill>
                        <a:schemeClr val="accent6">
                          <a:satOff val="8378"/>
                          <a:lumOff val="-7528"/>
                        </a:schemeClr>
                      </a:solidFill>
                      <a:prstDash val="solid"/>
                      <a:miter lim="400000"/>
                    </a:ln>
                    <a:effectLst/>
                  </pic:spPr>
                </pic:pic>
              </a:graphicData>
            </a:graphic>
          </wp:anchor>
        </w:drawing>
      </w:r>
    </w:p>
    <w:p w:rsidR="00DE194C" w:rsidRDefault="00ED133C">
      <w:pPr>
        <w:pStyle w:val="appeal2014"/>
        <w:jc w:val="center"/>
        <w:rPr>
          <w:i/>
          <w:iCs/>
        </w:rPr>
      </w:pPr>
      <w:r>
        <w:rPr>
          <w:i/>
          <w:iCs/>
        </w:rPr>
        <w:t>Heading east along the Ring Road with Beckley Park to right of photo</w:t>
      </w:r>
    </w:p>
    <w:p w:rsidR="00DE194C" w:rsidRDefault="00DE194C">
      <w:pPr>
        <w:pStyle w:val="appeal2014"/>
        <w:rPr>
          <w:b/>
          <w:bCs/>
        </w:rPr>
      </w:pPr>
    </w:p>
    <w:p w:rsidR="00DE194C" w:rsidRDefault="00DE194C">
      <w:pPr>
        <w:pStyle w:val="appeal2014"/>
        <w:rPr>
          <w:b/>
          <w:bCs/>
        </w:rPr>
      </w:pPr>
    </w:p>
    <w:p w:rsidR="00DE194C" w:rsidRDefault="00ED133C">
      <w:pPr>
        <w:pStyle w:val="Heading2"/>
      </w:pPr>
      <w:r>
        <w:t>7.3     Geelong Racecourse and Showgrounds</w:t>
      </w:r>
    </w:p>
    <w:p w:rsidR="00DE194C" w:rsidRDefault="00ED133C">
      <w:pPr>
        <w:pStyle w:val="appeal2014"/>
      </w:pPr>
      <w:r>
        <w:rPr>
          <w:rFonts w:eastAsia="Arial Unicode MS" w:cs="Arial Unicode MS"/>
        </w:rPr>
        <w:t>As noted, the Special Use Zone (Schedule 4) relates to the ‘</w:t>
      </w:r>
      <w:r>
        <w:rPr>
          <w:rFonts w:eastAsia="Arial Unicode MS" w:cs="Arial Unicode MS"/>
          <w:i/>
          <w:iCs/>
        </w:rPr>
        <w:t>Geelong Showgrounds and Racecourse</w:t>
      </w:r>
      <w:r>
        <w:rPr>
          <w:rFonts w:eastAsia="Arial Unicode MS" w:cs="Arial Unicode MS"/>
        </w:rPr>
        <w:t>’. The Purpose of the control includes:</w:t>
      </w:r>
    </w:p>
    <w:p w:rsidR="00DE194C" w:rsidRDefault="00ED133C">
      <w:pPr>
        <w:pStyle w:val="appealformatmay2014"/>
        <w:numPr>
          <w:ilvl w:val="0"/>
          <w:numId w:val="13"/>
        </w:numPr>
        <w:rPr>
          <w:i/>
          <w:iCs/>
        </w:rPr>
      </w:pPr>
      <w:r>
        <w:rPr>
          <w:i/>
          <w:iCs/>
        </w:rPr>
        <w:t>To encourage the use and development of the Geelong Showgrounds and Racecourse for a range of entertainment, recreational, commercial and community activities.</w:t>
      </w:r>
    </w:p>
    <w:p w:rsidR="00DE194C" w:rsidRDefault="00ED133C">
      <w:pPr>
        <w:pStyle w:val="appealformatmay2014"/>
        <w:numPr>
          <w:ilvl w:val="0"/>
          <w:numId w:val="13"/>
        </w:numPr>
        <w:rPr>
          <w:i/>
          <w:iCs/>
        </w:rPr>
      </w:pPr>
      <w:r>
        <w:rPr>
          <w:i/>
          <w:iCs/>
        </w:rPr>
        <w:t>To encourage a variety of uses of the land and buildings within the Geelong Showgrounds and Racecourse facility in order to enable its usage throughout the year.</w:t>
      </w:r>
    </w:p>
    <w:p w:rsidR="00DE194C" w:rsidRDefault="00ED133C">
      <w:pPr>
        <w:pStyle w:val="appealformatmay2014"/>
      </w:pPr>
      <w:r>
        <w:t>The first two Objectives relate specifically to the Geelong Showgrounds and Racecourse. Of note the land use conditions around Beckley Park are very different to those adjacent the Geelong Racecourse and the Geelong Showgrounds (see aerial below).</w:t>
      </w:r>
      <w:r>
        <w:rPr>
          <w:noProof/>
          <w:lang w:val="en-AU" w:eastAsia="en-AU"/>
        </w:rPr>
        <w:drawing>
          <wp:anchor distT="0" distB="0" distL="0" distR="0" simplePos="0" relativeHeight="251682816" behindDoc="0" locked="0" layoutInCell="1" allowOverlap="1">
            <wp:simplePos x="0" y="0"/>
            <wp:positionH relativeFrom="margin">
              <wp:posOffset>1165404</wp:posOffset>
            </wp:positionH>
            <wp:positionV relativeFrom="line">
              <wp:posOffset>500020</wp:posOffset>
            </wp:positionV>
            <wp:extent cx="3425691" cy="4802804"/>
            <wp:effectExtent l="0" t="0" r="0" b="0"/>
            <wp:wrapTopAndBottom distT="0" distB="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epsg_3785_16071177.0960298_-4603411.99991429@19.jpg"/>
                    <pic:cNvPicPr>
                      <a:picLocks noChangeAspect="1"/>
                    </pic:cNvPicPr>
                  </pic:nvPicPr>
                  <pic:blipFill>
                    <a:blip r:embed="rId21">
                      <a:extLst/>
                    </a:blip>
                    <a:stretch>
                      <a:fillRect/>
                    </a:stretch>
                  </pic:blipFill>
                  <pic:spPr>
                    <a:xfrm>
                      <a:off x="0" y="0"/>
                      <a:ext cx="3425691" cy="4802804"/>
                    </a:xfrm>
                    <a:prstGeom prst="rect">
                      <a:avLst/>
                    </a:prstGeom>
                    <a:ln w="9525" cap="flat">
                      <a:solidFill>
                        <a:schemeClr val="accent6"/>
                      </a:solidFill>
                      <a:prstDash val="solid"/>
                      <a:miter lim="400000"/>
                    </a:ln>
                    <a:effectLst/>
                  </pic:spPr>
                </pic:pic>
              </a:graphicData>
            </a:graphic>
          </wp:anchor>
        </w:drawing>
      </w:r>
      <w:r>
        <w:t xml:space="preserve"> </w:t>
      </w: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DE194C">
      <w:pPr>
        <w:pStyle w:val="appealformatmay2014"/>
      </w:pPr>
    </w:p>
    <w:p w:rsidR="00DE194C" w:rsidRDefault="00ED133C">
      <w:pPr>
        <w:pStyle w:val="appealformatmay2014"/>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spacing w:after="440"/>
      </w:pPr>
      <w:r>
        <w:t>The Racecourse and Showgrounds are located in Breakwater a hinterland suburban location. Main roads (of the nature of the Princes Highway and Geelong Ring Road) do not abut the facilities. The predominant surrounding land uses are residential and these are low scale in character. Therefore the continued placement of signage controls within Category 3 (High amenity areas) which implies substantial restrictions is logical for the Showgrounds and Racecourse. Major promotional signage on the periphery of either the Showgrounds or Racecourse would be inconsistent with the signage siting guidelines and specifications of Clause 52.05-6. The same conclusion cannot be reached for Beckley Park.</w:t>
      </w:r>
    </w:p>
    <w:p w:rsidR="00DE194C" w:rsidRDefault="00ED133C">
      <w:pPr>
        <w:pStyle w:val="Heading2"/>
      </w:pPr>
      <w:r>
        <w:t>7.4    Strategic Justification of the Amendment</w:t>
      </w:r>
    </w:p>
    <w:p w:rsidR="00DE194C" w:rsidRDefault="00ED133C">
      <w:pPr>
        <w:pStyle w:val="appeal2014"/>
        <w:rPr>
          <w:i/>
          <w:iCs/>
        </w:rPr>
      </w:pPr>
      <w:r>
        <w:rPr>
          <w:i/>
          <w:iCs/>
        </w:rPr>
        <w:t>Why is the Amendment required?</w:t>
      </w:r>
    </w:p>
    <w:p w:rsidR="00DE194C" w:rsidRDefault="00ED133C">
      <w:pPr>
        <w:pStyle w:val="appeal2014"/>
      </w:pPr>
      <w:r>
        <w:rPr>
          <w:rFonts w:eastAsia="Arial Unicode MS" w:cs="Arial Unicode MS"/>
        </w:rPr>
        <w:t>The amendment is required to facilitate the display of promotional signage at Beckley Park, which would otherwise be prohibited under the advertising controls of Clause 52.05. The Special Use Zone identifies advertising signage requirements as Category 3 – High amenity areas.</w:t>
      </w:r>
    </w:p>
    <w:p w:rsidR="00DE194C" w:rsidRDefault="00ED133C">
      <w:pPr>
        <w:pStyle w:val="appeal2014"/>
        <w:rPr>
          <w:i/>
          <w:iCs/>
        </w:rPr>
      </w:pPr>
      <w:r>
        <w:rPr>
          <w:i/>
          <w:iCs/>
        </w:rPr>
        <w:t>How does the Amendment implement the objectives of planning in Victoria?</w:t>
      </w:r>
    </w:p>
    <w:p w:rsidR="00DE194C" w:rsidRDefault="00ED133C">
      <w:pPr>
        <w:pStyle w:val="appeal2014"/>
      </w:pPr>
      <w:r>
        <w:rPr>
          <w:rFonts w:eastAsia="Arial Unicode MS" w:cs="Arial Unicode MS"/>
        </w:rPr>
        <w:t>The amendment implements the objectives of planning in Victoria by providing the opportunity for the consideration of the ongoing display of suitable outdoor advertising signage in appropriate main road locations which will contribute to the complexity of the built environment in accordance with Section 4(1</w:t>
      </w:r>
      <w:proofErr w:type="gramStart"/>
      <w:r>
        <w:rPr>
          <w:rFonts w:eastAsia="Arial Unicode MS" w:cs="Arial Unicode MS"/>
        </w:rPr>
        <w:t>)c</w:t>
      </w:r>
      <w:proofErr w:type="gramEnd"/>
      <w:r>
        <w:rPr>
          <w:rFonts w:eastAsia="Arial Unicode MS" w:cs="Arial Unicode MS"/>
        </w:rPr>
        <w:t xml:space="preserve"> of the Planning and Environment Act 1987.</w:t>
      </w:r>
    </w:p>
    <w:p w:rsidR="00DE194C" w:rsidRDefault="00ED133C">
      <w:pPr>
        <w:pStyle w:val="appeal2014"/>
        <w:rPr>
          <w:i/>
          <w:iCs/>
        </w:rPr>
      </w:pPr>
      <w:r>
        <w:rPr>
          <w:i/>
          <w:iCs/>
        </w:rPr>
        <w:t>How does the Amendment address any environmental, social and economic effects?</w:t>
      </w:r>
    </w:p>
    <w:p w:rsidR="00DE194C" w:rsidRDefault="00ED133C">
      <w:pPr>
        <w:pStyle w:val="appeal2014"/>
      </w:pPr>
      <w:r>
        <w:rPr>
          <w:rFonts w:eastAsia="Arial Unicode MS" w:cs="Arial Unicode MS"/>
        </w:rPr>
        <w:t>There are no social, economic or environmental impacts arising for the amendment.</w:t>
      </w:r>
    </w:p>
    <w:p w:rsidR="00DE194C" w:rsidRDefault="00ED133C">
      <w:pPr>
        <w:pStyle w:val="appeal2014"/>
        <w:rPr>
          <w:i/>
          <w:iCs/>
        </w:rPr>
      </w:pPr>
      <w:r>
        <w:rPr>
          <w:i/>
          <w:iCs/>
        </w:rPr>
        <w:t>Does the Amendment address relevant bushfire risk?</w:t>
      </w:r>
    </w:p>
    <w:p w:rsidR="00DE194C" w:rsidRDefault="00ED133C">
      <w:pPr>
        <w:pStyle w:val="appeal2014"/>
      </w:pPr>
      <w:r>
        <w:rPr>
          <w:rFonts w:eastAsia="Arial Unicode MS" w:cs="Arial Unicode MS"/>
        </w:rPr>
        <w:t>There are no relevant bushfire risks as a result of the proposed amendment.</w:t>
      </w:r>
    </w:p>
    <w:p w:rsidR="00DE194C" w:rsidRDefault="00ED133C">
      <w:pPr>
        <w:pStyle w:val="appeal2014"/>
        <w:rPr>
          <w:i/>
          <w:iCs/>
        </w:rPr>
      </w:pPr>
      <w:r>
        <w:rPr>
          <w:i/>
          <w:iCs/>
        </w:rPr>
        <w:t>Does the Amendment comply with the requirements of any Minister’s Direction applicable to the amendment?</w:t>
      </w:r>
    </w:p>
    <w:p w:rsidR="00DE194C" w:rsidRDefault="00ED133C">
      <w:pPr>
        <w:pStyle w:val="appeal2014"/>
      </w:pPr>
      <w:r>
        <w:rPr>
          <w:rFonts w:eastAsia="Arial Unicode MS" w:cs="Arial Unicode MS"/>
        </w:rPr>
        <w:t>The amendment is consistent with the Ministerial Direction on the Form and Content of Planning Schemes under section 7(5) of the Act.</w:t>
      </w:r>
    </w:p>
    <w:p w:rsidR="00DE194C" w:rsidRDefault="00DE194C">
      <w:pPr>
        <w:pStyle w:val="appeal2014"/>
        <w:rPr>
          <w:i/>
          <w:iCs/>
        </w:rPr>
      </w:pPr>
    </w:p>
    <w:p w:rsidR="00DE194C" w:rsidRDefault="00DE194C">
      <w:pPr>
        <w:pStyle w:val="appeal2014"/>
        <w:rPr>
          <w:i/>
          <w:iCs/>
        </w:rPr>
      </w:pPr>
    </w:p>
    <w:p w:rsidR="00DE194C" w:rsidRDefault="00DE194C">
      <w:pPr>
        <w:pStyle w:val="appeal2014"/>
        <w:rPr>
          <w:i/>
          <w:iCs/>
        </w:rPr>
      </w:pPr>
    </w:p>
    <w:p w:rsidR="00DE194C" w:rsidRDefault="00DE194C">
      <w:pPr>
        <w:pStyle w:val="appeal2014"/>
        <w:rPr>
          <w:i/>
          <w:iCs/>
        </w:rPr>
      </w:pPr>
    </w:p>
    <w:p w:rsidR="00DE194C" w:rsidRDefault="00ED133C">
      <w:pPr>
        <w:pStyle w:val="appeal2014"/>
        <w:rPr>
          <w:i/>
          <w:iCs/>
        </w:rPr>
      </w:pPr>
      <w:r>
        <w:rPr>
          <w:i/>
          <w:iCs/>
        </w:rPr>
        <w:t>How does the Amendment support or implement the State Planning Policy Framework and any adopted State policy?</w:t>
      </w:r>
    </w:p>
    <w:p w:rsidR="00DE194C" w:rsidRDefault="00ED133C">
      <w:pPr>
        <w:pStyle w:val="appeal2014"/>
      </w:pPr>
      <w:r>
        <w:rPr>
          <w:rFonts w:eastAsia="Arial Unicode MS" w:cs="Arial Unicode MS"/>
        </w:rPr>
        <w:t>Clause 18.01 relates to development along highways, railways and tramways. The following policy guideline is considered relevant:</w:t>
      </w:r>
    </w:p>
    <w:p w:rsidR="00DE194C" w:rsidRDefault="00ED133C">
      <w:pPr>
        <w:pStyle w:val="appeal2014"/>
        <w:numPr>
          <w:ilvl w:val="0"/>
          <w:numId w:val="4"/>
        </w:numPr>
        <w:rPr>
          <w:i/>
          <w:iCs/>
        </w:rPr>
      </w:pPr>
      <w:r>
        <w:rPr>
          <w:i/>
          <w:iCs/>
        </w:rPr>
        <w:t>The design of transport routes and nearby areas should be planned and regulated to achieve high visual standards appropriate to the importance of the route with particular reference to landscape, the control of outdoor advertising and, where appropriate the provisions of buffer zones and resting places.</w:t>
      </w:r>
    </w:p>
    <w:p w:rsidR="00DE194C" w:rsidRDefault="00ED133C" w:rsidP="00ED133C">
      <w:pPr>
        <w:pStyle w:val="appeal2014"/>
        <w:jc w:val="left"/>
        <w:rPr>
          <w:i/>
          <w:iCs/>
        </w:rPr>
      </w:pPr>
      <w:r>
        <w:rPr>
          <w:i/>
          <w:iCs/>
        </w:rPr>
        <w:t>How does the Amendment support or implement the Local Planning Policy Framework, and specifically the Municipal Strategic Statement?</w:t>
      </w:r>
      <w:commentRangeStart w:id="0"/>
    </w:p>
    <w:p w:rsidR="00DE194C" w:rsidRDefault="00ED133C" w:rsidP="00ED133C">
      <w:pPr>
        <w:pStyle w:val="appeal2014"/>
        <w:jc w:val="left"/>
      </w:pPr>
      <w:r>
        <w:rPr>
          <w:rFonts w:eastAsia="Arial Unicode MS" w:cs="Arial Unicode MS"/>
        </w:rPr>
        <w:t>Clause 21.08-2 highlights the importance of the presentation of development along highways and major roads. The Clause has as an Objective:</w:t>
      </w:r>
      <w:r>
        <w:rPr>
          <w:rFonts w:eastAsia="Arial Unicode MS" w:cs="Arial Unicode MS"/>
        </w:rPr>
        <w:br/>
      </w:r>
      <w:commentRangeEnd w:id="0"/>
      <w:r>
        <w:commentReference w:id="0"/>
      </w:r>
    </w:p>
    <w:p w:rsidR="00DE194C" w:rsidRDefault="00ED133C">
      <w:pPr>
        <w:pStyle w:val="appeal2014"/>
        <w:numPr>
          <w:ilvl w:val="0"/>
          <w:numId w:val="4"/>
        </w:numPr>
        <w:rPr>
          <w:i/>
          <w:iCs/>
        </w:rPr>
      </w:pPr>
      <w:r>
        <w:rPr>
          <w:i/>
          <w:iCs/>
        </w:rPr>
        <w:t>To improve the appearance of transport routes at key entrances to townships and urban areas.</w:t>
      </w:r>
    </w:p>
    <w:p w:rsidR="00DE194C" w:rsidRDefault="00ED133C">
      <w:pPr>
        <w:pStyle w:val="appeal2014"/>
      </w:pPr>
      <w:r>
        <w:rPr>
          <w:rFonts w:eastAsia="Arial Unicode MS" w:cs="Arial Unicode MS"/>
        </w:rPr>
        <w:t>The amendment supports the above policy and provides for appropriate direction in relation to promotional signage at Beckley Park.</w:t>
      </w:r>
    </w:p>
    <w:p w:rsidR="00DE194C" w:rsidRDefault="00ED133C">
      <w:pPr>
        <w:pStyle w:val="appeal2014"/>
        <w:rPr>
          <w:i/>
          <w:iCs/>
        </w:rPr>
      </w:pPr>
      <w:r>
        <w:rPr>
          <w:i/>
          <w:iCs/>
        </w:rPr>
        <w:t>Does the Amendment make proper use of the Victoria Planning Provisions?</w:t>
      </w:r>
    </w:p>
    <w:p w:rsidR="00DE194C" w:rsidRDefault="00ED133C">
      <w:pPr>
        <w:pStyle w:val="appeal2014"/>
      </w:pPr>
      <w:r>
        <w:rPr>
          <w:rFonts w:eastAsia="Arial Unicode MS" w:cs="Arial Unicode MS"/>
        </w:rPr>
        <w:t>The amendment uses the Schedule at Clause 37.01 which forms part of the VPP.</w:t>
      </w:r>
    </w:p>
    <w:p w:rsidR="00DE194C" w:rsidRDefault="00ED133C">
      <w:pPr>
        <w:pStyle w:val="appeal2014"/>
        <w:rPr>
          <w:i/>
          <w:iCs/>
        </w:rPr>
      </w:pPr>
      <w:r>
        <w:rPr>
          <w:i/>
          <w:iCs/>
        </w:rPr>
        <w:t>How does the Amendment address the views of any relevant agency?</w:t>
      </w:r>
    </w:p>
    <w:p w:rsidR="00DE194C" w:rsidRDefault="00ED133C">
      <w:pPr>
        <w:pStyle w:val="appeal2014"/>
        <w:rPr>
          <w:rFonts w:ascii="Times" w:eastAsia="Times" w:hAnsi="Times" w:cs="Times"/>
        </w:rPr>
      </w:pPr>
      <w:r>
        <w:rPr>
          <w:rFonts w:eastAsia="Arial Unicode MS" w:cs="Arial Unicode MS"/>
        </w:rPr>
        <w:t xml:space="preserve">The views of agencies and authorities were sought during the drafting of the amendment documents. Agencies will have an opportunity to comment on the proposed changes to the Special Use Zone – Schedule 4 during the exhibition period. </w:t>
      </w:r>
    </w:p>
    <w:p w:rsidR="00DE194C" w:rsidRDefault="00ED133C">
      <w:pPr>
        <w:pStyle w:val="appeal2014"/>
        <w:rPr>
          <w:i/>
          <w:iCs/>
        </w:rPr>
      </w:pPr>
      <w:r>
        <w:rPr>
          <w:i/>
          <w:iCs/>
        </w:rPr>
        <w:t>Does the Amendment address relevant requirements of the Transport Integration Act 2010?</w:t>
      </w:r>
    </w:p>
    <w:p w:rsidR="00DE194C" w:rsidRDefault="00ED133C">
      <w:pPr>
        <w:pStyle w:val="appeal2014"/>
      </w:pPr>
      <w:r>
        <w:rPr>
          <w:rFonts w:eastAsia="Arial Unicode MS" w:cs="Arial Unicode MS"/>
        </w:rPr>
        <w:t xml:space="preserve">There are no significant impacts on the transport system defined by the </w:t>
      </w:r>
      <w:r>
        <w:rPr>
          <w:rFonts w:eastAsia="Arial Unicode MS" w:cs="Arial Unicode MS"/>
          <w:i/>
          <w:iCs/>
        </w:rPr>
        <w:t>Transport Integration Act</w:t>
      </w:r>
      <w:r>
        <w:rPr>
          <w:rFonts w:eastAsia="Arial Unicode MS" w:cs="Arial Unicode MS"/>
        </w:rPr>
        <w:t xml:space="preserve"> as a result of this amendment.</w:t>
      </w:r>
    </w:p>
    <w:p w:rsidR="00DE194C" w:rsidRDefault="00DE194C">
      <w:pPr>
        <w:pStyle w:val="FreeForm"/>
        <w:widowControl/>
        <w:spacing w:before="120" w:line="240" w:lineRule="auto"/>
        <w:ind w:right="720"/>
        <w:jc w:val="left"/>
        <w:rPr>
          <w:rFonts w:ascii="Arial" w:eastAsia="Arial" w:hAnsi="Arial" w:cs="Arial"/>
          <w:color w:val="000000"/>
          <w:sz w:val="22"/>
          <w:szCs w:val="22"/>
        </w:rPr>
      </w:pPr>
    </w:p>
    <w:p w:rsidR="00DE194C" w:rsidRDefault="00DE194C">
      <w:pPr>
        <w:pStyle w:val="appeal2014"/>
      </w:pPr>
    </w:p>
    <w:p w:rsidR="00DE194C" w:rsidRDefault="00DE194C">
      <w:pPr>
        <w:pStyle w:val="appeal2014"/>
      </w:pPr>
    </w:p>
    <w:p w:rsidR="00DE194C" w:rsidRDefault="00DE194C">
      <w:pPr>
        <w:pStyle w:val="appeal2014"/>
      </w:pPr>
    </w:p>
    <w:p w:rsidR="00DE194C" w:rsidRDefault="00DE194C">
      <w:pPr>
        <w:pStyle w:val="appeal2014"/>
      </w:pPr>
    </w:p>
    <w:p w:rsidR="00DE194C" w:rsidRDefault="00DE194C">
      <w:pPr>
        <w:pStyle w:val="appeal2014"/>
      </w:pPr>
    </w:p>
    <w:p w:rsidR="00DE194C" w:rsidRDefault="00DE194C">
      <w:pPr>
        <w:pStyle w:val="appeal2014"/>
        <w:rPr>
          <w:b/>
          <w:bCs/>
          <w:sz w:val="22"/>
          <w:szCs w:val="22"/>
        </w:rPr>
      </w:pPr>
    </w:p>
    <w:p w:rsidR="00DE194C" w:rsidRDefault="00ED133C">
      <w:pPr>
        <w:pStyle w:val="Heading1"/>
        <w:numPr>
          <w:ilvl w:val="0"/>
          <w:numId w:val="3"/>
        </w:numPr>
        <w:spacing w:after="520"/>
      </w:pPr>
      <w:r>
        <w:t>Conclusion</w:t>
      </w:r>
    </w:p>
    <w:p w:rsidR="00DE194C" w:rsidRDefault="00ED133C">
      <w:pPr>
        <w:pStyle w:val="appeal2014"/>
      </w:pPr>
      <w:r>
        <w:rPr>
          <w:rFonts w:eastAsia="Arial Unicode MS" w:cs="Arial Unicode MS"/>
        </w:rPr>
        <w:t>Beckley Park is developed with a series of significant community and recreational resources. It is located adjacent two significant transport routes. There is considerable potential to place major promotional signage adjacent these road corridors. There are no sensitive uses nearby and there is a high degree of consistency with the parameters established by Clause 52.05-6. Beckley Park shares the same zoning and signage controls as apply to the Geelong Showgrounds and Geelong Racecourse. The locational attributes and site context that applies to Beckley Park is however substantially different and far more accommodating to a major promotional sign proposal than applies to the Geelong Showgrounds and Geelong Racecourse. It is therefore appropriate that the planning controls recognise this difference.</w:t>
      </w:r>
    </w:p>
    <w:p w:rsidR="00DE194C" w:rsidRDefault="00ED133C">
      <w:pPr>
        <w:pStyle w:val="appeal2014"/>
      </w:pPr>
      <w:r>
        <w:rPr>
          <w:rFonts w:eastAsia="Arial Unicode MS" w:cs="Arial Unicode MS"/>
        </w:rPr>
        <w:t xml:space="preserve">The Committee of Management has approached and secured support from the Land Management Policy section of DELWP to pursue major promotional signage at Beckley Park. The proposed planning scheme amendment will allow this opportunity. Any future proposal for major promotional signage would be subject to the planning permit application process. </w:t>
      </w:r>
    </w:p>
    <w:p w:rsidR="00DE194C" w:rsidRDefault="00ED133C">
      <w:pPr>
        <w:pStyle w:val="appeal2014"/>
      </w:pPr>
      <w:r>
        <w:rPr>
          <w:rFonts w:eastAsia="Arial Unicode MS" w:cs="Arial Unicode MS"/>
        </w:rPr>
        <w:t xml:space="preserve">This Amendment proposes a site specific provision be inserted into Schedule 4 of the Special Use Zone to change the class of advertising Category. The amendment </w:t>
      </w:r>
      <w:proofErr w:type="gramStart"/>
      <w:r>
        <w:rPr>
          <w:rFonts w:eastAsia="Arial Unicode MS" w:cs="Arial Unicode MS"/>
        </w:rPr>
        <w:t>has  limited</w:t>
      </w:r>
      <w:proofErr w:type="gramEnd"/>
      <w:r>
        <w:rPr>
          <w:rFonts w:eastAsia="Arial Unicode MS" w:cs="Arial Unicode MS"/>
        </w:rPr>
        <w:t xml:space="preserve"> external implications given the surrounding site context (ie. where the signs are likely to be placed).</w:t>
      </w:r>
    </w:p>
    <w:p w:rsidR="00DE194C" w:rsidRDefault="00ED133C">
      <w:pPr>
        <w:pStyle w:val="appeal2014"/>
        <w:rPr>
          <w:b/>
          <w:bCs/>
          <w:sz w:val="24"/>
          <w:szCs w:val="24"/>
        </w:rPr>
      </w:pPr>
      <w:r>
        <w:rPr>
          <w:rFonts w:eastAsia="Arial Unicode MS" w:cs="Arial Unicode MS"/>
        </w:rPr>
        <w:t>It is considered that there is substantial strategic merit in the proposal and accordingly, it is worthy of Council’s support. On this basis, it is respectfully requested that Council seek Ministerial Authorisation to prepare a Planning Scheme Amendment to alter the controls for the subject site in accordance with the draft amendment documents which accompany this report</w:t>
      </w:r>
      <w:r>
        <w:rPr>
          <w:noProof/>
          <w:lang w:val="en-AU" w:eastAsia="en-AU"/>
        </w:rPr>
        <w:drawing>
          <wp:anchor distT="152400" distB="152400" distL="152400" distR="152400" simplePos="0" relativeHeight="251674624" behindDoc="0" locked="0" layoutInCell="1" allowOverlap="1">
            <wp:simplePos x="0" y="0"/>
            <wp:positionH relativeFrom="margin">
              <wp:posOffset>-6350</wp:posOffset>
            </wp:positionH>
            <wp:positionV relativeFrom="line">
              <wp:posOffset>360680</wp:posOffset>
            </wp:positionV>
            <wp:extent cx="2433354" cy="287312"/>
            <wp:effectExtent l="0" t="0" r="0" b="0"/>
            <wp:wrapNone/>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droppedImage.pdf"/>
                    <pic:cNvPicPr>
                      <a:picLocks noChangeAspect="1"/>
                    </pic:cNvPicPr>
                  </pic:nvPicPr>
                  <pic:blipFill>
                    <a:blip r:embed="rId23">
                      <a:extLst/>
                    </a:blip>
                    <a:stretch>
                      <a:fillRect/>
                    </a:stretch>
                  </pic:blipFill>
                  <pic:spPr>
                    <a:xfrm>
                      <a:off x="0" y="0"/>
                      <a:ext cx="2433354" cy="287312"/>
                    </a:xfrm>
                    <a:prstGeom prst="rect">
                      <a:avLst/>
                    </a:prstGeom>
                    <a:ln w="12700" cap="flat">
                      <a:noFill/>
                      <a:miter lim="400000"/>
                    </a:ln>
                    <a:effectLst/>
                  </pic:spPr>
                </pic:pic>
              </a:graphicData>
            </a:graphic>
          </wp:anchor>
        </w:drawing>
      </w:r>
      <w:r>
        <w:rPr>
          <w:rFonts w:eastAsia="Arial Unicode MS" w:cs="Arial Unicode MS"/>
        </w:rPr>
        <w:t xml:space="preserve"> </w:t>
      </w:r>
    </w:p>
    <w:p w:rsidR="00DE194C" w:rsidRDefault="00DE194C">
      <w:pPr>
        <w:pStyle w:val="Body"/>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567"/>
        <w:rPr>
          <w:sz w:val="22"/>
          <w:szCs w:val="22"/>
        </w:rPr>
      </w:pPr>
    </w:p>
    <w:p w:rsidR="00ED133C" w:rsidRDefault="00ED133C">
      <w:pPr>
        <w:pStyle w:val="Body"/>
      </w:pPr>
    </w:p>
    <w:p w:rsidR="00ED133C" w:rsidRDefault="00ED133C">
      <w:pPr>
        <w:pStyle w:val="Body"/>
      </w:pPr>
    </w:p>
    <w:p w:rsidR="00DE194C" w:rsidRDefault="00ED133C">
      <w:pPr>
        <w:pStyle w:val="Body"/>
      </w:pPr>
      <w:r>
        <w:t>Peter Jewell</w:t>
      </w:r>
    </w:p>
    <w:p w:rsidR="00DE194C" w:rsidRDefault="00DE194C">
      <w:pPr>
        <w:pStyle w:val="Body"/>
      </w:pPr>
      <w:bookmarkStart w:id="1" w:name="_GoBack"/>
      <w:bookmarkEnd w:id="1"/>
    </w:p>
    <w:p w:rsidR="00DE194C" w:rsidRDefault="00ED133C">
      <w:pPr>
        <w:pStyle w:val="Body"/>
      </w:pPr>
      <w:r>
        <w:t>Town Planner</w:t>
      </w:r>
    </w:p>
    <w:p w:rsidR="00DE194C" w:rsidRDefault="00ED133C">
      <w:pPr>
        <w:pStyle w:val="Body"/>
      </w:pPr>
      <w:r>
        <w:t xml:space="preserve">Jewell Partnership P/L  </w:t>
      </w:r>
    </w:p>
    <w:p w:rsidR="00DE194C" w:rsidRDefault="00DE194C">
      <w:pPr>
        <w:pStyle w:val="appealformatmay2014"/>
        <w:ind w:left="540"/>
      </w:pPr>
    </w:p>
    <w:sectPr w:rsidR="00DE194C" w:rsidSect="00E6684D">
      <w:headerReference w:type="default" r:id="rId24"/>
      <w:footerReference w:type="default" r:id="rId25"/>
      <w:headerReference w:type="first" r:id="rId26"/>
      <w:footerReference w:type="first" r:id="rId27"/>
      <w:pgSz w:w="11900" w:h="16840"/>
      <w:pgMar w:top="1134" w:right="1417" w:bottom="1134" w:left="1417" w:header="709" w:footer="850" w:gutter="0"/>
      <w:cols w:space="720"/>
      <w:titlePg/>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peter Jewell" w:date="2016-11-09T14:05:00Z" w:initials="">
    <w:p w:rsidR="00DE194C" w:rsidRDefault="00DE194C">
      <w:pPr>
        <w:pStyle w:val="FreeForm"/>
      </w:pPr>
    </w:p>
    <w:p w:rsidR="00DE194C" w:rsidRDefault="00ED133C">
      <w:pPr>
        <w:pStyle w:val="FreeForm"/>
      </w:pPr>
      <w:proofErr w:type="gramStart"/>
      <w:r>
        <w:t>check</w:t>
      </w:r>
      <w:proofErr w:type="gramEnd"/>
      <w:r>
        <w:t xml:space="preserve"> this</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6684D" w:rsidRDefault="00ED133C">
      <w:pPr>
        <w:spacing w:after="0" w:line="240" w:lineRule="auto"/>
      </w:pPr>
      <w:r>
        <w:separator/>
      </w:r>
    </w:p>
  </w:endnote>
  <w:endnote w:type="continuationSeparator" w:id="0">
    <w:p w:rsidR="00E6684D" w:rsidRDefault="00ED13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Futura">
    <w:altName w:val="Segoe UI Semilight"/>
    <w:charset w:val="00"/>
    <w:family w:val="auto"/>
    <w:pitch w:val="variable"/>
    <w:sig w:usb0="00000000" w:usb1="00000000" w:usb2="00000000" w:usb3="00000000" w:csb0="000001FB" w:csb1="00000000"/>
  </w:font>
  <w:font w:name="Helvetica Neue">
    <w:altName w:val="Malgun Gothic"/>
    <w:charset w:val="00"/>
    <w:family w:val="auto"/>
    <w:pitch w:val="variable"/>
    <w:sig w:usb0="00000003" w:usb1="500079DB" w:usb2="00000010" w:usb3="00000000" w:csb0="00000001" w:csb1="00000000"/>
  </w:font>
  <w:font w:name="Calibri">
    <w:panose1 w:val="020F0502020204030204"/>
    <w:charset w:val="00"/>
    <w:family w:val="swiss"/>
    <w:pitch w:val="variable"/>
    <w:sig w:usb0="E10002FF" w:usb1="4000ACFF" w:usb2="00000009" w:usb3="00000000" w:csb0="0000019F" w:csb1="00000000"/>
  </w:font>
  <w:font w:name="Palatino">
    <w:altName w:val="Book Antiqua"/>
    <w:charset w:val="00"/>
    <w:family w:val="auto"/>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94C" w:rsidRDefault="00E6684D">
    <w:pPr>
      <w:pStyle w:val="HeaderFooter"/>
      <w:rPr>
        <w:rFonts w:ascii="Helvetica" w:hAnsi="Helvetica"/>
        <w:sz w:val="16"/>
        <w:szCs w:val="16"/>
      </w:rPr>
    </w:pPr>
    <w:r w:rsidRPr="00E6684D">
      <w:rPr>
        <w:rFonts w:ascii="Helvetica" w:hAnsi="Helvetica"/>
        <w:noProof/>
        <w:sz w:val="16"/>
        <w:szCs w:val="16"/>
        <w:lang w:val="en-US"/>
      </w:rPr>
    </w:r>
    <w:r w:rsidRPr="00E6684D">
      <w:rPr>
        <w:rFonts w:ascii="Helvetica" w:hAnsi="Helvetica"/>
        <w:noProof/>
        <w:sz w:val="16"/>
        <w:szCs w:val="16"/>
        <w:lang w:val="en-US"/>
      </w:rPr>
      <w:pict>
        <v:line id="_x0000_s2049" style="visibility:visible;mso-left-percent:-10001;mso-top-percent:-10001;mso-position-horizontal:absolute;mso-position-horizontal-relative:char;mso-position-vertical:absolute;mso-position-vertical-relative:line;mso-left-percent:-10001;mso-top-percent:-10001" from="0,0" to="154.9pt,0" strokecolor="#ff2d21" strokeweight="2pt">
          <v:stroke miterlimit="4" joinstyle="miter"/>
        </v:line>
      </w:pict>
    </w:r>
  </w:p>
  <w:p w:rsidR="00DE194C" w:rsidRDefault="00E6684D">
    <w:pPr>
      <w:pStyle w:val="HeaderFooter"/>
    </w:pPr>
    <w:r>
      <w:rPr>
        <w:rFonts w:ascii="Helvetica" w:hAnsi="Helvetica"/>
        <w:i/>
        <w:iCs/>
        <w:sz w:val="16"/>
        <w:szCs w:val="16"/>
      </w:rPr>
      <w:fldChar w:fldCharType="begin"/>
    </w:r>
    <w:r w:rsidR="00ED133C">
      <w:rPr>
        <w:rFonts w:ascii="Helvetica" w:hAnsi="Helvetica"/>
        <w:i/>
        <w:iCs/>
        <w:sz w:val="16"/>
        <w:szCs w:val="16"/>
      </w:rPr>
      <w:instrText xml:space="preserve"> PAGE </w:instrText>
    </w:r>
    <w:r>
      <w:rPr>
        <w:rFonts w:ascii="Helvetica" w:hAnsi="Helvetica"/>
        <w:i/>
        <w:iCs/>
        <w:sz w:val="16"/>
        <w:szCs w:val="16"/>
      </w:rPr>
      <w:fldChar w:fldCharType="separate"/>
    </w:r>
    <w:r w:rsidR="00ED133C">
      <w:rPr>
        <w:rFonts w:ascii="Helvetica" w:hAnsi="Helvetica"/>
        <w:i/>
        <w:iCs/>
        <w:noProof/>
        <w:sz w:val="16"/>
        <w:szCs w:val="16"/>
      </w:rPr>
      <w:t>20</w:t>
    </w:r>
    <w:r>
      <w:rPr>
        <w:rFonts w:ascii="Helvetica" w:hAnsi="Helvetica"/>
        <w:i/>
        <w:iCs/>
        <w:sz w:val="16"/>
        <w:szCs w:val="16"/>
      </w:rPr>
      <w:fldChar w:fldCharType="end"/>
    </w:r>
    <w:r w:rsidR="00ED133C">
      <w:rPr>
        <w:rFonts w:ascii="Helvetica" w:hAnsi="Helvetica"/>
        <w:i/>
        <w:iCs/>
        <w:sz w:val="16"/>
        <w:szCs w:val="16"/>
        <w:lang w:val="en-US"/>
      </w:rPr>
      <w:t xml:space="preserve">     PS Amendment: Beckley Park Corio</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94C" w:rsidRDefault="00DE194C">
    <w:pPr>
      <w:pStyle w:val="Header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6684D" w:rsidRDefault="00ED133C">
      <w:pPr>
        <w:spacing w:after="0" w:line="240" w:lineRule="auto"/>
      </w:pPr>
      <w:r>
        <w:separator/>
      </w:r>
    </w:p>
  </w:footnote>
  <w:footnote w:type="continuationSeparator" w:id="0">
    <w:p w:rsidR="00E6684D" w:rsidRDefault="00ED133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94C" w:rsidRDefault="00ED133C">
    <w:pPr>
      <w:pStyle w:val="HeaderFooter"/>
    </w:pPr>
    <w:r>
      <w:rPr>
        <w:noProof/>
        <w:lang w:eastAsia="en-AU"/>
      </w:rPr>
      <w:drawing>
        <wp:inline distT="0" distB="0" distL="0" distR="0">
          <wp:extent cx="1695565" cy="259805"/>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H-header_a4.tif"/>
                  <pic:cNvPicPr>
                    <a:picLocks noChangeAspect="1"/>
                  </pic:cNvPicPr>
                </pic:nvPicPr>
                <pic:blipFill>
                  <a:blip r:embed="rId1">
                    <a:extLst/>
                  </a:blip>
                  <a:stretch>
                    <a:fillRect/>
                  </a:stretch>
                </pic:blipFill>
                <pic:spPr>
                  <a:xfrm>
                    <a:off x="0" y="0"/>
                    <a:ext cx="1695565" cy="259805"/>
                  </a:xfrm>
                  <a:prstGeom prst="rect">
                    <a:avLst/>
                  </a:prstGeom>
                  <a:ln w="12700" cap="flat">
                    <a:noFill/>
                    <a:miter lim="400000"/>
                  </a:ln>
                  <a:effectLst/>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194C" w:rsidRDefault="00ED133C">
    <w:pPr>
      <w:pStyle w:val="HeaderFooter"/>
    </w:pPr>
    <w:r>
      <w:rPr>
        <w:noProof/>
        <w:lang w:eastAsia="en-AU"/>
      </w:rPr>
      <w:drawing>
        <wp:anchor distT="0" distB="0" distL="0" distR="0" simplePos="0" relativeHeight="251658240" behindDoc="1" locked="0" layoutInCell="1" allowOverlap="1">
          <wp:simplePos x="0" y="0"/>
          <wp:positionH relativeFrom="page">
            <wp:posOffset>4960935</wp:posOffset>
          </wp:positionH>
          <wp:positionV relativeFrom="page">
            <wp:posOffset>460195</wp:posOffset>
          </wp:positionV>
          <wp:extent cx="1695565" cy="259805"/>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LH-header_a4.tif"/>
                  <pic:cNvPicPr>
                    <a:picLocks noChangeAspect="1"/>
                  </pic:cNvPicPr>
                </pic:nvPicPr>
                <pic:blipFill>
                  <a:blip r:embed="rId1">
                    <a:extLst/>
                  </a:blip>
                  <a:stretch>
                    <a:fillRect/>
                  </a:stretch>
                </pic:blipFill>
                <pic:spPr>
                  <a:xfrm>
                    <a:off x="0" y="0"/>
                    <a:ext cx="1695565" cy="259805"/>
                  </a:xfrm>
                  <a:prstGeom prst="rect">
                    <a:avLst/>
                  </a:prstGeom>
                  <a:ln w="12700" cap="flat">
                    <a:noFill/>
                    <a:miter lim="400000"/>
                  </a:ln>
                  <a:effec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2B1301"/>
    <w:multiLevelType w:val="hybridMultilevel"/>
    <w:tmpl w:val="E6F011AA"/>
    <w:numStyleLink w:val="NumberedList"/>
  </w:abstractNum>
  <w:abstractNum w:abstractNumId="1">
    <w:nsid w:val="395248BF"/>
    <w:multiLevelType w:val="hybridMultilevel"/>
    <w:tmpl w:val="37BA6914"/>
    <w:lvl w:ilvl="0" w:tplc="95324C48">
      <w:start w:val="1"/>
      <w:numFmt w:val="decimal"/>
      <w:lvlText w:val="%1."/>
      <w:lvlJc w:val="left"/>
      <w:pPr>
        <w:ind w:left="1134"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1" w:tplc="E46CB060">
      <w:start w:val="1"/>
      <w:numFmt w:val="decimal"/>
      <w:lvlText w:val="%2."/>
      <w:lvlJc w:val="left"/>
      <w:pPr>
        <w:ind w:left="128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2" w:tplc="F59E4886">
      <w:start w:val="1"/>
      <w:numFmt w:val="decimal"/>
      <w:lvlText w:val="%3."/>
      <w:lvlJc w:val="left"/>
      <w:pPr>
        <w:ind w:left="200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3" w:tplc="A65226F4">
      <w:start w:val="1"/>
      <w:numFmt w:val="decimal"/>
      <w:lvlText w:val="%4."/>
      <w:lvlJc w:val="left"/>
      <w:pPr>
        <w:ind w:left="272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4" w:tplc="CBD65F34">
      <w:start w:val="1"/>
      <w:numFmt w:val="decimal"/>
      <w:lvlText w:val="%5."/>
      <w:lvlJc w:val="left"/>
      <w:pPr>
        <w:ind w:left="344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5" w:tplc="DCAEA748">
      <w:start w:val="1"/>
      <w:numFmt w:val="decimal"/>
      <w:lvlText w:val="%6."/>
      <w:lvlJc w:val="left"/>
      <w:pPr>
        <w:ind w:left="416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6" w:tplc="222EADDA">
      <w:start w:val="1"/>
      <w:numFmt w:val="decimal"/>
      <w:lvlText w:val="%7."/>
      <w:lvlJc w:val="left"/>
      <w:pPr>
        <w:ind w:left="488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7" w:tplc="F238D03C">
      <w:start w:val="1"/>
      <w:numFmt w:val="decimal"/>
      <w:lvlText w:val="%8."/>
      <w:lvlJc w:val="left"/>
      <w:pPr>
        <w:ind w:left="560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lvl w:ilvl="8" w:tplc="35B2741C">
      <w:start w:val="1"/>
      <w:numFmt w:val="decimal"/>
      <w:lvlText w:val="%9."/>
      <w:lvlJc w:val="left"/>
      <w:pPr>
        <w:ind w:left="6327" w:hanging="567"/>
      </w:pPr>
      <w:rPr>
        <w:rFonts w:hAnsi="Arial Unicode MS"/>
        <w:i/>
        <w:iCs/>
        <w:caps w:val="0"/>
        <w:smallCaps w:val="0"/>
        <w:strike w:val="0"/>
        <w:dstrike w:val="0"/>
        <w:outline w:val="0"/>
        <w:emboss w:val="0"/>
        <w:imprint w:val="0"/>
        <w:color w:val="000000"/>
        <w:spacing w:val="0"/>
        <w:w w:val="100"/>
        <w:kern w:val="0"/>
        <w:position w:val="0"/>
        <w:highlight w:val="none"/>
        <w:vertAlign w:val="baseline"/>
      </w:rPr>
    </w:lvl>
  </w:abstractNum>
  <w:abstractNum w:abstractNumId="2">
    <w:nsid w:val="3B125834"/>
    <w:multiLevelType w:val="hybridMultilevel"/>
    <w:tmpl w:val="F61EA236"/>
    <w:lvl w:ilvl="0" w:tplc="A052F0CC">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56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1" w:tplc="4CD6049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2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2" w:tplc="E306EEA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20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3" w:tplc="1C2C2F5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27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4" w:tplc="AAC0011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344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5" w:tplc="DBC25F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416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6" w:tplc="2848A16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48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7" w:tplc="9E98C96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56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 w:ilvl="8" w:tplc="2AC6418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63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abstractNum>
  <w:abstractNum w:abstractNumId="3">
    <w:nsid w:val="72B25D9C"/>
    <w:multiLevelType w:val="hybridMultilevel"/>
    <w:tmpl w:val="E6F011AA"/>
    <w:styleLink w:val="NumberedList"/>
    <w:lvl w:ilvl="0" w:tplc="EAF45424">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5B205A06">
      <w:start w:val="1"/>
      <w:numFmt w:val="decimal"/>
      <w:lvlText w:val="%2."/>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3785D3A">
      <w:start w:val="1"/>
      <w:numFmt w:val="decimal"/>
      <w:lvlText w:val="%3."/>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5B83C6E">
      <w:start w:val="1"/>
      <w:numFmt w:val="decimal"/>
      <w:lvlText w:val="%4."/>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C320A8E">
      <w:start w:val="1"/>
      <w:numFmt w:val="decimal"/>
      <w:lvlText w:val="%5."/>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F5C235E">
      <w:start w:val="1"/>
      <w:numFmt w:val="decimal"/>
      <w:lvlText w:val="%6."/>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47526E3A">
      <w:start w:val="1"/>
      <w:numFmt w:val="decimal"/>
      <w:lvlText w:val="%7."/>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7A42574">
      <w:start w:val="1"/>
      <w:numFmt w:val="decimal"/>
      <w:lvlText w:val="%8."/>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8C89D50">
      <w:start w:val="1"/>
      <w:numFmt w:val="decimal"/>
      <w:lvlText w:val="%9."/>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3"/>
  </w:num>
  <w:num w:numId="2">
    <w:abstractNumId w:val="0"/>
  </w:num>
  <w:num w:numId="3">
    <w:abstractNumId w:val="0"/>
    <w:lvlOverride w:ilvl="0">
      <w:lvl w:ilvl="0" w:tplc="E3F4AEAA">
        <w:start w:val="1"/>
        <w:numFmt w:val="decimal"/>
        <w:lvlText w:val="%1."/>
        <w:lvlJc w:val="left"/>
        <w:pPr>
          <w:ind w:left="850" w:hanging="8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9221CAE">
        <w:start w:val="1"/>
        <w:numFmt w:val="decimal"/>
        <w:lvlText w:val="%2."/>
        <w:lvlJc w:val="left"/>
        <w:pPr>
          <w:ind w:left="81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A80AFF88">
        <w:start w:val="1"/>
        <w:numFmt w:val="decimal"/>
        <w:lvlText w:val="%3."/>
        <w:lvlJc w:val="left"/>
        <w:pPr>
          <w:ind w:left="117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38E81B2">
        <w:start w:val="1"/>
        <w:numFmt w:val="decimal"/>
        <w:lvlText w:val="%4."/>
        <w:lvlJc w:val="left"/>
        <w:pPr>
          <w:ind w:left="153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B08FC24">
        <w:start w:val="1"/>
        <w:numFmt w:val="decimal"/>
        <w:lvlText w:val="%5."/>
        <w:lvlJc w:val="left"/>
        <w:pPr>
          <w:ind w:left="189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A0C0927A">
        <w:start w:val="1"/>
        <w:numFmt w:val="decimal"/>
        <w:lvlText w:val="%6."/>
        <w:lvlJc w:val="left"/>
        <w:pPr>
          <w:ind w:left="225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3B67BEC">
        <w:start w:val="1"/>
        <w:numFmt w:val="decimal"/>
        <w:lvlText w:val="%7."/>
        <w:lvlJc w:val="left"/>
        <w:pPr>
          <w:ind w:left="261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6EFC4950">
        <w:start w:val="1"/>
        <w:numFmt w:val="decimal"/>
        <w:lvlText w:val="%8."/>
        <w:lvlJc w:val="left"/>
        <w:pPr>
          <w:ind w:left="2970" w:hanging="45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E2E64F2">
        <w:start w:val="1"/>
        <w:numFmt w:val="decimal"/>
        <w:lvlText w:val="%9."/>
        <w:lvlJc w:val="left"/>
        <w:pPr>
          <w:ind w:left="3330" w:hanging="45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abstractNumId w:val="2"/>
  </w:num>
  <w:num w:numId="5">
    <w:abstractNumId w:val="2"/>
    <w:lvlOverride w:ilvl="0">
      <w:lvl w:ilvl="0" w:tplc="A052F0CC">
        <w:start w:val="1"/>
        <w:numFmt w:val="bullet"/>
        <w:lvlText w:val="•"/>
        <w:lvlJc w:val="left"/>
        <w:pPr>
          <w:ind w:left="56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1">
      <w:lvl w:ilvl="1" w:tplc="4CD60494">
        <w:start w:val="1"/>
        <w:numFmt w:val="bullet"/>
        <w:lvlText w:val="•"/>
        <w:lvlJc w:val="left"/>
        <w:pPr>
          <w:ind w:left="128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2">
      <w:lvl w:ilvl="2" w:tplc="E306EEAE">
        <w:start w:val="1"/>
        <w:numFmt w:val="bullet"/>
        <w:lvlText w:val="•"/>
        <w:lvlJc w:val="left"/>
        <w:pPr>
          <w:ind w:left="200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3">
      <w:lvl w:ilvl="3" w:tplc="1C2C2F5E">
        <w:start w:val="1"/>
        <w:numFmt w:val="bullet"/>
        <w:lvlText w:val="•"/>
        <w:lvlJc w:val="left"/>
        <w:pPr>
          <w:ind w:left="272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4">
      <w:lvl w:ilvl="4" w:tplc="AAC00114">
        <w:start w:val="1"/>
        <w:numFmt w:val="bullet"/>
        <w:lvlText w:val="•"/>
        <w:lvlJc w:val="left"/>
        <w:pPr>
          <w:ind w:left="344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5">
      <w:lvl w:ilvl="5" w:tplc="DBC25F86">
        <w:start w:val="1"/>
        <w:numFmt w:val="bullet"/>
        <w:lvlText w:val="•"/>
        <w:lvlJc w:val="left"/>
        <w:pPr>
          <w:ind w:left="416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6">
      <w:lvl w:ilvl="6" w:tplc="2848A168">
        <w:start w:val="1"/>
        <w:numFmt w:val="bullet"/>
        <w:lvlText w:val="•"/>
        <w:lvlJc w:val="left"/>
        <w:pPr>
          <w:ind w:left="488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7">
      <w:lvl w:ilvl="7" w:tplc="9E98C968">
        <w:start w:val="1"/>
        <w:numFmt w:val="bullet"/>
        <w:lvlText w:val="•"/>
        <w:lvlJc w:val="left"/>
        <w:pPr>
          <w:ind w:left="560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8">
      <w:lvl w:ilvl="8" w:tplc="2AC6418E">
        <w:start w:val="1"/>
        <w:numFmt w:val="bullet"/>
        <w:lvlText w:val="•"/>
        <w:lvlJc w:val="left"/>
        <w:pPr>
          <w:ind w:left="632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num>
  <w:num w:numId="6">
    <w:abstractNumId w:val="2"/>
    <w:lvlOverride w:ilvl="0">
      <w:lvl w:ilvl="0" w:tplc="A052F0CC">
        <w:start w:val="1"/>
        <w:numFmt w:val="bullet"/>
        <w:lvlText w:val="•"/>
        <w:lvlJc w:val="left"/>
        <w:pPr>
          <w:ind w:left="56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1">
      <w:lvl w:ilvl="1" w:tplc="4CD60494">
        <w:start w:val="1"/>
        <w:numFmt w:val="bullet"/>
        <w:lvlText w:val="•"/>
        <w:lvlJc w:val="left"/>
        <w:pPr>
          <w:ind w:left="128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2">
      <w:lvl w:ilvl="2" w:tplc="E306EEAE">
        <w:start w:val="1"/>
        <w:numFmt w:val="bullet"/>
        <w:lvlText w:val="•"/>
        <w:lvlJc w:val="left"/>
        <w:pPr>
          <w:ind w:left="200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3">
      <w:lvl w:ilvl="3" w:tplc="1C2C2F5E">
        <w:start w:val="1"/>
        <w:numFmt w:val="bullet"/>
        <w:lvlText w:val="•"/>
        <w:lvlJc w:val="left"/>
        <w:pPr>
          <w:ind w:left="272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4">
      <w:lvl w:ilvl="4" w:tplc="AAC00114">
        <w:start w:val="1"/>
        <w:numFmt w:val="bullet"/>
        <w:lvlText w:val="•"/>
        <w:lvlJc w:val="left"/>
        <w:pPr>
          <w:ind w:left="344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5">
      <w:lvl w:ilvl="5" w:tplc="DBC25F86">
        <w:start w:val="1"/>
        <w:numFmt w:val="bullet"/>
        <w:lvlText w:val="•"/>
        <w:lvlJc w:val="left"/>
        <w:pPr>
          <w:ind w:left="416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6">
      <w:lvl w:ilvl="6" w:tplc="2848A168">
        <w:start w:val="1"/>
        <w:numFmt w:val="bullet"/>
        <w:lvlText w:val="•"/>
        <w:lvlJc w:val="left"/>
        <w:pPr>
          <w:ind w:left="488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7">
      <w:lvl w:ilvl="7" w:tplc="9E98C968">
        <w:start w:val="1"/>
        <w:numFmt w:val="bullet"/>
        <w:lvlText w:val="•"/>
        <w:lvlJc w:val="left"/>
        <w:pPr>
          <w:ind w:left="560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8">
      <w:lvl w:ilvl="8" w:tplc="2AC6418E">
        <w:start w:val="1"/>
        <w:numFmt w:val="bullet"/>
        <w:lvlText w:val="•"/>
        <w:lvlJc w:val="left"/>
        <w:pPr>
          <w:ind w:left="6327" w:hanging="567"/>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num>
  <w:num w:numId="7">
    <w:abstractNumId w:val="2"/>
    <w:lvlOverride w:ilvl="0">
      <w:lvl w:ilvl="0" w:tplc="A052F0CC">
        <w:start w:val="1"/>
        <w:numFmt w:val="bullet"/>
        <w:lvlText w:val="•"/>
        <w:lvlJc w:val="left"/>
        <w:pPr>
          <w:ind w:left="56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1">
      <w:lvl w:ilvl="1" w:tplc="4CD60494">
        <w:start w:val="1"/>
        <w:numFmt w:val="bullet"/>
        <w:lvlText w:val="•"/>
        <w:lvlJc w:val="left"/>
        <w:pPr>
          <w:ind w:left="12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2">
      <w:lvl w:ilvl="2" w:tplc="E306EEAE">
        <w:start w:val="1"/>
        <w:numFmt w:val="bullet"/>
        <w:lvlText w:val="•"/>
        <w:lvlJc w:val="left"/>
        <w:pPr>
          <w:ind w:left="20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3">
      <w:lvl w:ilvl="3" w:tplc="1C2C2F5E">
        <w:start w:val="1"/>
        <w:numFmt w:val="bullet"/>
        <w:lvlText w:val="•"/>
        <w:lvlJc w:val="left"/>
        <w:pPr>
          <w:ind w:left="27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4">
      <w:lvl w:ilvl="4" w:tplc="AAC00114">
        <w:start w:val="1"/>
        <w:numFmt w:val="bullet"/>
        <w:lvlText w:val="•"/>
        <w:lvlJc w:val="left"/>
        <w:pPr>
          <w:ind w:left="344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5">
      <w:lvl w:ilvl="5" w:tplc="DBC25F86">
        <w:start w:val="1"/>
        <w:numFmt w:val="bullet"/>
        <w:lvlText w:val="•"/>
        <w:lvlJc w:val="left"/>
        <w:pPr>
          <w:ind w:left="416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6">
      <w:lvl w:ilvl="6" w:tplc="2848A168">
        <w:start w:val="1"/>
        <w:numFmt w:val="bullet"/>
        <w:lvlText w:val="•"/>
        <w:lvlJc w:val="left"/>
        <w:pPr>
          <w:ind w:left="48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7">
      <w:lvl w:ilvl="7" w:tplc="9E98C968">
        <w:start w:val="1"/>
        <w:numFmt w:val="bullet"/>
        <w:lvlText w:val="•"/>
        <w:lvlJc w:val="left"/>
        <w:pPr>
          <w:ind w:left="56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8">
      <w:lvl w:ilvl="8" w:tplc="2AC6418E">
        <w:start w:val="1"/>
        <w:numFmt w:val="bullet"/>
        <w:lvlText w:val="•"/>
        <w:lvlJc w:val="left"/>
        <w:pPr>
          <w:ind w:left="63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num>
  <w:num w:numId="8">
    <w:abstractNumId w:val="2"/>
    <w:lvlOverride w:ilvl="0">
      <w:lvl w:ilvl="0" w:tplc="A052F0CC">
        <w:start w:val="1"/>
        <w:numFmt w:val="bullet"/>
        <w:lvlText w:val="•"/>
        <w:lvlJc w:val="left"/>
        <w:pPr>
          <w:ind w:left="56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1">
      <w:lvl w:ilvl="1" w:tplc="4CD60494">
        <w:start w:val="1"/>
        <w:numFmt w:val="bullet"/>
        <w:lvlText w:val="•"/>
        <w:lvlJc w:val="left"/>
        <w:pPr>
          <w:ind w:left="128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2">
      <w:lvl w:ilvl="2" w:tplc="E306EEAE">
        <w:start w:val="1"/>
        <w:numFmt w:val="bullet"/>
        <w:lvlText w:val="•"/>
        <w:lvlJc w:val="left"/>
        <w:pPr>
          <w:ind w:left="200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3">
      <w:lvl w:ilvl="3" w:tplc="1C2C2F5E">
        <w:start w:val="1"/>
        <w:numFmt w:val="bullet"/>
        <w:lvlText w:val="•"/>
        <w:lvlJc w:val="left"/>
        <w:pPr>
          <w:ind w:left="272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4">
      <w:lvl w:ilvl="4" w:tplc="AAC00114">
        <w:start w:val="1"/>
        <w:numFmt w:val="bullet"/>
        <w:lvlText w:val="•"/>
        <w:lvlJc w:val="left"/>
        <w:pPr>
          <w:ind w:left="344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5">
      <w:lvl w:ilvl="5" w:tplc="DBC25F86">
        <w:start w:val="1"/>
        <w:numFmt w:val="bullet"/>
        <w:lvlText w:val="•"/>
        <w:lvlJc w:val="left"/>
        <w:pPr>
          <w:ind w:left="416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6">
      <w:lvl w:ilvl="6" w:tplc="2848A168">
        <w:start w:val="1"/>
        <w:numFmt w:val="bullet"/>
        <w:lvlText w:val="•"/>
        <w:lvlJc w:val="left"/>
        <w:pPr>
          <w:ind w:left="488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7">
      <w:lvl w:ilvl="7" w:tplc="9E98C968">
        <w:start w:val="1"/>
        <w:numFmt w:val="bullet"/>
        <w:lvlText w:val="•"/>
        <w:lvlJc w:val="left"/>
        <w:pPr>
          <w:ind w:left="560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8">
      <w:lvl w:ilvl="8" w:tplc="2AC6418E">
        <w:start w:val="1"/>
        <w:numFmt w:val="bullet"/>
        <w:lvlText w:val="•"/>
        <w:lvlJc w:val="left"/>
        <w:pPr>
          <w:ind w:left="6327" w:hanging="567"/>
        </w:pPr>
        <w:rPr>
          <w:rFonts w:hAnsi="Arial Unicode MS"/>
          <w:caps w:val="0"/>
          <w:smallCaps w:val="0"/>
          <w:strike w:val="0"/>
          <w:dstrike w:val="0"/>
          <w:outline w:val="0"/>
          <w:emboss w:val="0"/>
          <w:imprint w:val="0"/>
          <w:color w:val="000000"/>
          <w:spacing w:val="0"/>
          <w:w w:val="100"/>
          <w:kern w:val="0"/>
          <w:position w:val="0"/>
          <w:sz w:val="12"/>
          <w:szCs w:val="12"/>
          <w:highlight w:val="none"/>
          <w:vertAlign w:val="baseline"/>
        </w:rPr>
      </w:lvl>
    </w:lvlOverride>
  </w:num>
  <w:num w:numId="9">
    <w:abstractNumId w:val="2"/>
    <w:lvlOverride w:ilvl="0">
      <w:lvl w:ilvl="0" w:tplc="A052F0CC">
        <w:start w:val="1"/>
        <w:numFmt w:val="bullet"/>
        <w:lvlText w:val="•"/>
        <w:lvlJc w:val="left"/>
        <w:pPr>
          <w:ind w:left="56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1">
      <w:lvl w:ilvl="1" w:tplc="4CD60494">
        <w:start w:val="1"/>
        <w:numFmt w:val="bullet"/>
        <w:lvlText w:val="•"/>
        <w:lvlJc w:val="left"/>
        <w:pPr>
          <w:ind w:left="128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2">
      <w:lvl w:ilvl="2" w:tplc="E306EEAE">
        <w:start w:val="1"/>
        <w:numFmt w:val="bullet"/>
        <w:lvlText w:val="•"/>
        <w:lvlJc w:val="left"/>
        <w:pPr>
          <w:ind w:left="200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3">
      <w:lvl w:ilvl="3" w:tplc="1C2C2F5E">
        <w:start w:val="1"/>
        <w:numFmt w:val="bullet"/>
        <w:lvlText w:val="•"/>
        <w:lvlJc w:val="left"/>
        <w:pPr>
          <w:ind w:left="272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4">
      <w:lvl w:ilvl="4" w:tplc="AAC00114">
        <w:start w:val="1"/>
        <w:numFmt w:val="bullet"/>
        <w:lvlText w:val="•"/>
        <w:lvlJc w:val="left"/>
        <w:pPr>
          <w:ind w:left="344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5">
      <w:lvl w:ilvl="5" w:tplc="DBC25F86">
        <w:start w:val="1"/>
        <w:numFmt w:val="bullet"/>
        <w:lvlText w:val="•"/>
        <w:lvlJc w:val="left"/>
        <w:pPr>
          <w:ind w:left="416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6">
      <w:lvl w:ilvl="6" w:tplc="2848A168">
        <w:start w:val="1"/>
        <w:numFmt w:val="bullet"/>
        <w:lvlText w:val="•"/>
        <w:lvlJc w:val="left"/>
        <w:pPr>
          <w:ind w:left="488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7">
      <w:lvl w:ilvl="7" w:tplc="9E98C968">
        <w:start w:val="1"/>
        <w:numFmt w:val="bullet"/>
        <w:lvlText w:val="•"/>
        <w:lvlJc w:val="left"/>
        <w:pPr>
          <w:ind w:left="560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lvlOverride w:ilvl="8">
      <w:lvl w:ilvl="8" w:tplc="2AC6418E">
        <w:start w:val="1"/>
        <w:numFmt w:val="bullet"/>
        <w:lvlText w:val="•"/>
        <w:lvlJc w:val="left"/>
        <w:pPr>
          <w:ind w:left="6327" w:hanging="567"/>
        </w:pPr>
        <w:rPr>
          <w:rFonts w:hAnsi="Arial Unicode MS"/>
          <w:caps w:val="0"/>
          <w:smallCaps w:val="0"/>
          <w:strike w:val="0"/>
          <w:dstrike w:val="0"/>
          <w:outline w:val="0"/>
          <w:emboss w:val="0"/>
          <w:imprint w:val="0"/>
          <w:spacing w:val="0"/>
          <w:w w:val="100"/>
          <w:kern w:val="0"/>
          <w:position w:val="0"/>
          <w:sz w:val="12"/>
          <w:szCs w:val="12"/>
          <w:highlight w:val="none"/>
          <w:vertAlign w:val="baseline"/>
        </w:rPr>
      </w:lvl>
    </w:lvlOverride>
  </w:num>
  <w:num w:numId="10">
    <w:abstractNumId w:val="1"/>
  </w:num>
  <w:num w:numId="11">
    <w:abstractNumId w:val="1"/>
    <w:lvlOverride w:ilvl="0">
      <w:startOverride w:val="20"/>
    </w:lvlOverride>
  </w:num>
  <w:num w:numId="12">
    <w:abstractNumId w:val="2"/>
    <w:lvlOverride w:ilvl="0">
      <w:lvl w:ilvl="0" w:tplc="A052F0CC">
        <w:start w:val="1"/>
        <w:numFmt w:val="bullet"/>
        <w:lvlText w:val="•"/>
        <w:lvlJc w:val="left"/>
        <w:pPr>
          <w:ind w:left="1417"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1">
      <w:lvl w:ilvl="1" w:tplc="4CD60494">
        <w:start w:val="1"/>
        <w:numFmt w:val="bullet"/>
        <w:lvlText w:val="•"/>
        <w:lvlJc w:val="left"/>
        <w:pPr>
          <w:ind w:left="100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2">
      <w:lvl w:ilvl="2" w:tplc="E306EEAE">
        <w:start w:val="1"/>
        <w:numFmt w:val="bullet"/>
        <w:lvlText w:val="•"/>
        <w:lvlJc w:val="left"/>
        <w:pPr>
          <w:ind w:left="172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3">
      <w:lvl w:ilvl="3" w:tplc="1C2C2F5E">
        <w:start w:val="1"/>
        <w:numFmt w:val="bullet"/>
        <w:lvlText w:val="•"/>
        <w:lvlJc w:val="left"/>
        <w:pPr>
          <w:ind w:left="244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4">
      <w:lvl w:ilvl="4" w:tplc="AAC00114">
        <w:start w:val="1"/>
        <w:numFmt w:val="bullet"/>
        <w:lvlText w:val="•"/>
        <w:lvlJc w:val="left"/>
        <w:pPr>
          <w:ind w:left="316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5">
      <w:lvl w:ilvl="5" w:tplc="DBC25F86">
        <w:start w:val="1"/>
        <w:numFmt w:val="bullet"/>
        <w:lvlText w:val="•"/>
        <w:lvlJc w:val="left"/>
        <w:pPr>
          <w:ind w:left="388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6">
      <w:lvl w:ilvl="6" w:tplc="2848A168">
        <w:start w:val="1"/>
        <w:numFmt w:val="bullet"/>
        <w:lvlText w:val="•"/>
        <w:lvlJc w:val="left"/>
        <w:pPr>
          <w:ind w:left="460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7">
      <w:lvl w:ilvl="7" w:tplc="9E98C968">
        <w:start w:val="1"/>
        <w:numFmt w:val="bullet"/>
        <w:lvlText w:val="•"/>
        <w:lvlJc w:val="left"/>
        <w:pPr>
          <w:ind w:left="532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lvlOverride w:ilvl="8">
      <w:lvl w:ilvl="8" w:tplc="2AC6418E">
        <w:start w:val="1"/>
        <w:numFmt w:val="bullet"/>
        <w:lvlText w:val="•"/>
        <w:lvlJc w:val="left"/>
        <w:pPr>
          <w:ind w:left="6043" w:hanging="283"/>
        </w:pPr>
        <w:rPr>
          <w:rFonts w:hAnsi="Arial Unicode MS"/>
          <w:i/>
          <w:iCs/>
          <w:caps w:val="0"/>
          <w:smallCaps w:val="0"/>
          <w:strike w:val="0"/>
          <w:dstrike w:val="0"/>
          <w:outline w:val="0"/>
          <w:emboss w:val="0"/>
          <w:imprint w:val="0"/>
          <w:spacing w:val="0"/>
          <w:w w:val="100"/>
          <w:kern w:val="0"/>
          <w:position w:val="0"/>
          <w:sz w:val="12"/>
          <w:szCs w:val="12"/>
          <w:highlight w:val="none"/>
          <w:vertAlign w:val="baseline"/>
        </w:rPr>
      </w:lvl>
    </w:lvlOverride>
  </w:num>
  <w:num w:numId="13">
    <w:abstractNumId w:val="2"/>
    <w:lvlOverride w:ilvl="0">
      <w:lvl w:ilvl="0" w:tplc="A052F0CC">
        <w:start w:val="1"/>
        <w:numFmt w:val="bullet"/>
        <w:lvlText w:val="•"/>
        <w:lvlJc w:val="left"/>
        <w:pPr>
          <w:tabs>
            <w:tab w:val="left" w:pos="1418"/>
            <w:tab w:val="left" w:pos="2127"/>
            <w:tab w:val="left" w:pos="2836"/>
            <w:tab w:val="left" w:pos="3545"/>
            <w:tab w:val="left" w:pos="4254"/>
            <w:tab w:val="left" w:pos="4963"/>
            <w:tab w:val="left" w:pos="5672"/>
            <w:tab w:val="left" w:pos="6381"/>
            <w:tab w:val="left" w:pos="7090"/>
            <w:tab w:val="left" w:pos="7799"/>
            <w:tab w:val="left" w:pos="8508"/>
          </w:tabs>
          <w:ind w:left="1134"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1">
      <w:lvl w:ilvl="1" w:tplc="4CD6049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2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2">
      <w:lvl w:ilvl="2" w:tplc="E306EEA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20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3">
      <w:lvl w:ilvl="3" w:tplc="1C2C2F5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27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4">
      <w:lvl w:ilvl="4" w:tplc="AAC00114">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344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5">
      <w:lvl w:ilvl="5" w:tplc="DBC25F86">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416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6">
      <w:lvl w:ilvl="6" w:tplc="2848A16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488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7">
      <w:lvl w:ilvl="7" w:tplc="9E98C968">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560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lvlOverride w:ilvl="8">
      <w:lvl w:ilvl="8" w:tplc="2AC6418E">
        <w:start w:val="1"/>
        <w:numFmt w:val="bullet"/>
        <w:lvlText w:val="•"/>
        <w:lvlJc w:val="left"/>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6327" w:hanging="567"/>
        </w:pPr>
        <w:rPr>
          <w:rFonts w:hAnsi="Arial Unicode MS"/>
          <w:i/>
          <w:iCs/>
          <w:caps w:val="0"/>
          <w:smallCaps w:val="0"/>
          <w:strike w:val="0"/>
          <w:dstrike w:val="0"/>
          <w:outline w:val="0"/>
          <w:emboss w:val="0"/>
          <w:imprint w:val="0"/>
          <w:color w:val="000000"/>
          <w:spacing w:val="0"/>
          <w:w w:val="100"/>
          <w:kern w:val="0"/>
          <w:position w:val="0"/>
          <w:sz w:val="12"/>
          <w:szCs w:val="12"/>
          <w:highlight w:val="none"/>
          <w:vertAlign w:val="baseline"/>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defaultTabStop w:val="720"/>
  <w:autoHyphenation/>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
  <w:rsids>
    <w:rsidRoot w:val="00DE194C"/>
    <w:rsid w:val="00AC2C65"/>
    <w:rsid w:val="00DE194C"/>
    <w:rsid w:val="00E6684D"/>
    <w:rsid w:val="00ED133C"/>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6684D"/>
    <w:pPr>
      <w:spacing w:after="220" w:line="300" w:lineRule="auto"/>
    </w:pPr>
    <w:rPr>
      <w:rFonts w:ascii="Arial" w:hAnsi="Arial" w:cs="Arial Unicode MS"/>
      <w:color w:val="000000"/>
      <w:sz w:val="21"/>
      <w:szCs w:val="21"/>
      <w:lang w:val="en-US"/>
    </w:rPr>
  </w:style>
  <w:style w:type="paragraph" w:styleId="Heading1">
    <w:name w:val="heading 1"/>
    <w:rsid w:val="00E6684D"/>
    <w:pPr>
      <w:keepLines/>
      <w:tabs>
        <w:tab w:val="left" w:pos="0"/>
      </w:tabs>
      <w:suppressAutoHyphens/>
      <w:spacing w:before="40" w:after="460" w:line="288" w:lineRule="auto"/>
      <w:jc w:val="both"/>
      <w:outlineLvl w:val="0"/>
    </w:pPr>
    <w:rPr>
      <w:rFonts w:ascii="Helvetica" w:hAnsi="Helvetica" w:cs="Arial Unicode MS"/>
      <w:color w:val="212121"/>
      <w:spacing w:val="45"/>
      <w:sz w:val="30"/>
      <w:szCs w:val="30"/>
      <w:lang w:val="en-US"/>
    </w:rPr>
  </w:style>
  <w:style w:type="paragraph" w:styleId="Heading2">
    <w:name w:val="heading 2"/>
    <w:next w:val="Normal"/>
    <w:rsid w:val="00E6684D"/>
    <w:pPr>
      <w:keepNext/>
      <w:spacing w:before="240" w:after="280" w:line="288" w:lineRule="auto"/>
      <w:outlineLvl w:val="1"/>
    </w:pPr>
    <w:rPr>
      <w:rFonts w:ascii="Helvetica" w:hAnsi="Helvetica" w:cs="Arial Unicode MS"/>
      <w:color w:val="000000"/>
      <w:spacing w:val="23"/>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E6684D"/>
    <w:rPr>
      <w:u w:val="single"/>
    </w:rPr>
  </w:style>
  <w:style w:type="paragraph" w:customStyle="1" w:styleId="HeaderFooter">
    <w:name w:val="Header &amp; Footer"/>
    <w:rsid w:val="00E6684D"/>
    <w:pPr>
      <w:tabs>
        <w:tab w:val="right" w:pos="8362"/>
      </w:tabs>
      <w:spacing w:line="312" w:lineRule="auto"/>
    </w:pPr>
    <w:rPr>
      <w:rFonts w:ascii="Futura" w:hAnsi="Futura" w:cs="Arial Unicode MS"/>
      <w:color w:val="000000"/>
    </w:rPr>
  </w:style>
  <w:style w:type="paragraph" w:customStyle="1" w:styleId="newherbertstylebody">
    <w:name w:val="new herbert style body"/>
    <w:rsid w:val="00E6684D"/>
    <w:pPr>
      <w:suppressAutoHyphens/>
      <w:spacing w:before="40" w:after="240" w:line="264" w:lineRule="auto"/>
      <w:jc w:val="both"/>
    </w:pPr>
    <w:rPr>
      <w:rFonts w:ascii="Helvetica Neue" w:eastAsia="Helvetica Neue" w:hAnsi="Helvetica Neue" w:cs="Helvetica Neue"/>
      <w:color w:val="000000"/>
      <w:spacing w:val="7"/>
      <w:lang w:val="en-US"/>
    </w:rPr>
  </w:style>
  <w:style w:type="paragraph" w:customStyle="1" w:styleId="appeal2014">
    <w:name w:val="appeal 2014"/>
    <w:rsid w:val="00E6684D"/>
    <w:pPr>
      <w:suppressAutoHyphens/>
      <w:spacing w:before="20" w:after="280" w:line="288" w:lineRule="auto"/>
      <w:jc w:val="both"/>
    </w:pPr>
    <w:rPr>
      <w:rFonts w:ascii="Helvetica" w:eastAsia="Helvetica" w:hAnsi="Helvetica" w:cs="Helvetica"/>
      <w:color w:val="000000"/>
      <w:spacing w:val="11"/>
      <w:lang w:val="en-US"/>
    </w:rPr>
  </w:style>
  <w:style w:type="paragraph" w:styleId="BodyText">
    <w:name w:val="Body Text"/>
    <w:rsid w:val="00E6684D"/>
    <w:pPr>
      <w:jc w:val="both"/>
    </w:pPr>
    <w:rPr>
      <w:rFonts w:ascii="Helvetica Neue" w:eastAsia="Helvetica Neue" w:hAnsi="Helvetica Neue" w:cs="Helvetica Neue"/>
      <w:color w:val="000000"/>
      <w:lang w:val="en-US"/>
    </w:rPr>
  </w:style>
  <w:style w:type="numbering" w:customStyle="1" w:styleId="NumberedList">
    <w:name w:val="Numbered List"/>
    <w:rsid w:val="00E6684D"/>
    <w:pPr>
      <w:numPr>
        <w:numId w:val="1"/>
      </w:numPr>
    </w:pPr>
  </w:style>
  <w:style w:type="paragraph" w:customStyle="1" w:styleId="appealformatmay2014">
    <w:name w:val="appeal format may 2014"/>
    <w:rsid w:val="00E6684D"/>
    <w:pPr>
      <w:suppressAutoHyphens/>
      <w:spacing w:before="20" w:after="280" w:line="288" w:lineRule="auto"/>
      <w:jc w:val="both"/>
    </w:pPr>
    <w:rPr>
      <w:rFonts w:ascii="Helvetica" w:hAnsi="Helvetica" w:cs="Arial Unicode MS"/>
      <w:color w:val="000000"/>
      <w:spacing w:val="11"/>
      <w:lang w:val="en-US"/>
    </w:rPr>
  </w:style>
  <w:style w:type="paragraph" w:customStyle="1" w:styleId="FreeForm">
    <w:name w:val="Free Form"/>
    <w:rsid w:val="00E6684D"/>
    <w:pPr>
      <w:widowControl w:val="0"/>
      <w:spacing w:line="264" w:lineRule="auto"/>
      <w:jc w:val="center"/>
    </w:pPr>
    <w:rPr>
      <w:rFonts w:ascii="Calibri" w:hAnsi="Calibri" w:cs="Arial Unicode MS"/>
      <w:color w:val="FEFEFE"/>
      <w:lang w:val="en-US"/>
    </w:rPr>
  </w:style>
  <w:style w:type="paragraph" w:customStyle="1" w:styleId="Body">
    <w:name w:val="Body"/>
    <w:rsid w:val="00E6684D"/>
    <w:pPr>
      <w:suppressAutoHyphens/>
      <w:spacing w:before="40" w:after="40" w:line="264" w:lineRule="auto"/>
      <w:jc w:val="both"/>
    </w:pPr>
    <w:rPr>
      <w:rFonts w:ascii="Helvetica" w:hAnsi="Helvetica" w:cs="Arial Unicode MS"/>
      <w:color w:val="000000"/>
      <w:spacing w:val="10"/>
      <w:lang w:val="en-US"/>
    </w:rPr>
  </w:style>
  <w:style w:type="paragraph" w:customStyle="1" w:styleId="Normaldecemberreport">
    <w:name w:val="Normal december report"/>
    <w:rsid w:val="00E6684D"/>
    <w:pPr>
      <w:suppressAutoHyphens/>
      <w:spacing w:before="40" w:after="40" w:line="264" w:lineRule="auto"/>
      <w:jc w:val="both"/>
    </w:pPr>
    <w:rPr>
      <w:rFonts w:ascii="Helvetica" w:eastAsia="Helvetica" w:hAnsi="Helvetica" w:cs="Helvetica"/>
      <w:color w:val="000000"/>
      <w:spacing w:val="5"/>
      <w:lang w:val="en-US"/>
    </w:rPr>
  </w:style>
  <w:style w:type="paragraph" w:customStyle="1" w:styleId="TableStyle1">
    <w:name w:val="Table Style 1"/>
    <w:rsid w:val="00E6684D"/>
    <w:rPr>
      <w:rFonts w:ascii="Palatino" w:eastAsia="Palatino" w:hAnsi="Palatino" w:cs="Palatino"/>
      <w:b/>
      <w:bCs/>
      <w:color w:val="FEFFFE"/>
    </w:rPr>
  </w:style>
  <w:style w:type="paragraph" w:customStyle="1" w:styleId="TableStyle3">
    <w:name w:val="Table Style 3"/>
    <w:rsid w:val="00E6684D"/>
    <w:rPr>
      <w:rFonts w:ascii="Palatino" w:eastAsia="Palatino" w:hAnsi="Palatino" w:cs="Palatino"/>
      <w:color w:val="565452"/>
    </w:rPr>
  </w:style>
  <w:style w:type="paragraph" w:styleId="CommentText">
    <w:name w:val="annotation text"/>
    <w:basedOn w:val="Normal"/>
    <w:link w:val="CommentTextChar"/>
    <w:uiPriority w:val="99"/>
    <w:semiHidden/>
    <w:unhideWhenUsed/>
    <w:rsid w:val="00E6684D"/>
    <w:pPr>
      <w:spacing w:line="240" w:lineRule="auto"/>
    </w:pPr>
    <w:rPr>
      <w:sz w:val="24"/>
      <w:szCs w:val="24"/>
    </w:rPr>
  </w:style>
  <w:style w:type="character" w:customStyle="1" w:styleId="CommentTextChar">
    <w:name w:val="Comment Text Char"/>
    <w:basedOn w:val="DefaultParagraphFont"/>
    <w:link w:val="CommentText"/>
    <w:uiPriority w:val="99"/>
    <w:semiHidden/>
    <w:rsid w:val="00E6684D"/>
    <w:rPr>
      <w:rFonts w:ascii="Arial" w:hAnsi="Arial" w:cs="Arial Unicode MS"/>
      <w:color w:val="000000"/>
      <w:sz w:val="24"/>
      <w:szCs w:val="24"/>
      <w:lang w:val="en-US"/>
    </w:rPr>
  </w:style>
  <w:style w:type="character" w:styleId="CommentReference">
    <w:name w:val="annotation reference"/>
    <w:basedOn w:val="DefaultParagraphFont"/>
    <w:uiPriority w:val="99"/>
    <w:semiHidden/>
    <w:unhideWhenUsed/>
    <w:rsid w:val="00E6684D"/>
    <w:rPr>
      <w:sz w:val="18"/>
      <w:szCs w:val="18"/>
    </w:rPr>
  </w:style>
  <w:style w:type="paragraph" w:styleId="BalloonText">
    <w:name w:val="Balloon Text"/>
    <w:basedOn w:val="Normal"/>
    <w:link w:val="BalloonTextChar"/>
    <w:uiPriority w:val="99"/>
    <w:semiHidden/>
    <w:unhideWhenUsed/>
    <w:rsid w:val="00ED133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133C"/>
    <w:rPr>
      <w:rFonts w:ascii="Lucida Grande" w:hAnsi="Lucida Grande" w:cs="Lucida Grande"/>
      <w:color w:val="000000"/>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220" w:line="300" w:lineRule="auto"/>
    </w:pPr>
    <w:rPr>
      <w:rFonts w:ascii="Arial" w:hAnsi="Arial" w:cs="Arial Unicode MS"/>
      <w:color w:val="000000"/>
      <w:sz w:val="21"/>
      <w:szCs w:val="21"/>
      <w:lang w:val="en-US"/>
    </w:rPr>
  </w:style>
  <w:style w:type="paragraph" w:styleId="Heading1">
    <w:name w:val="heading 1"/>
    <w:pPr>
      <w:keepLines/>
      <w:tabs>
        <w:tab w:val="left" w:pos="0"/>
      </w:tabs>
      <w:suppressAutoHyphens/>
      <w:spacing w:before="40" w:after="460" w:line="288" w:lineRule="auto"/>
      <w:jc w:val="both"/>
      <w:outlineLvl w:val="0"/>
    </w:pPr>
    <w:rPr>
      <w:rFonts w:ascii="Helvetica" w:hAnsi="Helvetica" w:cs="Arial Unicode MS"/>
      <w:color w:val="212121"/>
      <w:spacing w:val="45"/>
      <w:sz w:val="30"/>
      <w:szCs w:val="30"/>
      <w:lang w:val="en-US"/>
    </w:rPr>
  </w:style>
  <w:style w:type="paragraph" w:styleId="Heading2">
    <w:name w:val="heading 2"/>
    <w:next w:val="Normal"/>
    <w:pPr>
      <w:keepNext/>
      <w:spacing w:before="240" w:after="280" w:line="288" w:lineRule="auto"/>
      <w:outlineLvl w:val="1"/>
    </w:pPr>
    <w:rPr>
      <w:rFonts w:ascii="Helvetica" w:hAnsi="Helvetica" w:cs="Arial Unicode MS"/>
      <w:color w:val="000000"/>
      <w:spacing w:val="23"/>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8362"/>
      </w:tabs>
      <w:spacing w:line="312" w:lineRule="auto"/>
    </w:pPr>
    <w:rPr>
      <w:rFonts w:ascii="Futura" w:hAnsi="Futura" w:cs="Arial Unicode MS"/>
      <w:color w:val="000000"/>
    </w:rPr>
  </w:style>
  <w:style w:type="paragraph" w:customStyle="1" w:styleId="newherbertstylebody">
    <w:name w:val="new herbert style body"/>
    <w:pPr>
      <w:suppressAutoHyphens/>
      <w:spacing w:before="40" w:after="240" w:line="264" w:lineRule="auto"/>
      <w:jc w:val="both"/>
    </w:pPr>
    <w:rPr>
      <w:rFonts w:ascii="Helvetica Neue" w:eastAsia="Helvetica Neue" w:hAnsi="Helvetica Neue" w:cs="Helvetica Neue"/>
      <w:color w:val="000000"/>
      <w:spacing w:val="7"/>
      <w:lang w:val="en-US"/>
    </w:rPr>
  </w:style>
  <w:style w:type="paragraph" w:customStyle="1" w:styleId="appeal2014">
    <w:name w:val="appeal 2014"/>
    <w:pPr>
      <w:suppressAutoHyphens/>
      <w:spacing w:before="20" w:after="280" w:line="288" w:lineRule="auto"/>
      <w:jc w:val="both"/>
    </w:pPr>
    <w:rPr>
      <w:rFonts w:ascii="Helvetica" w:eastAsia="Helvetica" w:hAnsi="Helvetica" w:cs="Helvetica"/>
      <w:color w:val="000000"/>
      <w:spacing w:val="11"/>
      <w:lang w:val="en-US"/>
    </w:rPr>
  </w:style>
  <w:style w:type="paragraph" w:styleId="BodyText">
    <w:name w:val="Body Text"/>
    <w:pPr>
      <w:jc w:val="both"/>
    </w:pPr>
    <w:rPr>
      <w:rFonts w:ascii="Helvetica Neue" w:eastAsia="Helvetica Neue" w:hAnsi="Helvetica Neue" w:cs="Helvetica Neue"/>
      <w:color w:val="000000"/>
      <w:lang w:val="en-US"/>
    </w:rPr>
  </w:style>
  <w:style w:type="numbering" w:customStyle="1" w:styleId="NumberedList">
    <w:name w:val="Numbered List"/>
    <w:pPr>
      <w:numPr>
        <w:numId w:val="1"/>
      </w:numPr>
    </w:pPr>
  </w:style>
  <w:style w:type="paragraph" w:customStyle="1" w:styleId="appealformatmay2014">
    <w:name w:val="appeal format may 2014"/>
    <w:pPr>
      <w:suppressAutoHyphens/>
      <w:spacing w:before="20" w:after="280" w:line="288" w:lineRule="auto"/>
      <w:jc w:val="both"/>
    </w:pPr>
    <w:rPr>
      <w:rFonts w:ascii="Helvetica" w:hAnsi="Helvetica" w:cs="Arial Unicode MS"/>
      <w:color w:val="000000"/>
      <w:spacing w:val="11"/>
      <w:lang w:val="en-US"/>
    </w:rPr>
  </w:style>
  <w:style w:type="paragraph" w:customStyle="1" w:styleId="FreeForm">
    <w:name w:val="Free Form"/>
    <w:pPr>
      <w:widowControl w:val="0"/>
      <w:spacing w:line="264" w:lineRule="auto"/>
      <w:jc w:val="center"/>
    </w:pPr>
    <w:rPr>
      <w:rFonts w:ascii="Calibri" w:hAnsi="Calibri" w:cs="Arial Unicode MS"/>
      <w:color w:val="FEFEFE"/>
      <w:lang w:val="en-US"/>
      <w14:shadow w14:blurRad="50800" w14:dist="35991" w14:dir="2700000" w14:sx="100000" w14:sy="100000" w14:kx="0" w14:ky="0" w14:algn="tl">
        <w14:srgbClr w14:val="000000">
          <w14:alpha w14:val="68965"/>
        </w14:srgbClr>
      </w14:shadow>
    </w:rPr>
  </w:style>
  <w:style w:type="paragraph" w:customStyle="1" w:styleId="Body">
    <w:name w:val="Body"/>
    <w:pPr>
      <w:suppressAutoHyphens/>
      <w:spacing w:before="40" w:after="40" w:line="264" w:lineRule="auto"/>
      <w:jc w:val="both"/>
    </w:pPr>
    <w:rPr>
      <w:rFonts w:ascii="Helvetica" w:hAnsi="Helvetica" w:cs="Arial Unicode MS"/>
      <w:color w:val="000000"/>
      <w:spacing w:val="10"/>
      <w:lang w:val="en-US"/>
    </w:rPr>
  </w:style>
  <w:style w:type="paragraph" w:customStyle="1" w:styleId="Normaldecemberreport">
    <w:name w:val="Normal december report"/>
    <w:pPr>
      <w:suppressAutoHyphens/>
      <w:spacing w:before="40" w:after="40" w:line="264" w:lineRule="auto"/>
      <w:jc w:val="both"/>
    </w:pPr>
    <w:rPr>
      <w:rFonts w:ascii="Helvetica" w:eastAsia="Helvetica" w:hAnsi="Helvetica" w:cs="Helvetica"/>
      <w:color w:val="000000"/>
      <w:spacing w:val="5"/>
      <w:lang w:val="en-US"/>
    </w:rPr>
  </w:style>
  <w:style w:type="paragraph" w:customStyle="1" w:styleId="TableStyle1">
    <w:name w:val="Table Style 1"/>
    <w:rPr>
      <w:rFonts w:ascii="Palatino" w:eastAsia="Palatino" w:hAnsi="Palatino" w:cs="Palatino"/>
      <w:b/>
      <w:bCs/>
      <w:color w:val="FEFFFE"/>
    </w:rPr>
  </w:style>
  <w:style w:type="paragraph" w:customStyle="1" w:styleId="TableStyle3">
    <w:name w:val="Table Style 3"/>
    <w:rPr>
      <w:rFonts w:ascii="Palatino" w:eastAsia="Palatino" w:hAnsi="Palatino" w:cs="Palatino"/>
      <w:color w:val="565452"/>
    </w:r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rFonts w:ascii="Arial" w:hAnsi="Arial" w:cs="Arial Unicode MS"/>
      <w:color w:val="000000"/>
      <w:sz w:val="24"/>
      <w:szCs w:val="24"/>
      <w:lang w:val="en-US"/>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ED133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D133C"/>
    <w:rPr>
      <w:rFonts w:ascii="Lucida Grande" w:hAnsi="Lucida Grande" w:cs="Lucida Grande"/>
      <w:color w:val="000000"/>
      <w:sz w:val="18"/>
      <w:szCs w:val="18"/>
      <w:lang w:val="en-US"/>
    </w:r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comments" Target="comments.xml"/><Relationship Id="rId27" Type="http://schemas.openxmlformats.org/officeDocument/2006/relationships/footer" Target="footer2.xml"/><Relationship Id="rId30"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17.tiff"/></Relationships>
</file>

<file path=word/_rels/header2.xml.rels><?xml version="1.0" encoding="UTF-8" standalone="yes"?>
<Relationships xmlns="http://schemas.openxmlformats.org/package/2006/relationships"><Relationship Id="rId1" Type="http://schemas.openxmlformats.org/officeDocument/2006/relationships/image" Target="media/image17.tiff"/></Relationships>
</file>

<file path=word/theme/_rels/theme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Calibri"/>
        <a:ea typeface="Calibri"/>
        <a:cs typeface="Calibri"/>
      </a:majorFont>
      <a:minorFont>
        <a:latin typeface="Futura"/>
        <a:ea typeface="Futura"/>
        <a:cs typeface="Futur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10000"/>
          </a:lnSpc>
          <a:spcBef>
            <a:spcPts val="0"/>
          </a:spcBef>
          <a:spcAft>
            <a:spcPts val="0"/>
          </a:spcAft>
          <a:buClrTx/>
          <a:buSzTx/>
          <a:buFontTx/>
          <a:buNone/>
          <a:tabLst/>
          <a:defRPr kumimoji="0" sz="10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ctr" defTabSz="457200" rtl="0" fontAlgn="auto" latinLnBrk="0" hangingPunct="0">
          <a:lnSpc>
            <a:spcPct val="110000"/>
          </a:lnSpc>
          <a:spcBef>
            <a:spcPts val="0"/>
          </a:spcBef>
          <a:spcAft>
            <a:spcPts val="0"/>
          </a:spcAft>
          <a:buClrTx/>
          <a:buSzTx/>
          <a:buFontTx/>
          <a:buNone/>
          <a:tabLst/>
          <a:defRPr kumimoji="0" sz="10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4412</Words>
  <Characters>25152</Characters>
  <Application>Microsoft Office Word</Application>
  <DocSecurity>0</DocSecurity>
  <Lines>209</Lines>
  <Paragraphs>59</Paragraphs>
  <ScaleCrop>false</ScaleCrop>
  <Company>Demo</Company>
  <LinksUpToDate>false</LinksUpToDate>
  <CharactersWithSpaces>29505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 Cramer</dc:creator>
  <cp:lastModifiedBy>lc00738</cp:lastModifiedBy>
  <cp:revision>2</cp:revision>
  <dcterms:created xsi:type="dcterms:W3CDTF">2017-06-30T02:59:00Z</dcterms:created>
  <dcterms:modified xsi:type="dcterms:W3CDTF">2017-06-30T02:59:00Z</dcterms:modified>
</cp:coreProperties>
</file>