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B63" w:rsidRDefault="00FB0B63" w:rsidP="00FB0B63">
      <w:pPr>
        <w:pStyle w:val="Header"/>
        <w:tabs>
          <w:tab w:val="clear" w:pos="4153"/>
          <w:tab w:val="clear" w:pos="8306"/>
        </w:tabs>
      </w:pPr>
      <w:bookmarkStart w:id="0" w:name="_GoBack"/>
      <w:bookmarkEnd w:id="0"/>
    </w:p>
    <w:tbl>
      <w:tblPr>
        <w:tblW w:w="9072" w:type="dxa"/>
        <w:tblLayout w:type="fixed"/>
        <w:tblCellMar>
          <w:left w:w="0" w:type="dxa"/>
          <w:right w:w="0" w:type="dxa"/>
        </w:tblCellMar>
        <w:tblLook w:val="0000" w:firstRow="0" w:lastRow="0" w:firstColumn="0" w:lastColumn="0" w:noHBand="0" w:noVBand="0"/>
      </w:tblPr>
      <w:tblGrid>
        <w:gridCol w:w="4032"/>
        <w:gridCol w:w="284"/>
        <w:gridCol w:w="4756"/>
      </w:tblGrid>
      <w:tr w:rsidR="00FB0B63" w:rsidTr="00512EAC">
        <w:trPr>
          <w:cantSplit/>
        </w:trPr>
        <w:tc>
          <w:tcPr>
            <w:tcW w:w="4032" w:type="dxa"/>
          </w:tcPr>
          <w:p w:rsidR="00FB0B63" w:rsidRDefault="00FB0B63" w:rsidP="00512EAC">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b/>
                <w:caps/>
                <w:sz w:val="40"/>
              </w:rPr>
            </w:pPr>
          </w:p>
          <w:p w:rsidR="00FB0B63" w:rsidRDefault="0059572A" w:rsidP="00512EAC">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b/>
                <w:caps/>
                <w:sz w:val="50"/>
              </w:rPr>
            </w:pPr>
            <w:r>
              <w:rPr>
                <w:b/>
                <w:caps/>
                <w:sz w:val="50"/>
              </w:rPr>
              <w:t xml:space="preserve">DRAFT </w:t>
            </w:r>
            <w:r w:rsidR="00FB0B63">
              <w:rPr>
                <w:b/>
                <w:caps/>
                <w:sz w:val="50"/>
              </w:rPr>
              <w:t>PLANNING</w:t>
            </w:r>
            <w:r w:rsidR="00FB0B63">
              <w:rPr>
                <w:b/>
                <w:caps/>
                <w:sz w:val="50"/>
              </w:rPr>
              <w:br/>
              <w:t>PERMIT</w:t>
            </w:r>
          </w:p>
          <w:p w:rsidR="00FB0B63" w:rsidRDefault="00FB0B63" w:rsidP="00512EAC">
            <w:pPr>
              <w:pStyle w:val="BodyText2"/>
            </w:pPr>
            <w:r>
              <w:t>GRANTED UNDER section 96I OF THE PLANNING AND eNVIRONMENT aCT 1987</w:t>
            </w:r>
          </w:p>
          <w:p w:rsidR="00FB0B63" w:rsidRDefault="00FB0B63" w:rsidP="00512EAC">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b/>
                <w:caps/>
                <w:sz w:val="40"/>
              </w:rPr>
            </w:pPr>
          </w:p>
        </w:tc>
        <w:tc>
          <w:tcPr>
            <w:tcW w:w="284" w:type="dxa"/>
          </w:tcPr>
          <w:p w:rsidR="00FB0B63" w:rsidRDefault="00FB0B63" w:rsidP="00512EAC">
            <w:pPr>
              <w:tabs>
                <w:tab w:val="left" w:pos="-3312"/>
                <w:tab w:val="left" w:pos="-2592"/>
                <w:tab w:val="left" w:pos="-2016"/>
                <w:tab w:val="left" w:pos="-1152"/>
                <w:tab w:val="left" w:pos="288"/>
                <w:tab w:val="left" w:pos="3024"/>
              </w:tabs>
              <w:spacing w:line="240" w:lineRule="atLeast"/>
              <w:rPr>
                <w:b/>
              </w:rPr>
            </w:pPr>
          </w:p>
        </w:tc>
        <w:tc>
          <w:tcPr>
            <w:tcW w:w="4756" w:type="dxa"/>
          </w:tcPr>
          <w:p w:rsidR="00FB0B63" w:rsidRDefault="00FB0B63" w:rsidP="00512EAC">
            <w:pPr>
              <w:tabs>
                <w:tab w:val="left" w:pos="-3312"/>
                <w:tab w:val="left" w:pos="-2592"/>
                <w:tab w:val="left" w:pos="-2016"/>
                <w:tab w:val="left" w:pos="-1152"/>
                <w:tab w:val="left" w:pos="288"/>
                <w:tab w:val="left" w:pos="3024"/>
              </w:tabs>
              <w:spacing w:line="240" w:lineRule="atLeast"/>
              <w:rPr>
                <w:b/>
              </w:rPr>
            </w:pPr>
            <w:r>
              <w:rPr>
                <w:b/>
              </w:rPr>
              <w:t xml:space="preserve">Permit No.:  </w:t>
            </w:r>
            <w:r w:rsidR="0059572A">
              <w:rPr>
                <w:b/>
              </w:rPr>
              <w:t>PP-11-2017</w:t>
            </w:r>
            <w:r>
              <w:rPr>
                <w:b/>
              </w:rPr>
              <w:br/>
            </w:r>
            <w:r>
              <w:rPr>
                <w:b/>
              </w:rPr>
              <w:br/>
              <w:t>Planning scheme:</w:t>
            </w:r>
            <w:r w:rsidR="0059572A">
              <w:rPr>
                <w:b/>
              </w:rPr>
              <w:t xml:space="preserve"> Greater Geelong Planning Scheme</w:t>
            </w:r>
            <w:r>
              <w:rPr>
                <w:b/>
              </w:rPr>
              <w:br/>
            </w:r>
            <w:r>
              <w:rPr>
                <w:b/>
              </w:rPr>
              <w:br/>
              <w:t xml:space="preserve">Responsible authority: </w:t>
            </w:r>
            <w:r w:rsidR="0059572A">
              <w:rPr>
                <w:b/>
              </w:rPr>
              <w:t>Greater Geelong City Council</w:t>
            </w:r>
            <w:r>
              <w:rPr>
                <w:b/>
              </w:rPr>
              <w:br/>
            </w:r>
          </w:p>
        </w:tc>
      </w:tr>
      <w:tr w:rsidR="00FB0B63" w:rsidTr="00512EAC">
        <w:trPr>
          <w:cantSplit/>
        </w:trPr>
        <w:tc>
          <w:tcPr>
            <w:tcW w:w="9072" w:type="dxa"/>
            <w:gridSpan w:val="3"/>
          </w:tcPr>
          <w:p w:rsidR="00FB0B63" w:rsidRDefault="00FB0B63" w:rsidP="00512EAC">
            <w:pPr>
              <w:tabs>
                <w:tab w:val="left" w:pos="720"/>
                <w:tab w:val="left" w:pos="1440"/>
                <w:tab w:val="left" w:pos="2016"/>
                <w:tab w:val="left" w:pos="2880"/>
                <w:tab w:val="left" w:pos="4320"/>
                <w:tab w:val="left" w:pos="7056"/>
              </w:tabs>
              <w:spacing w:before="240" w:line="240" w:lineRule="atLeast"/>
              <w:rPr>
                <w:b/>
                <w:caps/>
              </w:rPr>
            </w:pPr>
            <w:r>
              <w:rPr>
                <w:b/>
                <w:caps/>
              </w:rPr>
              <w:t>Address of the Land:</w:t>
            </w:r>
            <w:r w:rsidR="0059572A">
              <w:rPr>
                <w:b/>
                <w:caps/>
              </w:rPr>
              <w:t xml:space="preserve"> 143-179 fLINDERS aVENUE, lara, vic 3212</w:t>
            </w:r>
          </w:p>
          <w:p w:rsidR="00FB0B63" w:rsidRDefault="00FB0B63" w:rsidP="00512EAC">
            <w:pPr>
              <w:tabs>
                <w:tab w:val="left" w:pos="-3312"/>
                <w:tab w:val="left" w:pos="-2592"/>
                <w:tab w:val="left" w:pos="-2016"/>
                <w:tab w:val="left" w:pos="-1152"/>
                <w:tab w:val="left" w:pos="288"/>
                <w:tab w:val="left" w:pos="3024"/>
              </w:tabs>
              <w:spacing w:line="240" w:lineRule="atLeast"/>
            </w:pPr>
          </w:p>
        </w:tc>
      </w:tr>
      <w:tr w:rsidR="0059572A" w:rsidRPr="0059572A" w:rsidTr="00512EAC">
        <w:trPr>
          <w:cantSplit/>
        </w:trPr>
        <w:tc>
          <w:tcPr>
            <w:tcW w:w="9072" w:type="dxa"/>
            <w:gridSpan w:val="3"/>
          </w:tcPr>
          <w:p w:rsidR="00FB0B63" w:rsidRPr="0059572A" w:rsidRDefault="00FB0B63" w:rsidP="00512EAC">
            <w:pPr>
              <w:rPr>
                <w:color w:val="000000" w:themeColor="text1"/>
                <w:sz w:val="25"/>
                <w:szCs w:val="25"/>
              </w:rPr>
            </w:pPr>
            <w:r w:rsidRPr="0059572A">
              <w:rPr>
                <w:b/>
                <w:caps/>
                <w:color w:val="000000" w:themeColor="text1"/>
              </w:rPr>
              <w:t xml:space="preserve">The Permit allows: </w:t>
            </w:r>
            <w:r w:rsidR="0059572A" w:rsidRPr="0059572A">
              <w:rPr>
                <w:color w:val="000000" w:themeColor="text1"/>
                <w:sz w:val="25"/>
                <w:szCs w:val="25"/>
              </w:rPr>
              <w:t>Multi Lot Subdivision (23 lots)</w:t>
            </w:r>
          </w:p>
          <w:p w:rsidR="00FB0B63" w:rsidRPr="0059572A" w:rsidRDefault="00FB0B63" w:rsidP="00512EAC">
            <w:pPr>
              <w:tabs>
                <w:tab w:val="left" w:pos="-3312"/>
                <w:tab w:val="left" w:pos="-2592"/>
                <w:tab w:val="left" w:pos="-2016"/>
                <w:tab w:val="left" w:pos="-1152"/>
                <w:tab w:val="left" w:pos="288"/>
                <w:tab w:val="left" w:pos="3024"/>
              </w:tabs>
              <w:spacing w:line="240" w:lineRule="atLeast"/>
              <w:rPr>
                <w:color w:val="000000" w:themeColor="text1"/>
              </w:rPr>
            </w:pPr>
          </w:p>
        </w:tc>
      </w:tr>
    </w:tbl>
    <w:p w:rsidR="00FB0B63" w:rsidRPr="0059572A" w:rsidRDefault="00FB0B63" w:rsidP="00FB0B63">
      <w:pPr>
        <w:tabs>
          <w:tab w:val="left" w:pos="720"/>
          <w:tab w:val="left" w:pos="1440"/>
          <w:tab w:val="left" w:pos="2016"/>
          <w:tab w:val="left" w:pos="2880"/>
          <w:tab w:val="left" w:pos="4320"/>
          <w:tab w:val="left" w:pos="7056"/>
        </w:tabs>
        <w:spacing w:line="240" w:lineRule="atLeast"/>
        <w:rPr>
          <w:b/>
          <w:caps/>
          <w:color w:val="000000" w:themeColor="text1"/>
        </w:rPr>
      </w:pPr>
      <w:r w:rsidRPr="0059572A">
        <w:rPr>
          <w:b/>
          <w:caps/>
          <w:color w:val="000000" w:themeColor="text1"/>
        </w:rPr>
        <w:t>The following conditions apply to this permit:</w:t>
      </w:r>
    </w:p>
    <w:p w:rsidR="00FB0B63" w:rsidRDefault="00FB0B63" w:rsidP="00FB0B63">
      <w:pPr>
        <w:tabs>
          <w:tab w:val="left" w:pos="720"/>
          <w:tab w:val="left" w:pos="1440"/>
          <w:tab w:val="left" w:pos="2016"/>
          <w:tab w:val="left" w:pos="2880"/>
          <w:tab w:val="left" w:pos="4320"/>
          <w:tab w:val="left" w:pos="7056"/>
        </w:tabs>
        <w:spacing w:line="240" w:lineRule="atLeast"/>
        <w:rPr>
          <w:b/>
          <w:caps/>
        </w:rPr>
      </w:pPr>
    </w:p>
    <w:p w:rsidR="00FB0B63" w:rsidRDefault="00FB0B63" w:rsidP="00FB0B63">
      <w:pPr>
        <w:pBdr>
          <w:top w:val="single" w:sz="2" w:space="0" w:color="auto"/>
        </w:pBdr>
        <w:tabs>
          <w:tab w:val="left" w:pos="720"/>
          <w:tab w:val="left" w:pos="1440"/>
          <w:tab w:val="left" w:pos="2016"/>
          <w:tab w:val="left" w:pos="2880"/>
          <w:tab w:val="left" w:pos="4320"/>
          <w:tab w:val="left" w:pos="7056"/>
        </w:tabs>
        <w:spacing w:line="240" w:lineRule="atLeast"/>
      </w:pPr>
    </w:p>
    <w:p w:rsidR="00FB0B63" w:rsidRDefault="00FB0B63" w:rsidP="00FB0B63">
      <w:pPr>
        <w:pStyle w:val="BodyText"/>
      </w:pPr>
    </w:p>
    <w:p w:rsidR="0059572A" w:rsidRPr="0059572A" w:rsidRDefault="0059572A" w:rsidP="0059572A">
      <w:pPr>
        <w:tabs>
          <w:tab w:val="left" w:pos="5647"/>
        </w:tabs>
        <w:ind w:left="567" w:hanging="567"/>
        <w:jc w:val="both"/>
        <w:rPr>
          <w:rFonts w:ascii="Arial" w:hAnsi="Arial"/>
          <w:b/>
          <w:sz w:val="22"/>
          <w:szCs w:val="22"/>
          <w:lang w:eastAsia="en-US"/>
        </w:rPr>
      </w:pPr>
      <w:r w:rsidRPr="0059572A">
        <w:rPr>
          <w:rFonts w:ascii="Arial" w:hAnsi="Arial"/>
          <w:b/>
          <w:sz w:val="22"/>
          <w:szCs w:val="22"/>
          <w:lang w:eastAsia="en-US"/>
        </w:rPr>
        <w:t>Endorsed Plans</w:t>
      </w:r>
      <w:r>
        <w:rPr>
          <w:rFonts w:ascii="Arial" w:hAnsi="Arial"/>
          <w:b/>
          <w:sz w:val="22"/>
          <w:szCs w:val="22"/>
          <w:lang w:eastAsia="en-US"/>
        </w:rPr>
        <w:tab/>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1.</w:t>
      </w:r>
      <w:r w:rsidRPr="0059572A">
        <w:rPr>
          <w:rFonts w:ascii="Arial" w:hAnsi="Arial"/>
          <w:sz w:val="22"/>
          <w:szCs w:val="22"/>
          <w:lang w:eastAsia="en-US"/>
        </w:rPr>
        <w:tab/>
        <w:t>The layout and site dimensions of the proposed subdivision as shown on the endorsed plan(s) shall not be altered or modified without the written consent of the Responsible Authority. There are no requirements to alter or modify the endorsed plan if a plan is certified under the provisions of the Subdivision Act 1988 that is generally in accordance with the endorsed plans.</w:t>
      </w:r>
    </w:p>
    <w:p w:rsidR="0059572A" w:rsidRPr="0059572A" w:rsidRDefault="0059572A" w:rsidP="0059572A">
      <w:pPr>
        <w:jc w:val="both"/>
        <w:rPr>
          <w:rFonts w:ascii="Arial" w:hAnsi="Arial"/>
          <w:sz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Section 173 Agreement</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2.</w:t>
      </w:r>
      <w:r w:rsidRPr="0059572A">
        <w:rPr>
          <w:rFonts w:ascii="Arial" w:hAnsi="Arial"/>
          <w:sz w:val="22"/>
          <w:szCs w:val="22"/>
          <w:lang w:eastAsia="en-US"/>
        </w:rPr>
        <w:tab/>
        <w:t>Prior to the issue of Statement of Compliance, the owner of the land must enter into an agreement with the Responsible Authority pursuant to Section 173 of the Planning and Environment Act 1987, to the satisfaction of the Responsible Authority.  The agreement must provide for the following:</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a)</w:t>
      </w:r>
      <w:r w:rsidRPr="0059572A">
        <w:rPr>
          <w:rFonts w:ascii="Arial" w:hAnsi="Arial"/>
          <w:sz w:val="22"/>
          <w:lang w:eastAsia="en-US"/>
        </w:rPr>
        <w:tab/>
        <w:t>No cats are to be kept on the new lots created</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b)</w:t>
      </w:r>
      <w:r w:rsidRPr="0059572A">
        <w:rPr>
          <w:rFonts w:ascii="Arial" w:hAnsi="Arial"/>
          <w:sz w:val="22"/>
          <w:lang w:eastAsia="en-US"/>
        </w:rPr>
        <w:tab/>
        <w:t>Prospective purchasers to be informed about the prohibition by the developer prior to purchase of a lot or lots within the subdivision</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c)</w:t>
      </w:r>
      <w:r w:rsidRPr="0059572A">
        <w:rPr>
          <w:rFonts w:ascii="Arial" w:hAnsi="Arial"/>
          <w:sz w:val="22"/>
          <w:lang w:eastAsia="en-US"/>
        </w:rPr>
        <w:tab/>
        <w:t>Council to enforce the prohibition until such time that it is superseded by a similar Council local law.</w:t>
      </w:r>
    </w:p>
    <w:p w:rsidR="0059572A" w:rsidRPr="0059572A" w:rsidRDefault="0059572A" w:rsidP="0059572A">
      <w:pPr>
        <w:ind w:left="1134" w:hanging="567"/>
        <w:jc w:val="both"/>
        <w:rPr>
          <w:rFonts w:ascii="Arial" w:hAnsi="Arial"/>
          <w:sz w:val="22"/>
          <w:lang w:eastAsia="en-US"/>
        </w:rPr>
      </w:pPr>
    </w:p>
    <w:p w:rsidR="0059572A" w:rsidRPr="0059572A" w:rsidRDefault="0059572A" w:rsidP="0059572A">
      <w:pPr>
        <w:tabs>
          <w:tab w:val="left" w:pos="567"/>
        </w:tabs>
        <w:spacing w:after="200"/>
        <w:ind w:left="567"/>
        <w:jc w:val="both"/>
        <w:rPr>
          <w:rFonts w:ascii="Arial" w:hAnsi="Arial" w:cs="Arial"/>
          <w:sz w:val="22"/>
          <w:szCs w:val="22"/>
        </w:rPr>
      </w:pPr>
      <w:r w:rsidRPr="0059572A">
        <w:rPr>
          <w:rFonts w:ascii="Arial" w:hAnsi="Arial" w:cs="Arial"/>
          <w:sz w:val="22"/>
          <w:szCs w:val="22"/>
        </w:rPr>
        <w:t>The owner must pay the costs for preparation, execution and registration of the agreement and the agreement must be registered on the newly created titles.</w:t>
      </w:r>
    </w:p>
    <w:p w:rsidR="0059572A" w:rsidRDefault="0059572A">
      <w:pPr>
        <w:rPr>
          <w:rFonts w:ascii="Arial" w:hAnsi="Arial"/>
          <w:b/>
          <w:sz w:val="22"/>
          <w:szCs w:val="22"/>
          <w:lang w:eastAsia="en-US"/>
        </w:rPr>
      </w:pPr>
      <w:r>
        <w:rPr>
          <w:rFonts w:ascii="Arial" w:hAnsi="Arial"/>
          <w:b/>
          <w:sz w:val="22"/>
          <w:szCs w:val="22"/>
          <w:lang w:eastAsia="en-US"/>
        </w:rPr>
        <w:br w:type="page"/>
      </w: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lastRenderedPageBreak/>
        <w:t>Environmental (Construction) Management Plan</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3.</w:t>
      </w:r>
      <w:r w:rsidRPr="0059572A">
        <w:rPr>
          <w:rFonts w:ascii="Arial" w:hAnsi="Arial"/>
          <w:sz w:val="22"/>
          <w:szCs w:val="22"/>
          <w:lang w:eastAsia="en-US"/>
        </w:rPr>
        <w:tab/>
        <w:t>Prior to works commencing, an Environmental (Construction) Management Plan (CEMP) must be submitted and shall address control of site emissions during construction and the defects liability period to the satisfaction of the Responsible Authority. The plans must include measures to be taken to ensure that no polluted water and/or sediment laden runoff is to be discharged directly or indirectly into stormwater drains or watercourses during the construction period. The EMP shall be prepared in accordance with the EPA – Guideline for Environmental Management, Doing it Right on Subdivisions, Publication 960, September 2004. All development works must be carried out in accordance with the CEMP to the satisfaction of the Responsible Authority.</w:t>
      </w:r>
    </w:p>
    <w:p w:rsidR="0059572A" w:rsidRPr="0059572A" w:rsidRDefault="0059572A" w:rsidP="0059572A">
      <w:pPr>
        <w:ind w:left="567" w:hanging="567"/>
        <w:jc w:val="both"/>
        <w:rPr>
          <w:rFonts w:ascii="Arial" w:hAnsi="Arial"/>
          <w:b/>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Engineering Road Construction Plans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4.</w:t>
      </w:r>
      <w:r w:rsidRPr="0059572A">
        <w:rPr>
          <w:rFonts w:ascii="Arial" w:hAnsi="Arial"/>
          <w:sz w:val="22"/>
          <w:szCs w:val="22"/>
          <w:lang w:eastAsia="en-US"/>
        </w:rPr>
        <w:tab/>
        <w:t>Prior to works commencing, engineer designed roadworks and drainage construction plans must be submitted to and approved by the Responsible Authority. The engineering construction plans must detail construction to a standard that achieves a functional design including a minimum 21m from face of kerb to face of kerb for the court bowls with no adverse external impacts and achieve an acceptable standard of aesthetics including landscaping and is maintained in perpetuity to the satisfaction of the Responsible Authority.</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5.</w:t>
      </w:r>
      <w:r w:rsidRPr="0059572A">
        <w:rPr>
          <w:rFonts w:ascii="Arial" w:hAnsi="Arial"/>
          <w:sz w:val="22"/>
          <w:szCs w:val="22"/>
          <w:lang w:eastAsia="en-US"/>
        </w:rPr>
        <w:tab/>
        <w:t>Prior to works commencing, engineered designed roadworks and drainage plans must be submitted to and approved by the Responsible Authority showing a design for the full width road pavement in Flinders Avenue from 125 Flinders Avenue to 185 Flinders Avenue.</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Construction of Roads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6.</w:t>
      </w:r>
      <w:r w:rsidRPr="0059572A">
        <w:rPr>
          <w:rFonts w:ascii="Arial" w:hAnsi="Arial"/>
          <w:sz w:val="22"/>
          <w:szCs w:val="22"/>
          <w:lang w:eastAsia="en-US"/>
        </w:rPr>
        <w:tab/>
        <w:t>Prior to Statement of Compliance, roadworks and drainage must be constructed in accordance with the approved plans and specifications to the satisfaction of the Responsible Authority, and must include:</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a)</w:t>
      </w:r>
      <w:r w:rsidRPr="0059572A">
        <w:rPr>
          <w:rFonts w:ascii="Arial" w:hAnsi="Arial"/>
          <w:sz w:val="22"/>
          <w:lang w:eastAsia="en-US"/>
        </w:rPr>
        <w:tab/>
        <w:t>Fully sealed pavement with kerb &amp; channel and turnaround area;</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b)</w:t>
      </w:r>
      <w:r w:rsidRPr="0059572A">
        <w:rPr>
          <w:rFonts w:ascii="Arial" w:hAnsi="Arial"/>
          <w:sz w:val="22"/>
          <w:lang w:eastAsia="en-US"/>
        </w:rPr>
        <w:tab/>
        <w:t>Concrete footpaths; and,</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c)</w:t>
      </w:r>
      <w:r w:rsidRPr="0059572A">
        <w:rPr>
          <w:rFonts w:ascii="Arial" w:hAnsi="Arial"/>
          <w:sz w:val="22"/>
          <w:lang w:eastAsia="en-US"/>
        </w:rPr>
        <w:tab/>
        <w:t>Underground stormwater drainage.</w:t>
      </w:r>
    </w:p>
    <w:p w:rsidR="0059572A" w:rsidRPr="0059572A" w:rsidRDefault="0059572A" w:rsidP="0059572A">
      <w:pPr>
        <w:ind w:left="1134" w:hanging="567"/>
        <w:jc w:val="both"/>
        <w:rPr>
          <w:rFonts w:ascii="Arial" w:hAnsi="Arial"/>
          <w:sz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7.</w:t>
      </w:r>
      <w:r w:rsidRPr="0059572A">
        <w:rPr>
          <w:rFonts w:ascii="Arial" w:hAnsi="Arial"/>
          <w:sz w:val="22"/>
          <w:szCs w:val="22"/>
          <w:lang w:eastAsia="en-US"/>
        </w:rPr>
        <w:tab/>
        <w:t>Prior to Statement of Compliance, the roadwork and drainage in Flinders Avenue from 125 Flinders Avenue to the northern boundary of Lot 23 must be constructed in accordance with the approved plans and specifications to the satisfaction of the Responsible Authority, and at no cost to Council.</w:t>
      </w:r>
    </w:p>
    <w:p w:rsidR="0059572A" w:rsidRPr="0059572A" w:rsidRDefault="0059572A" w:rsidP="0059572A">
      <w:pPr>
        <w:ind w:left="567" w:hanging="567"/>
        <w:jc w:val="both"/>
        <w:rPr>
          <w:rFonts w:ascii="Arial" w:hAnsi="Arial"/>
          <w:color w:val="000000" w:themeColor="text1"/>
          <w:sz w:val="22"/>
          <w:szCs w:val="22"/>
          <w:lang w:eastAsia="en-US"/>
        </w:rPr>
      </w:pPr>
    </w:p>
    <w:p w:rsidR="0059572A" w:rsidRPr="0059572A" w:rsidRDefault="0059572A" w:rsidP="0059572A">
      <w:pPr>
        <w:ind w:left="567" w:hanging="567"/>
        <w:jc w:val="both"/>
        <w:rPr>
          <w:rFonts w:ascii="Arial" w:hAnsi="Arial"/>
          <w:b/>
          <w:color w:val="000000" w:themeColor="text1"/>
          <w:sz w:val="22"/>
          <w:szCs w:val="22"/>
          <w:lang w:eastAsia="en-US"/>
        </w:rPr>
      </w:pPr>
      <w:r w:rsidRPr="0059572A">
        <w:rPr>
          <w:rFonts w:ascii="Arial" w:hAnsi="Arial"/>
          <w:b/>
          <w:color w:val="000000" w:themeColor="text1"/>
          <w:sz w:val="22"/>
          <w:szCs w:val="22"/>
          <w:lang w:eastAsia="en-US"/>
        </w:rPr>
        <w:t>Water Sensitive Urban Design (WSUD) Landscape Works</w:t>
      </w:r>
    </w:p>
    <w:p w:rsidR="0059572A" w:rsidRPr="0059572A" w:rsidRDefault="0059572A" w:rsidP="0059572A">
      <w:pPr>
        <w:ind w:left="567" w:hanging="567"/>
        <w:jc w:val="both"/>
        <w:rPr>
          <w:rFonts w:ascii="Arial" w:hAnsi="Arial"/>
          <w:color w:val="000000" w:themeColor="text1"/>
          <w:sz w:val="22"/>
          <w:szCs w:val="22"/>
          <w:lang w:eastAsia="en-US"/>
        </w:rPr>
      </w:pPr>
      <w:r w:rsidRPr="0059572A">
        <w:rPr>
          <w:rFonts w:ascii="Arial" w:hAnsi="Arial"/>
          <w:color w:val="000000" w:themeColor="text1"/>
          <w:sz w:val="22"/>
          <w:szCs w:val="22"/>
          <w:lang w:eastAsia="en-US"/>
        </w:rPr>
        <w:t>8.</w:t>
      </w:r>
      <w:r w:rsidRPr="0059572A">
        <w:rPr>
          <w:rFonts w:ascii="Arial" w:hAnsi="Arial"/>
          <w:color w:val="000000" w:themeColor="text1"/>
          <w:sz w:val="22"/>
          <w:szCs w:val="22"/>
          <w:lang w:eastAsia="en-US"/>
        </w:rPr>
        <w:tab/>
        <w:t xml:space="preserve">The Water Sensitive Urban Design works </w:t>
      </w:r>
      <w:r w:rsidRPr="0059572A">
        <w:rPr>
          <w:rFonts w:ascii="Arial" w:hAnsi="Arial"/>
          <w:color w:val="000000" w:themeColor="text1"/>
          <w:sz w:val="22"/>
          <w:lang w:eastAsia="en-US"/>
        </w:rPr>
        <w:t xml:space="preserve">in accordance with the Stormwater Management Plan </w:t>
      </w:r>
      <w:r w:rsidRPr="0059572A">
        <w:rPr>
          <w:rFonts w:ascii="Arial" w:hAnsi="Arial"/>
          <w:color w:val="000000" w:themeColor="text1"/>
          <w:sz w:val="22"/>
          <w:szCs w:val="22"/>
          <w:lang w:eastAsia="en-US"/>
        </w:rPr>
        <w:t xml:space="preserve">must be carried out and completed to the satisfaction of the Responsible Authority. </w:t>
      </w:r>
    </w:p>
    <w:p w:rsidR="0059572A" w:rsidRPr="0059572A" w:rsidRDefault="0059572A" w:rsidP="0059572A">
      <w:pPr>
        <w:ind w:left="567" w:hanging="567"/>
        <w:jc w:val="both"/>
        <w:rPr>
          <w:rFonts w:ascii="Arial" w:hAnsi="Arial"/>
          <w:color w:val="000000" w:themeColor="text1"/>
          <w:sz w:val="22"/>
          <w:szCs w:val="22"/>
          <w:lang w:eastAsia="en-US"/>
        </w:rPr>
      </w:pPr>
    </w:p>
    <w:p w:rsidR="0059572A" w:rsidRPr="0059572A" w:rsidRDefault="0059572A" w:rsidP="0059572A">
      <w:pPr>
        <w:ind w:left="567" w:hanging="567"/>
        <w:jc w:val="both"/>
        <w:rPr>
          <w:rFonts w:ascii="Arial" w:hAnsi="Arial"/>
          <w:color w:val="000000" w:themeColor="text1"/>
          <w:sz w:val="22"/>
          <w:szCs w:val="22"/>
          <w:lang w:eastAsia="en-US"/>
        </w:rPr>
      </w:pPr>
      <w:r w:rsidRPr="0059572A">
        <w:rPr>
          <w:rFonts w:ascii="Arial" w:hAnsi="Arial"/>
          <w:color w:val="000000" w:themeColor="text1"/>
          <w:sz w:val="22"/>
          <w:szCs w:val="22"/>
          <w:lang w:eastAsia="en-US"/>
        </w:rPr>
        <w:tab/>
        <w:t>Practical Completion for the WSUD works can only be awarded subject to:</w:t>
      </w:r>
    </w:p>
    <w:p w:rsidR="0059572A" w:rsidRPr="0059572A" w:rsidRDefault="0059572A" w:rsidP="0059572A">
      <w:pPr>
        <w:ind w:left="567" w:hanging="567"/>
        <w:jc w:val="both"/>
        <w:rPr>
          <w:rFonts w:ascii="Arial" w:hAnsi="Arial"/>
          <w:color w:val="000000" w:themeColor="text1"/>
          <w:sz w:val="22"/>
          <w:szCs w:val="22"/>
          <w:lang w:eastAsia="en-US"/>
        </w:rPr>
      </w:pPr>
    </w:p>
    <w:p w:rsidR="0059572A" w:rsidRPr="0059572A" w:rsidRDefault="0059572A" w:rsidP="0059572A">
      <w:pPr>
        <w:ind w:left="1134" w:hanging="567"/>
        <w:jc w:val="both"/>
        <w:rPr>
          <w:rFonts w:ascii="Arial" w:hAnsi="Arial"/>
          <w:color w:val="000000" w:themeColor="text1"/>
          <w:sz w:val="22"/>
          <w:lang w:eastAsia="en-US"/>
        </w:rPr>
      </w:pPr>
      <w:r w:rsidRPr="0059572A">
        <w:rPr>
          <w:rFonts w:ascii="Arial" w:hAnsi="Arial"/>
          <w:color w:val="000000" w:themeColor="text1"/>
          <w:sz w:val="22"/>
          <w:lang w:eastAsia="en-US"/>
        </w:rPr>
        <w:t>a)</w:t>
      </w:r>
      <w:r w:rsidRPr="0059572A">
        <w:rPr>
          <w:rFonts w:ascii="Arial" w:hAnsi="Arial"/>
          <w:color w:val="000000" w:themeColor="text1"/>
          <w:sz w:val="22"/>
          <w:lang w:eastAsia="en-US"/>
        </w:rPr>
        <w:tab/>
        <w:t>civil works within the treatment device being issued Practical Completion; and</w:t>
      </w:r>
    </w:p>
    <w:p w:rsidR="0059572A" w:rsidRPr="0059572A" w:rsidRDefault="0059572A" w:rsidP="0059572A">
      <w:pPr>
        <w:ind w:left="1134" w:hanging="567"/>
        <w:jc w:val="both"/>
        <w:rPr>
          <w:rFonts w:ascii="Arial" w:hAnsi="Arial"/>
          <w:color w:val="000000" w:themeColor="text1"/>
          <w:sz w:val="22"/>
          <w:lang w:eastAsia="en-US"/>
        </w:rPr>
      </w:pPr>
      <w:r w:rsidRPr="0059572A">
        <w:rPr>
          <w:rFonts w:ascii="Arial" w:hAnsi="Arial"/>
          <w:color w:val="000000" w:themeColor="text1"/>
          <w:sz w:val="22"/>
          <w:lang w:eastAsia="en-US"/>
        </w:rPr>
        <w:t>b)</w:t>
      </w:r>
      <w:r w:rsidRPr="0059572A">
        <w:rPr>
          <w:rFonts w:ascii="Arial" w:hAnsi="Arial"/>
          <w:color w:val="000000" w:themeColor="text1"/>
          <w:sz w:val="22"/>
          <w:lang w:eastAsia="en-US"/>
        </w:rPr>
        <w:tab/>
        <w:t>landscape works within the treatment device being completed; and</w:t>
      </w:r>
    </w:p>
    <w:p w:rsidR="0059572A" w:rsidRPr="0059572A" w:rsidRDefault="0059572A" w:rsidP="0059572A">
      <w:pPr>
        <w:ind w:left="1134" w:hanging="567"/>
        <w:jc w:val="both"/>
        <w:rPr>
          <w:rFonts w:ascii="Arial" w:hAnsi="Arial"/>
          <w:color w:val="000000" w:themeColor="text1"/>
          <w:sz w:val="22"/>
          <w:lang w:eastAsia="en-US"/>
        </w:rPr>
      </w:pPr>
      <w:r w:rsidRPr="0059572A">
        <w:rPr>
          <w:rFonts w:ascii="Arial" w:hAnsi="Arial"/>
          <w:color w:val="000000" w:themeColor="text1"/>
          <w:sz w:val="22"/>
          <w:lang w:eastAsia="en-US"/>
        </w:rPr>
        <w:t>c)</w:t>
      </w:r>
      <w:r w:rsidRPr="0059572A">
        <w:rPr>
          <w:rFonts w:ascii="Arial" w:hAnsi="Arial"/>
          <w:color w:val="000000" w:themeColor="text1"/>
          <w:sz w:val="22"/>
          <w:lang w:eastAsia="en-US"/>
        </w:rPr>
        <w:tab/>
        <w:t>the final stage of the development draining to that treatment device is issued Statement of Compliance; and</w:t>
      </w:r>
    </w:p>
    <w:p w:rsidR="0059572A" w:rsidRPr="0059572A" w:rsidRDefault="0059572A" w:rsidP="0059572A">
      <w:pPr>
        <w:ind w:left="1134" w:hanging="567"/>
        <w:jc w:val="both"/>
        <w:rPr>
          <w:rFonts w:ascii="Arial" w:hAnsi="Arial"/>
          <w:color w:val="000000" w:themeColor="text1"/>
          <w:sz w:val="22"/>
          <w:lang w:eastAsia="en-US"/>
        </w:rPr>
      </w:pPr>
      <w:r w:rsidRPr="0059572A">
        <w:rPr>
          <w:rFonts w:ascii="Arial" w:hAnsi="Arial"/>
          <w:color w:val="000000" w:themeColor="text1"/>
          <w:sz w:val="22"/>
          <w:lang w:eastAsia="en-US"/>
        </w:rPr>
        <w:lastRenderedPageBreak/>
        <w:t>d)</w:t>
      </w:r>
      <w:r w:rsidRPr="0059572A">
        <w:rPr>
          <w:rFonts w:ascii="Arial" w:hAnsi="Arial"/>
          <w:color w:val="000000" w:themeColor="text1"/>
          <w:sz w:val="22"/>
          <w:lang w:eastAsia="en-US"/>
        </w:rPr>
        <w:tab/>
        <w:t>a relevant maintenance bond is in place for the planting works</w:t>
      </w:r>
    </w:p>
    <w:p w:rsidR="0059572A" w:rsidRPr="0059572A" w:rsidRDefault="0059572A" w:rsidP="0059572A">
      <w:pPr>
        <w:ind w:left="567" w:hanging="567"/>
        <w:jc w:val="both"/>
        <w:rPr>
          <w:rFonts w:ascii="Arial" w:hAnsi="Arial"/>
          <w:color w:val="000000" w:themeColor="text1"/>
          <w:sz w:val="22"/>
          <w:szCs w:val="22"/>
          <w:lang w:eastAsia="en-US"/>
        </w:rPr>
      </w:pPr>
    </w:p>
    <w:p w:rsidR="0059572A" w:rsidRPr="0059572A" w:rsidRDefault="0059572A" w:rsidP="0059572A">
      <w:pPr>
        <w:ind w:left="567" w:hanging="567"/>
        <w:jc w:val="both"/>
        <w:rPr>
          <w:rFonts w:ascii="Arial" w:hAnsi="Arial"/>
          <w:color w:val="000000" w:themeColor="text1"/>
          <w:sz w:val="22"/>
          <w:szCs w:val="22"/>
          <w:lang w:eastAsia="en-US"/>
        </w:rPr>
      </w:pPr>
      <w:r w:rsidRPr="0059572A">
        <w:rPr>
          <w:rFonts w:ascii="Arial" w:hAnsi="Arial"/>
          <w:color w:val="000000" w:themeColor="text1"/>
          <w:sz w:val="22"/>
          <w:szCs w:val="22"/>
          <w:lang w:eastAsia="en-US"/>
        </w:rPr>
        <w:tab/>
        <w:t>A Practical Completion inspection is required and must be arranged by the permit holder with two weeks notice provided for onsite inspections. Any incomplete landscape works bond for WSUD will be returned on award of practical completion.</w:t>
      </w:r>
    </w:p>
    <w:p w:rsidR="0059572A" w:rsidRPr="0059572A" w:rsidRDefault="0059572A" w:rsidP="0059572A">
      <w:pPr>
        <w:ind w:left="567" w:hanging="567"/>
        <w:jc w:val="both"/>
        <w:rPr>
          <w:rFonts w:ascii="Arial" w:hAnsi="Arial"/>
          <w:color w:val="000000" w:themeColor="text1"/>
          <w:sz w:val="22"/>
          <w:szCs w:val="22"/>
          <w:lang w:eastAsia="en-US"/>
        </w:rPr>
      </w:pPr>
    </w:p>
    <w:p w:rsidR="0059572A" w:rsidRPr="0059572A" w:rsidRDefault="0059572A" w:rsidP="0059572A">
      <w:pPr>
        <w:ind w:left="567" w:hanging="567"/>
        <w:jc w:val="both"/>
        <w:rPr>
          <w:rFonts w:ascii="Arial" w:hAnsi="Arial"/>
          <w:b/>
          <w:color w:val="000000" w:themeColor="text1"/>
          <w:sz w:val="22"/>
          <w:szCs w:val="22"/>
          <w:lang w:eastAsia="en-US"/>
        </w:rPr>
      </w:pPr>
      <w:r w:rsidRPr="0059572A">
        <w:rPr>
          <w:rFonts w:ascii="Arial" w:hAnsi="Arial"/>
          <w:b/>
          <w:color w:val="000000" w:themeColor="text1"/>
          <w:sz w:val="22"/>
          <w:szCs w:val="22"/>
          <w:lang w:eastAsia="en-US"/>
        </w:rPr>
        <w:t>Water Sensitive Urban Design (WSUD) Maintenance</w:t>
      </w:r>
    </w:p>
    <w:p w:rsidR="0059572A" w:rsidRPr="0059572A" w:rsidRDefault="0059572A" w:rsidP="0059572A">
      <w:pPr>
        <w:ind w:left="567" w:hanging="567"/>
        <w:jc w:val="both"/>
        <w:rPr>
          <w:rFonts w:ascii="Arial" w:hAnsi="Arial"/>
          <w:color w:val="000000" w:themeColor="text1"/>
          <w:sz w:val="22"/>
          <w:szCs w:val="22"/>
          <w:lang w:eastAsia="en-US"/>
        </w:rPr>
      </w:pPr>
      <w:r w:rsidRPr="0059572A">
        <w:rPr>
          <w:rFonts w:ascii="Arial" w:hAnsi="Arial"/>
          <w:color w:val="000000" w:themeColor="text1"/>
          <w:sz w:val="22"/>
          <w:szCs w:val="22"/>
          <w:lang w:eastAsia="en-US"/>
        </w:rPr>
        <w:t>9.</w:t>
      </w:r>
      <w:r w:rsidRPr="0059572A">
        <w:rPr>
          <w:rFonts w:ascii="Arial" w:hAnsi="Arial"/>
          <w:color w:val="000000" w:themeColor="text1"/>
          <w:sz w:val="22"/>
          <w:szCs w:val="22"/>
          <w:lang w:eastAsia="en-US"/>
        </w:rPr>
        <w:tab/>
        <w:t xml:space="preserve">Water Sensitive Urban Design works must be maintained in accordance with Council’s Landscape Standards Manual (June 2013), or any replacement landscape standard guidelines or manual which may be adopted by the Council, to the satisfaction of the responsible authority until: </w:t>
      </w:r>
    </w:p>
    <w:p w:rsidR="0059572A" w:rsidRPr="0059572A" w:rsidRDefault="0059572A" w:rsidP="0059572A">
      <w:pPr>
        <w:ind w:left="567" w:hanging="567"/>
        <w:jc w:val="both"/>
        <w:rPr>
          <w:rFonts w:ascii="Arial" w:hAnsi="Arial"/>
          <w:color w:val="000000" w:themeColor="text1"/>
          <w:sz w:val="22"/>
          <w:szCs w:val="22"/>
          <w:lang w:eastAsia="en-US"/>
        </w:rPr>
      </w:pPr>
    </w:p>
    <w:p w:rsidR="0059572A" w:rsidRPr="0059572A" w:rsidRDefault="0059572A" w:rsidP="0059572A">
      <w:pPr>
        <w:ind w:left="1134" w:hanging="567"/>
        <w:jc w:val="both"/>
        <w:rPr>
          <w:rFonts w:ascii="Arial" w:hAnsi="Arial"/>
          <w:color w:val="000000" w:themeColor="text1"/>
          <w:sz w:val="22"/>
          <w:lang w:eastAsia="en-US"/>
        </w:rPr>
      </w:pPr>
      <w:r w:rsidRPr="0059572A">
        <w:rPr>
          <w:rFonts w:ascii="Arial" w:hAnsi="Arial"/>
          <w:color w:val="000000" w:themeColor="text1"/>
          <w:sz w:val="22"/>
          <w:lang w:eastAsia="en-US"/>
        </w:rPr>
        <w:t>a)</w:t>
      </w:r>
      <w:r w:rsidRPr="0059572A">
        <w:rPr>
          <w:rFonts w:ascii="Arial" w:hAnsi="Arial"/>
          <w:color w:val="000000" w:themeColor="text1"/>
          <w:sz w:val="22"/>
          <w:lang w:eastAsia="en-US"/>
        </w:rPr>
        <w:tab/>
        <w:t>the end of a period of no less than two (2) years from the date of practical completion of the landscaping unless otherwise agreed in writing by the responsible authority; or</w:t>
      </w:r>
    </w:p>
    <w:p w:rsidR="0059572A" w:rsidRPr="0059572A" w:rsidRDefault="0059572A" w:rsidP="0059572A">
      <w:pPr>
        <w:ind w:left="1134" w:hanging="567"/>
        <w:jc w:val="both"/>
        <w:rPr>
          <w:rFonts w:ascii="Arial" w:hAnsi="Arial"/>
          <w:color w:val="000000" w:themeColor="text1"/>
          <w:sz w:val="22"/>
          <w:lang w:eastAsia="en-US"/>
        </w:rPr>
      </w:pPr>
      <w:r w:rsidRPr="0059572A">
        <w:rPr>
          <w:rFonts w:ascii="Arial" w:hAnsi="Arial"/>
          <w:color w:val="000000" w:themeColor="text1"/>
          <w:sz w:val="22"/>
          <w:lang w:eastAsia="en-US"/>
        </w:rPr>
        <w:t>b)</w:t>
      </w:r>
      <w:r w:rsidRPr="0059572A">
        <w:rPr>
          <w:rFonts w:ascii="Arial" w:hAnsi="Arial"/>
          <w:color w:val="000000" w:themeColor="text1"/>
          <w:sz w:val="22"/>
          <w:lang w:eastAsia="en-US"/>
        </w:rPr>
        <w:tab/>
        <w:t>Statement of Compliance is issued for the final stage of the development draining to that treatment device;</w:t>
      </w:r>
    </w:p>
    <w:p w:rsidR="0059572A" w:rsidRPr="0059572A" w:rsidRDefault="0059572A" w:rsidP="0059572A">
      <w:pPr>
        <w:ind w:left="1134" w:hanging="567"/>
        <w:jc w:val="both"/>
        <w:rPr>
          <w:rFonts w:ascii="Arial" w:hAnsi="Arial"/>
          <w:color w:val="000000" w:themeColor="text1"/>
          <w:sz w:val="22"/>
          <w:lang w:eastAsia="en-US"/>
        </w:rPr>
      </w:pPr>
    </w:p>
    <w:p w:rsidR="0059572A" w:rsidRPr="0059572A" w:rsidRDefault="0059572A" w:rsidP="0059572A">
      <w:pPr>
        <w:ind w:left="1134" w:hanging="567"/>
        <w:jc w:val="both"/>
        <w:rPr>
          <w:rFonts w:ascii="Arial" w:hAnsi="Arial"/>
          <w:color w:val="000000" w:themeColor="text1"/>
          <w:sz w:val="22"/>
          <w:lang w:eastAsia="en-US"/>
        </w:rPr>
      </w:pPr>
      <w:r w:rsidRPr="0059572A">
        <w:rPr>
          <w:rFonts w:ascii="Arial" w:hAnsi="Arial"/>
          <w:color w:val="000000" w:themeColor="text1"/>
          <w:sz w:val="22"/>
          <w:lang w:eastAsia="en-US"/>
        </w:rPr>
        <w:t>whichever is the latter.</w:t>
      </w:r>
    </w:p>
    <w:p w:rsidR="0059572A" w:rsidRPr="0059572A" w:rsidRDefault="0059572A" w:rsidP="0059572A">
      <w:pPr>
        <w:ind w:left="567" w:hanging="567"/>
        <w:jc w:val="both"/>
        <w:rPr>
          <w:rFonts w:ascii="Arial" w:hAnsi="Arial"/>
          <w:color w:val="000000" w:themeColor="text1"/>
          <w:sz w:val="22"/>
          <w:szCs w:val="22"/>
          <w:lang w:eastAsia="en-US"/>
        </w:rPr>
      </w:pPr>
    </w:p>
    <w:p w:rsidR="0059572A" w:rsidRPr="0059572A" w:rsidRDefault="0059572A" w:rsidP="0059572A">
      <w:pPr>
        <w:ind w:left="567" w:hanging="567"/>
        <w:jc w:val="both"/>
        <w:rPr>
          <w:rFonts w:ascii="Arial" w:hAnsi="Arial"/>
          <w:color w:val="000000" w:themeColor="text1"/>
          <w:sz w:val="22"/>
          <w:szCs w:val="22"/>
          <w:lang w:eastAsia="en-US"/>
        </w:rPr>
      </w:pPr>
      <w:r w:rsidRPr="0059572A">
        <w:rPr>
          <w:rFonts w:ascii="Arial" w:hAnsi="Arial"/>
          <w:color w:val="000000" w:themeColor="text1"/>
          <w:sz w:val="22"/>
          <w:szCs w:val="22"/>
          <w:lang w:eastAsia="en-US"/>
        </w:rPr>
        <w:tab/>
        <w:t>A Handover inspection is required and must be organised by the permit holder with two weeks notice given for onsite inspections. No handovers will be accepted during summer months from 1 December to 29 February inclusive. Any landscape maintenance bond for WSUD will be returned on award of Handover.</w:t>
      </w:r>
    </w:p>
    <w:p w:rsidR="0059572A" w:rsidRPr="0059572A" w:rsidRDefault="0059572A" w:rsidP="0059572A">
      <w:pPr>
        <w:ind w:left="567" w:hanging="567"/>
        <w:jc w:val="both"/>
        <w:rPr>
          <w:rFonts w:ascii="Arial" w:hAnsi="Arial"/>
          <w:color w:val="000000" w:themeColor="text1"/>
          <w:sz w:val="22"/>
          <w:szCs w:val="22"/>
          <w:lang w:eastAsia="en-US"/>
        </w:rPr>
      </w:pPr>
    </w:p>
    <w:p w:rsidR="0059572A" w:rsidRPr="0059572A" w:rsidRDefault="0059572A" w:rsidP="0059572A">
      <w:pPr>
        <w:ind w:left="567" w:hanging="567"/>
        <w:jc w:val="both"/>
        <w:rPr>
          <w:rFonts w:ascii="Arial" w:hAnsi="Arial"/>
          <w:b/>
          <w:color w:val="000000" w:themeColor="text1"/>
          <w:sz w:val="22"/>
          <w:szCs w:val="22"/>
          <w:lang w:eastAsia="en-US"/>
        </w:rPr>
      </w:pPr>
      <w:r w:rsidRPr="0059572A">
        <w:rPr>
          <w:rFonts w:ascii="Arial" w:hAnsi="Arial"/>
          <w:b/>
          <w:color w:val="000000" w:themeColor="text1"/>
          <w:sz w:val="22"/>
          <w:szCs w:val="22"/>
          <w:lang w:eastAsia="en-US"/>
        </w:rPr>
        <w:t>Engineering Drainage Management Plan</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10.</w:t>
      </w:r>
      <w:r w:rsidRPr="0059572A">
        <w:rPr>
          <w:rFonts w:ascii="Arial" w:hAnsi="Arial"/>
          <w:sz w:val="22"/>
          <w:szCs w:val="22"/>
          <w:lang w:eastAsia="en-US"/>
        </w:rPr>
        <w:tab/>
        <w:t>Unless otherwise agreed in writing by the Responsible Authority, all works must be generally in accordance with the following BMT WBM report:</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1134" w:hanging="567"/>
        <w:jc w:val="both"/>
        <w:rPr>
          <w:rFonts w:ascii="Arial" w:hAnsi="Arial" w:cs="Arial"/>
          <w:sz w:val="22"/>
          <w:szCs w:val="22"/>
          <w:lang w:eastAsia="en-US"/>
        </w:rPr>
      </w:pPr>
      <w:r w:rsidRPr="0059572A">
        <w:rPr>
          <w:rFonts w:ascii="Arial" w:hAnsi="Arial" w:cs="Arial"/>
          <w:sz w:val="22"/>
          <w:szCs w:val="22"/>
          <w:lang w:eastAsia="en-US"/>
        </w:rPr>
        <w:t xml:space="preserve">a) </w:t>
      </w:r>
      <w:r w:rsidRPr="0059572A">
        <w:rPr>
          <w:rFonts w:ascii="Arial" w:hAnsi="Arial" w:cs="Arial"/>
          <w:sz w:val="22"/>
          <w:szCs w:val="22"/>
          <w:lang w:eastAsia="en-US"/>
        </w:rPr>
        <w:tab/>
        <w:t>Proposed development of Caddy’s Road, Lara – Flood Impact Assessment, Reference R.M20250.003.00. ModellingAddendum2.docx, dated 20/6/2016</w:t>
      </w:r>
    </w:p>
    <w:p w:rsidR="0059572A" w:rsidRPr="0059572A" w:rsidRDefault="0059572A" w:rsidP="0059572A">
      <w:pPr>
        <w:ind w:left="1134" w:hanging="567"/>
        <w:jc w:val="both"/>
        <w:rPr>
          <w:rFonts w:ascii="Arial" w:hAnsi="Arial" w:cs="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Stormwater Management Design Plans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11.</w:t>
      </w:r>
      <w:r w:rsidRPr="0059572A">
        <w:rPr>
          <w:rFonts w:ascii="Arial" w:hAnsi="Arial"/>
          <w:sz w:val="22"/>
          <w:szCs w:val="22"/>
          <w:lang w:eastAsia="en-US"/>
        </w:rPr>
        <w:tab/>
        <w:t>Prior to works commencing, a detailed Site Stormwater Management Plan must be submitted to and approved by the Responsible Authority. When approved the Site Stormwater Management Plan will form part of this permit. The plan must include, but is not limited to, detailed hydrological, hydraulic and water quality treatment analysis to the satisfaction of the Responsible Authority. The stormwater drainage system on the site must be designed in accordance with any Precinct Structure Plan and/or previously endorsed Drainage Strategy for the site, and such that stormwater runoff exiting the land meets the current best practice performance objectives for stormwater quality, as contained in the Urban Stormwater Best Practice Environmental Management Guidelines (Victorian Stormwater Committee, 1999) as follows:</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 xml:space="preserve">a) </w:t>
      </w:r>
      <w:r w:rsidRPr="0059572A">
        <w:rPr>
          <w:rFonts w:ascii="Arial" w:hAnsi="Arial"/>
          <w:sz w:val="22"/>
          <w:lang w:eastAsia="en-US"/>
        </w:rPr>
        <w:tab/>
        <w:t>80% retention of the typical annual load of suspended solids;</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b)</w:t>
      </w:r>
      <w:r w:rsidRPr="0059572A">
        <w:rPr>
          <w:rFonts w:ascii="Arial" w:hAnsi="Arial"/>
          <w:sz w:val="22"/>
          <w:lang w:eastAsia="en-US"/>
        </w:rPr>
        <w:tab/>
        <w:t>45% retention of the typical annual load of total phosphorous;</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c)</w:t>
      </w:r>
      <w:r w:rsidRPr="0059572A">
        <w:rPr>
          <w:rFonts w:ascii="Arial" w:hAnsi="Arial"/>
          <w:sz w:val="22"/>
          <w:lang w:eastAsia="en-US"/>
        </w:rPr>
        <w:tab/>
        <w:t>45% retention of the typical annual load of total nitrogen; and</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d)</w:t>
      </w:r>
      <w:r w:rsidRPr="0059572A">
        <w:rPr>
          <w:rFonts w:ascii="Arial" w:hAnsi="Arial"/>
          <w:sz w:val="22"/>
          <w:lang w:eastAsia="en-US"/>
        </w:rPr>
        <w:tab/>
        <w:t>70% retention of the typical annual load of gross pollutants.</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 xml:space="preserve"> </w:t>
      </w:r>
    </w:p>
    <w:p w:rsidR="00481FA6" w:rsidRDefault="00481FA6">
      <w:pPr>
        <w:rPr>
          <w:rFonts w:ascii="Arial" w:hAnsi="Arial"/>
          <w:b/>
          <w:sz w:val="22"/>
          <w:szCs w:val="22"/>
          <w:lang w:eastAsia="en-US"/>
        </w:rPr>
      </w:pPr>
      <w:r>
        <w:rPr>
          <w:rFonts w:ascii="Arial" w:hAnsi="Arial"/>
          <w:b/>
          <w:sz w:val="22"/>
          <w:szCs w:val="22"/>
          <w:lang w:eastAsia="en-US"/>
        </w:rPr>
        <w:br w:type="page"/>
      </w: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Construction of the Stormwater Management System</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12.</w:t>
      </w:r>
      <w:r w:rsidRPr="0059572A">
        <w:rPr>
          <w:rFonts w:ascii="Arial" w:hAnsi="Arial"/>
          <w:sz w:val="22"/>
          <w:szCs w:val="22"/>
          <w:lang w:eastAsia="en-US"/>
        </w:rPr>
        <w:tab/>
        <w:t>Prior to Statement of Compliance, a stormwater drainage system including detention basin must be constructed within easements, drainage reserve and/or road reserves to cater for all lots, roads, streets and courts created by the subdivision in accordance with approved plans to the satisfaction of the Responsible Authority.</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Creation of Easements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13.</w:t>
      </w:r>
      <w:r w:rsidRPr="0059572A">
        <w:rPr>
          <w:rFonts w:ascii="Arial" w:hAnsi="Arial"/>
          <w:sz w:val="22"/>
          <w:szCs w:val="22"/>
          <w:lang w:eastAsia="en-US"/>
        </w:rPr>
        <w:tab/>
        <w:t>The Plan of Subdivision submitted for certification must include all easements deemed necessary to protect existing or future drainage lines within the subject site, and any easements required between the subject site and the nominated legal point of discharge must be created to the satisfaction of the Responsible Authority.</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14.</w:t>
      </w:r>
      <w:r w:rsidRPr="0059572A">
        <w:rPr>
          <w:rFonts w:ascii="Arial" w:hAnsi="Arial"/>
          <w:sz w:val="22"/>
          <w:szCs w:val="22"/>
          <w:lang w:eastAsia="en-US"/>
        </w:rPr>
        <w:tab/>
        <w:t>The Plan of Subdivision submitted for certification must include an easement 5.5m wide along the southern boundary of the balance of land to accord with the Caddy’s Road, Flood Impact Assessment from Flinders Avenue to the boundary of 40-46 Caddys Road to the satisfaction of the Responsible Authority.</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Functional Layout Plan</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15.</w:t>
      </w:r>
      <w:r w:rsidRPr="0059572A">
        <w:rPr>
          <w:rFonts w:ascii="Arial" w:hAnsi="Arial"/>
          <w:sz w:val="22"/>
          <w:szCs w:val="22"/>
          <w:lang w:eastAsia="en-US"/>
        </w:rPr>
        <w:tab/>
        <w:t>Prior to Statement of Compliance, a detailed Functional Layout Plan of the subdivision must be submitted to and approved by the Responsible Authority. The plan is to include, but is not limited to:</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a)</w:t>
      </w:r>
      <w:r w:rsidRPr="0059572A">
        <w:rPr>
          <w:rFonts w:ascii="Arial" w:hAnsi="Arial"/>
          <w:sz w:val="22"/>
          <w:lang w:eastAsia="en-US"/>
        </w:rPr>
        <w:tab/>
        <w:t xml:space="preserve">Maintenance vehicle access points; </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b)</w:t>
      </w:r>
      <w:r w:rsidRPr="0059572A">
        <w:rPr>
          <w:rFonts w:ascii="Arial" w:hAnsi="Arial"/>
          <w:sz w:val="22"/>
          <w:lang w:eastAsia="en-US"/>
        </w:rPr>
        <w:tab/>
        <w:t>Maintenance vehicle access tracks;</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c)</w:t>
      </w:r>
      <w:r w:rsidRPr="0059572A">
        <w:rPr>
          <w:rFonts w:ascii="Arial" w:hAnsi="Arial"/>
          <w:sz w:val="22"/>
          <w:lang w:eastAsia="en-US"/>
        </w:rPr>
        <w:tab/>
        <w:t>Tree protection measures;</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d)</w:t>
      </w:r>
      <w:r w:rsidRPr="0059572A">
        <w:rPr>
          <w:rFonts w:ascii="Arial" w:hAnsi="Arial"/>
          <w:sz w:val="22"/>
          <w:lang w:eastAsia="en-US"/>
        </w:rPr>
        <w:tab/>
        <w:t>Existing and proposed street signs;</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e)</w:t>
      </w:r>
      <w:r w:rsidRPr="0059572A">
        <w:rPr>
          <w:rFonts w:ascii="Arial" w:hAnsi="Arial"/>
          <w:sz w:val="22"/>
          <w:lang w:eastAsia="en-US"/>
        </w:rPr>
        <w:tab/>
        <w:t>Existing and proposed linemarking changes:</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d)</w:t>
      </w:r>
      <w:r w:rsidRPr="0059572A">
        <w:rPr>
          <w:rFonts w:ascii="Arial" w:hAnsi="Arial"/>
          <w:sz w:val="22"/>
          <w:lang w:eastAsia="en-US"/>
        </w:rPr>
        <w:tab/>
        <w:t>Road, drainage, footpaths assets and utility installation offsets;</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e)</w:t>
      </w:r>
      <w:r w:rsidRPr="0059572A">
        <w:rPr>
          <w:rFonts w:ascii="Arial" w:hAnsi="Arial"/>
          <w:sz w:val="22"/>
          <w:lang w:eastAsia="en-US"/>
        </w:rPr>
        <w:tab/>
        <w:t>Further, temporary access, movement and/or alternative solution shall be catered for to allow access for waste removal of dwellings in Firetail Way while road construction is being undertaken.</w:t>
      </w:r>
    </w:p>
    <w:p w:rsidR="0059572A" w:rsidRPr="0059572A" w:rsidRDefault="0059572A" w:rsidP="0059572A">
      <w:pPr>
        <w:jc w:val="both"/>
        <w:rPr>
          <w:rFonts w:ascii="Arial" w:hAnsi="Arial" w:cs="Arial"/>
          <w:sz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Civil Maintenance Bond</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16.</w:t>
      </w:r>
      <w:r w:rsidRPr="0059572A">
        <w:rPr>
          <w:rFonts w:ascii="Arial" w:hAnsi="Arial"/>
          <w:sz w:val="22"/>
          <w:szCs w:val="22"/>
          <w:lang w:eastAsia="en-US"/>
        </w:rPr>
        <w:tab/>
        <w:t>Prior to Statement of Compliance, a civil works maintenance bond of 5% of the cost of the works must be paid to the Council. The bond will be returned after successful completion of the relevant maintenance period.</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Revocation of Flood Prone Areas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17.</w:t>
      </w:r>
      <w:r w:rsidRPr="0059572A">
        <w:rPr>
          <w:rFonts w:ascii="Arial" w:hAnsi="Arial"/>
          <w:sz w:val="22"/>
          <w:szCs w:val="22"/>
          <w:lang w:eastAsia="en-US"/>
        </w:rPr>
        <w:tab/>
        <w:t>Prior to Statement of Compliance, flood mapping is to be undertaken and submitted to the Responsible Authority to allow revocation of the flood prone designation for all lots covered by this permit.</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Street Signs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18.</w:t>
      </w:r>
      <w:r w:rsidRPr="0059572A">
        <w:rPr>
          <w:rFonts w:ascii="Arial" w:hAnsi="Arial"/>
          <w:sz w:val="22"/>
          <w:szCs w:val="22"/>
          <w:lang w:eastAsia="en-US"/>
        </w:rPr>
        <w:tab/>
        <w:t>Prior to Statement of Compliance, relevant street signs must be erected to the satisfaction of the Responsible Authority, including any signs required to prevent parking on the street on days of recycling and waste kerbside collections to allow the collection contractor to service the courts and streets.</w:t>
      </w:r>
    </w:p>
    <w:p w:rsidR="0059572A" w:rsidRPr="0059572A" w:rsidRDefault="0059572A" w:rsidP="0059572A">
      <w:pPr>
        <w:ind w:left="567" w:hanging="567"/>
        <w:jc w:val="both"/>
        <w:rPr>
          <w:rFonts w:ascii="Arial" w:hAnsi="Arial"/>
          <w:sz w:val="22"/>
          <w:szCs w:val="22"/>
          <w:lang w:eastAsia="en-US"/>
        </w:rPr>
      </w:pPr>
    </w:p>
    <w:p w:rsidR="00481FA6" w:rsidRDefault="00481FA6">
      <w:pPr>
        <w:rPr>
          <w:rFonts w:ascii="Arial" w:hAnsi="Arial"/>
          <w:b/>
          <w:sz w:val="22"/>
          <w:szCs w:val="22"/>
          <w:lang w:eastAsia="en-US"/>
        </w:rPr>
      </w:pPr>
      <w:r>
        <w:rPr>
          <w:rFonts w:ascii="Arial" w:hAnsi="Arial"/>
          <w:b/>
          <w:sz w:val="22"/>
          <w:szCs w:val="22"/>
          <w:lang w:eastAsia="en-US"/>
        </w:rPr>
        <w:br w:type="page"/>
      </w: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Street Lighting</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19.</w:t>
      </w:r>
      <w:r w:rsidRPr="0059572A">
        <w:rPr>
          <w:rFonts w:ascii="Arial" w:hAnsi="Arial"/>
          <w:sz w:val="22"/>
          <w:szCs w:val="22"/>
          <w:lang w:eastAsia="en-US"/>
        </w:rPr>
        <w:tab/>
        <w:t>Prior to Statement of Compliance, street lighting is to be provided within and abutting the subdivision to the satisfaction of the Responsible Authority and at the full cost of the subdivider.</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Fencing of Council Reserves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20.</w:t>
      </w:r>
      <w:r w:rsidRPr="0059572A">
        <w:rPr>
          <w:rFonts w:ascii="Arial" w:hAnsi="Arial"/>
          <w:sz w:val="22"/>
          <w:szCs w:val="22"/>
          <w:lang w:eastAsia="en-US"/>
        </w:rPr>
        <w:tab/>
        <w:t>Prior to Statement of Compliance, appropriate fencing and vehicle access barriers shall be erected abutting Council reserve to the satisfaction of the Responsible Authority and at no cost to Council.</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Disturbed Surfaces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21.</w:t>
      </w:r>
      <w:r w:rsidRPr="0059572A">
        <w:rPr>
          <w:rFonts w:ascii="Arial" w:hAnsi="Arial"/>
          <w:sz w:val="22"/>
          <w:szCs w:val="22"/>
          <w:lang w:eastAsia="en-US"/>
        </w:rPr>
        <w:tab/>
        <w:t>Prior to Statement of Compliance, all disturbed surfaces on the land authorised by this permit except those areas set aside for roadways and footpaths shall be dressed with topsoil and, where appropriate, re-vegetated and stabilised to the satisfaction of the Responsible Authority to prevent any erosion or siltation either on or adjacent to the land.</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Engineering Works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22.</w:t>
      </w:r>
      <w:r w:rsidRPr="0059572A">
        <w:rPr>
          <w:rFonts w:ascii="Arial" w:hAnsi="Arial"/>
          <w:sz w:val="22"/>
          <w:szCs w:val="22"/>
          <w:lang w:eastAsia="en-US"/>
        </w:rPr>
        <w:tab/>
        <w:t>The design and construction of the stormwater drainage connection into the existing Council infrastructure and any new council infrastructure must be approved and supervised by the Responsible Authority, to the satisfaction of the Responsible Authority.</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ab/>
        <w:t>A fee of 3.25% of the cost of the works must be paid to the Responsible Authority for the checking and supervision of these works. A maintenance bond of 5% of the cost of the works must be paid to the Responsible Authority and must be returned after successful completion of the relevant maintenance period.</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Topsoil Removal</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23.</w:t>
      </w:r>
      <w:r w:rsidRPr="0059572A">
        <w:rPr>
          <w:rFonts w:ascii="Arial" w:hAnsi="Arial"/>
          <w:sz w:val="22"/>
          <w:szCs w:val="22"/>
          <w:lang w:eastAsia="en-US"/>
        </w:rPr>
        <w:tab/>
        <w:t>No topsoil shall be removed from the land without the consent of the Responsible Authority and any topsoil disturbed as a result of works permitted by this permit shall be stockpiled on the site for later redressing of the land.</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Public Open Space Contribution</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24.</w:t>
      </w:r>
      <w:r w:rsidRPr="0059572A">
        <w:rPr>
          <w:rFonts w:ascii="Arial" w:hAnsi="Arial"/>
          <w:sz w:val="22"/>
          <w:szCs w:val="22"/>
          <w:lang w:eastAsia="en-US"/>
        </w:rPr>
        <w:tab/>
        <w:t>The owner of the subject land must pay to the Council a sum equivalent to ten (10) per cent of the site value of all of the land in the subdivision as a Public Open Space contribution pursuant to Section 18 of the Subdivision Act 1988. The contribution will be payable prior to the issue of a Statement of Compliance.</w:t>
      </w:r>
    </w:p>
    <w:p w:rsidR="0059572A" w:rsidRPr="0059572A" w:rsidRDefault="0059572A" w:rsidP="0059572A">
      <w:pPr>
        <w:ind w:left="567" w:hanging="567"/>
        <w:jc w:val="both"/>
        <w:rPr>
          <w:rFonts w:ascii="Arial" w:hAnsi="Arial"/>
          <w:b/>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Landscaping Plans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25.</w:t>
      </w:r>
      <w:r w:rsidRPr="0059572A">
        <w:rPr>
          <w:rFonts w:ascii="Arial" w:hAnsi="Arial"/>
          <w:sz w:val="22"/>
          <w:szCs w:val="22"/>
          <w:lang w:eastAsia="en-US"/>
        </w:rPr>
        <w:tab/>
        <w:t>Prior to the certification of the plan of subdivision, Landscape Plans for all landscape works on public lands, prepared by a qualified Landscape Architect who is a member of the Institute of Landscape Architects, must be submitted to and approved by the Responsible Authority. The plans must be generally in accordance with any approved Landscape Master Plan. When approved, the plans will be endorsed and will then form part of the permit. The landscape plans must provide detailed planting, construction and specification details for all of the proposed landscaping works on public reserves and roads. The landscape plan must show:</w:t>
      </w:r>
    </w:p>
    <w:p w:rsidR="0059572A" w:rsidRPr="0059572A" w:rsidRDefault="0059572A" w:rsidP="0059572A">
      <w:pPr>
        <w:ind w:left="567" w:hanging="567"/>
        <w:jc w:val="both"/>
        <w:rPr>
          <w:rFonts w:ascii="Arial" w:hAnsi="Arial"/>
          <w:sz w:val="22"/>
          <w:lang w:eastAsia="en-US"/>
        </w:rPr>
      </w:pP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a)</w:t>
      </w:r>
      <w:r w:rsidRPr="0059572A">
        <w:rPr>
          <w:rFonts w:ascii="Arial" w:hAnsi="Arial"/>
          <w:sz w:val="22"/>
          <w:lang w:eastAsia="en-US"/>
        </w:rPr>
        <w:tab/>
        <w:t>The layout of proposed new planting in all road reserves, reserves for municipal purposes and traffic management devices (e.g. medians, islands, and roundabouts).</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b)</w:t>
      </w:r>
      <w:r w:rsidRPr="0059572A">
        <w:rPr>
          <w:rFonts w:ascii="Arial" w:hAnsi="Arial"/>
          <w:sz w:val="22"/>
          <w:lang w:eastAsia="en-US"/>
        </w:rPr>
        <w:tab/>
        <w:t>Details of all other infrastructure within the road reserve and reserves for municipal purposes (e.g. underground services, street lights, stormwater pits, fire plugs etc).</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c)</w:t>
      </w:r>
      <w:r w:rsidRPr="0059572A">
        <w:rPr>
          <w:rFonts w:ascii="Arial" w:hAnsi="Arial"/>
          <w:sz w:val="22"/>
          <w:lang w:eastAsia="en-US"/>
        </w:rPr>
        <w:tab/>
        <w:t xml:space="preserve">A detailed planting schedule of all proposed trees and plants including botanical names, common </w:t>
      </w:r>
      <w:r w:rsidRPr="0059572A">
        <w:rPr>
          <w:rFonts w:ascii="Arial" w:hAnsi="Arial"/>
          <w:sz w:val="22"/>
          <w:lang w:eastAsia="en-US"/>
        </w:rPr>
        <w:tab/>
        <w:t>names, pot sizes, sizes at maturity and quantities for each species.</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d)</w:t>
      </w:r>
      <w:r w:rsidRPr="0059572A">
        <w:rPr>
          <w:rFonts w:ascii="Arial" w:hAnsi="Arial"/>
          <w:sz w:val="22"/>
          <w:lang w:eastAsia="en-US"/>
        </w:rPr>
        <w:tab/>
        <w:t>All proposed street tree planting using semi-advanced trees with a minimum container size of 45 litres.</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e)</w:t>
      </w:r>
      <w:r w:rsidRPr="0059572A">
        <w:rPr>
          <w:rFonts w:ascii="Arial" w:hAnsi="Arial"/>
          <w:sz w:val="22"/>
          <w:lang w:eastAsia="en-US"/>
        </w:rPr>
        <w:tab/>
        <w:t>Tree placement on secondary lot frontages using no more than two (2) trees that grow to an estimated size at maturity of no greater than 5 x 4m.</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f)</w:t>
      </w:r>
      <w:r w:rsidRPr="0059572A">
        <w:rPr>
          <w:rFonts w:ascii="Arial" w:hAnsi="Arial"/>
          <w:sz w:val="22"/>
          <w:lang w:eastAsia="en-US"/>
        </w:rPr>
        <w:tab/>
        <w:t>All proposed groundcover &amp; shrub planting with a minimum container size of 150mm.</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g)</w:t>
      </w:r>
      <w:r w:rsidRPr="0059572A">
        <w:rPr>
          <w:rFonts w:ascii="Arial" w:hAnsi="Arial"/>
          <w:sz w:val="22"/>
          <w:lang w:eastAsia="en-US"/>
        </w:rPr>
        <w:tab/>
        <w:t>The maintenance schedule for all proposed planting.</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h)</w:t>
      </w:r>
      <w:r w:rsidRPr="0059572A">
        <w:rPr>
          <w:rFonts w:ascii="Arial" w:hAnsi="Arial"/>
          <w:sz w:val="22"/>
          <w:lang w:eastAsia="en-US"/>
        </w:rPr>
        <w:tab/>
        <w:t>A footpath that connects Flinders Avenue with Firetail Way.</w:t>
      </w:r>
    </w:p>
    <w:p w:rsidR="0059572A" w:rsidRPr="0059572A" w:rsidRDefault="0059572A" w:rsidP="0059572A">
      <w:pPr>
        <w:ind w:left="1134" w:hanging="567"/>
        <w:jc w:val="both"/>
        <w:rPr>
          <w:rFonts w:ascii="Arial" w:hAnsi="Arial"/>
          <w:sz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Completion of Landscape Works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26.</w:t>
      </w:r>
      <w:r w:rsidRPr="0059572A">
        <w:rPr>
          <w:rFonts w:ascii="Arial" w:hAnsi="Arial"/>
          <w:sz w:val="22"/>
          <w:szCs w:val="22"/>
          <w:lang w:eastAsia="en-US"/>
        </w:rPr>
        <w:tab/>
        <w:t xml:space="preserve">Unless otherwise approved in writing by the Responsible Authority, prior to the issue of Statement of Compliance, all landscape works shown on the endorsed plans for the subdivision must be completed to the satisfaction of the Responsible Authority. </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ab/>
        <w:t>Where landscape works forming part of the endorsed plans are not completed to the satisfaction of the Responsible Authority, prior to the applicant seeking a Statement of Compliance for the subdivision, the developer may request the approved landscape plan to be appropriately bonded or covered by a bank guarantee. Estimates must be professionally costed and submitted to the Responsible Authority for approval, once approved the bonds or bank guarantees must be submitted to the Responsible Authority separately prior to Statement of Compliance being awarded.</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a)</w:t>
      </w:r>
      <w:r w:rsidRPr="0059572A">
        <w:rPr>
          <w:rFonts w:ascii="Arial" w:hAnsi="Arial"/>
          <w:sz w:val="22"/>
          <w:lang w:eastAsia="en-US"/>
        </w:rPr>
        <w:tab/>
        <w:t>The incomplete landscape works bond or bank guarantee must be 125 per cent of the estimated cost of incomplete streetscape works.</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b)</w:t>
      </w:r>
      <w:r w:rsidRPr="0059572A">
        <w:rPr>
          <w:rFonts w:ascii="Arial" w:hAnsi="Arial"/>
          <w:sz w:val="22"/>
          <w:lang w:eastAsia="en-US"/>
        </w:rPr>
        <w:tab/>
        <w:t>The maintenance bond or bank guarantee must be 100% of the estimated cost of maintenance activities for a two (2) year period.</w:t>
      </w:r>
    </w:p>
    <w:p w:rsidR="0059572A" w:rsidRPr="0059572A" w:rsidRDefault="0059572A" w:rsidP="0059572A">
      <w:pPr>
        <w:ind w:left="1134" w:hanging="567"/>
        <w:jc w:val="both"/>
        <w:rPr>
          <w:rFonts w:ascii="Arial" w:hAnsi="Arial"/>
          <w:sz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Maintenance of Landscape Works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27.</w:t>
      </w:r>
      <w:r w:rsidRPr="0059572A">
        <w:rPr>
          <w:rFonts w:ascii="Arial" w:hAnsi="Arial"/>
          <w:sz w:val="22"/>
          <w:szCs w:val="22"/>
          <w:lang w:eastAsia="en-US"/>
        </w:rPr>
        <w:tab/>
        <w:t>All works must be maintained to the satisfaction of the Responsible Authority for a period of two (2) years from the date of practical completion. During this period, any dead, diseased or damaged plants are to be repaired or replaced as required.</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28.</w:t>
      </w:r>
      <w:r w:rsidRPr="0059572A">
        <w:rPr>
          <w:rFonts w:ascii="Arial" w:hAnsi="Arial"/>
          <w:sz w:val="22"/>
          <w:szCs w:val="22"/>
          <w:lang w:eastAsia="en-US"/>
        </w:rPr>
        <w:tab/>
        <w:t>A maintenance bond to the value of 100% of the cost of works must be submitted to the Responsible Authority on application for practical completion of landscaping works to be retained until such time that the works have been accepted by Council for handover.</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29.</w:t>
      </w:r>
      <w:r w:rsidRPr="0059572A">
        <w:rPr>
          <w:rFonts w:ascii="Arial" w:hAnsi="Arial"/>
          <w:sz w:val="22"/>
          <w:szCs w:val="22"/>
          <w:lang w:eastAsia="en-US"/>
        </w:rPr>
        <w:tab/>
        <w:t>Where the landscape works are bonded, the maintenance period will commence from the date  that the works are awarded Practical Completion by the Responsible Authority.</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30.</w:t>
      </w:r>
      <w:r w:rsidRPr="0059572A">
        <w:rPr>
          <w:rFonts w:ascii="Arial" w:hAnsi="Arial"/>
          <w:sz w:val="22"/>
          <w:szCs w:val="22"/>
          <w:lang w:eastAsia="en-US"/>
        </w:rPr>
        <w:tab/>
        <w:t>Works that have achieved practical completion will be randomly inspected throughout the maintenance period. Works deemed by the Responsible Authority as being inappropriately maintained or established will not be accepted and will remain on maintenance until such time that the Responsible Authority deems it acceptable.</w:t>
      </w:r>
    </w:p>
    <w:p w:rsidR="0059572A" w:rsidRPr="0059572A" w:rsidRDefault="0059572A" w:rsidP="0059572A">
      <w:pPr>
        <w:ind w:left="567" w:hanging="567"/>
        <w:jc w:val="both"/>
        <w:rPr>
          <w:rFonts w:ascii="Arial" w:hAnsi="Arial"/>
          <w:b/>
          <w:sz w:val="22"/>
          <w:szCs w:val="22"/>
          <w:lang w:eastAsia="en-US"/>
        </w:rPr>
      </w:pPr>
    </w:p>
    <w:p w:rsidR="00481FA6" w:rsidRDefault="00481FA6">
      <w:pPr>
        <w:rPr>
          <w:rFonts w:ascii="Arial" w:hAnsi="Arial"/>
          <w:b/>
          <w:sz w:val="22"/>
          <w:szCs w:val="22"/>
          <w:lang w:eastAsia="en-US"/>
        </w:rPr>
      </w:pPr>
      <w:r>
        <w:rPr>
          <w:rFonts w:ascii="Arial" w:hAnsi="Arial"/>
          <w:b/>
          <w:sz w:val="22"/>
          <w:szCs w:val="22"/>
          <w:lang w:eastAsia="en-US"/>
        </w:rPr>
        <w:br w:type="page"/>
      </w: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Telecommunications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31.</w:t>
      </w:r>
      <w:r w:rsidRPr="0059572A">
        <w:rPr>
          <w:rFonts w:ascii="Arial" w:hAnsi="Arial"/>
          <w:sz w:val="22"/>
          <w:szCs w:val="22"/>
          <w:lang w:eastAsia="en-US"/>
        </w:rPr>
        <w:tab/>
        <w:t>The owner of the land must enter into agreements with:</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a)</w:t>
      </w:r>
      <w:r w:rsidRPr="0059572A">
        <w:rPr>
          <w:rFonts w:ascii="Arial" w:hAnsi="Arial"/>
          <w:sz w:val="22"/>
          <w:lang w:eastAsia="en-US"/>
        </w:rPr>
        <w:tab/>
        <w:t>a telecommunications network or service provider for the provision of telecommunication services to each lot shown on the endorsed plan in accordance with the provider’s requirements and relevant legislation at the time; and</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b)</w:t>
      </w:r>
      <w:r w:rsidRPr="0059572A">
        <w:rPr>
          <w:rFonts w:ascii="Arial" w:hAnsi="Arial"/>
          <w:sz w:val="22"/>
          <w:lang w:eastAsia="en-US"/>
        </w:rPr>
        <w:tab/>
        <w:t>a suitably qualified person for the provision of fibre ready telecommunication facilities to each lot shown on the endorsed plan in accordance with any industry specifications or any standards set by the Australian Communications and Media Authority, unless the applicant can demonstrate that the land is in an area where the National Broadband Network (NBN) will not be provided by optical fibre.</w:t>
      </w:r>
    </w:p>
    <w:p w:rsidR="0059572A" w:rsidRPr="0059572A" w:rsidRDefault="0059572A" w:rsidP="0059572A">
      <w:pPr>
        <w:ind w:left="1134" w:hanging="567"/>
        <w:jc w:val="both"/>
        <w:rPr>
          <w:rFonts w:ascii="Arial" w:hAnsi="Arial"/>
          <w:sz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32.</w:t>
      </w:r>
      <w:r w:rsidRPr="0059572A">
        <w:rPr>
          <w:rFonts w:ascii="Arial" w:hAnsi="Arial"/>
          <w:sz w:val="22"/>
          <w:szCs w:val="22"/>
          <w:lang w:eastAsia="en-US"/>
        </w:rPr>
        <w:tab/>
        <w:t>Before the issue of a Statement of Compliance for any stage of the subdivision under the Subdivision Act 1988, the owner of the land must provide written confirmation from:</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a)</w:t>
      </w:r>
      <w:r w:rsidRPr="0059572A">
        <w:rPr>
          <w:rFonts w:ascii="Arial" w:hAnsi="Arial"/>
          <w:sz w:val="22"/>
          <w:lang w:eastAsia="en-US"/>
        </w:rPr>
        <w:tab/>
        <w:t>a telecommunications network or service provider that all lots are connected to or are ready for connection to telecommunications services in accordance with the provider’s requirements and relevant legislation at the item; and</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b)</w:t>
      </w:r>
      <w:r w:rsidRPr="0059572A">
        <w:rPr>
          <w:rFonts w:ascii="Arial" w:hAnsi="Arial"/>
          <w:sz w:val="22"/>
          <w:lang w:eastAsia="en-US"/>
        </w:rPr>
        <w:tab/>
        <w:t>a suitably qualified person that fibre ready telecommunications facilities have been provided in accordance with any industry specifications or any standards set by the Australian Communications and Media Authority, unless the applicant can demonstrate that the land is in an area where the National Broadband Network will not be provided by optical fibre.</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Powercor Conditions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33.</w:t>
      </w:r>
      <w:r w:rsidRPr="0059572A">
        <w:rPr>
          <w:rFonts w:ascii="Arial" w:hAnsi="Arial"/>
          <w:sz w:val="22"/>
          <w:szCs w:val="22"/>
          <w:lang w:eastAsia="en-US"/>
        </w:rPr>
        <w:tab/>
        <w:t>The plan of subdivision submitted for certification under the Subdivision Act 1988 shall be referred to Powercor Australia Ltd in accordance with Section 8 of that Act.</w:t>
      </w:r>
      <w:r w:rsidRPr="0059572A">
        <w:rPr>
          <w:rFonts w:ascii="Arial" w:hAnsi="Arial"/>
          <w:sz w:val="22"/>
          <w:szCs w:val="22"/>
          <w:lang w:eastAsia="en-US"/>
        </w:rPr>
        <w:br/>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34.</w:t>
      </w:r>
      <w:r w:rsidRPr="0059572A">
        <w:rPr>
          <w:rFonts w:ascii="Arial" w:hAnsi="Arial"/>
          <w:sz w:val="22"/>
          <w:szCs w:val="22"/>
          <w:lang w:eastAsia="en-US"/>
        </w:rPr>
        <w:tab/>
        <w:t>The applicant shall provide an electricity supply to all lots in the subdivision in accordance with Powercor’s requirements and standards, including the extension, augmentation or re-arrangement of any existing electricity supply system, as required by Powercor.  (A payment to cover the cost of such work will be required). In the event that a supply is not provided the applicant shall provide a written undertaking to Powercor Australia Ltd that prospective purchasers will be so informed.</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35.</w:t>
      </w:r>
      <w:r w:rsidRPr="0059572A">
        <w:rPr>
          <w:rFonts w:ascii="Arial" w:hAnsi="Arial"/>
          <w:sz w:val="22"/>
          <w:szCs w:val="22"/>
          <w:lang w:eastAsia="en-US"/>
        </w:rPr>
        <w:tab/>
        <w:t>The applicant shall, where buildings or other installations exist on the land to be subdivided and are connected to the electricity supply, they shall be brought into compliance with the Service and Installation Rules issued by the Victorian Electricity Supply Industry. You shall arrange compliance through a Registered Electrical Contractor.</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36.</w:t>
      </w:r>
      <w:r w:rsidRPr="0059572A">
        <w:rPr>
          <w:rFonts w:ascii="Arial" w:hAnsi="Arial"/>
          <w:sz w:val="22"/>
          <w:szCs w:val="22"/>
          <w:lang w:eastAsia="en-US"/>
        </w:rPr>
        <w:tab/>
        <w:t>Any buildings must comply with the clearances required by the Electricity Safety (Installations) Regulations.</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37.</w:t>
      </w:r>
      <w:r w:rsidRPr="0059572A">
        <w:rPr>
          <w:rFonts w:ascii="Arial" w:hAnsi="Arial"/>
          <w:sz w:val="22"/>
          <w:szCs w:val="22"/>
          <w:lang w:eastAsia="en-US"/>
        </w:rPr>
        <w:tab/>
        <w:t>Any construction work must comply with Energy Safe Victoria’s “No Go Zone” rules.</w:t>
      </w:r>
    </w:p>
    <w:p w:rsidR="0059572A" w:rsidRPr="0059572A" w:rsidRDefault="0059572A" w:rsidP="0059572A">
      <w:pPr>
        <w:ind w:left="567" w:hanging="567"/>
        <w:jc w:val="both"/>
        <w:rPr>
          <w:rFonts w:ascii="Arial" w:hAnsi="Arial"/>
          <w:sz w:val="22"/>
          <w:szCs w:val="22"/>
          <w:lang w:eastAsia="en-US"/>
        </w:rPr>
      </w:pPr>
    </w:p>
    <w:p w:rsidR="00481FA6" w:rsidRDefault="00481FA6">
      <w:pPr>
        <w:rPr>
          <w:rFonts w:ascii="Arial" w:hAnsi="Arial"/>
          <w:sz w:val="22"/>
          <w:szCs w:val="22"/>
          <w:lang w:eastAsia="en-US"/>
        </w:rPr>
      </w:pPr>
      <w:r>
        <w:rPr>
          <w:rFonts w:ascii="Arial" w:hAnsi="Arial"/>
          <w:sz w:val="22"/>
          <w:szCs w:val="22"/>
          <w:lang w:eastAsia="en-US"/>
        </w:rPr>
        <w:br w:type="page"/>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38.</w:t>
      </w:r>
      <w:r w:rsidRPr="0059572A">
        <w:rPr>
          <w:rFonts w:ascii="Arial" w:hAnsi="Arial"/>
          <w:sz w:val="22"/>
          <w:szCs w:val="22"/>
          <w:lang w:eastAsia="en-US"/>
        </w:rPr>
        <w:tab/>
        <w:t>The applicant shall set aside on the plan of subdivision for the use of Powercor Australia ltd reserves and/or easements satisfactory to Powercor Australia Ltd where any electric substation (other than a pole mounted type) is required to service the subdivision.  Alternatively, at the discretion of Powercor Australia Ltd a lease(s) of the site(s) and for easements for associated powerlines, cables and access ways shall be provided.  Such a lease shall be for a period of 30 years at a nominal rental with a right to extend the lease for a further 30 years.  Powercor Australia Ltd will register such leases on the title by way of a caveat prior to the registration of the plan of subdivision.</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39.</w:t>
      </w:r>
      <w:r w:rsidRPr="0059572A">
        <w:rPr>
          <w:rFonts w:ascii="Arial" w:hAnsi="Arial"/>
          <w:sz w:val="22"/>
          <w:szCs w:val="22"/>
          <w:lang w:eastAsia="en-US"/>
        </w:rPr>
        <w:tab/>
        <w:t>The applicant shall provide easements satisfactory to Powercor Australia Ltd, where easements have not been otherwise provided, for all existing Powercor Australia Ltd electric lines on the land and for any new powerlines required to service the lots and adjoining land, save for lines located, or to be located, on public roads set out on the plan. These easements shall show on the plan an easement(s) in favour of Powercor Australia Ltd for ‘Powerline Purposes’ pursuant to Section 88 of the Electricity Industry Act 2000.</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40.</w:t>
      </w:r>
      <w:r w:rsidRPr="0059572A">
        <w:rPr>
          <w:rFonts w:ascii="Arial" w:hAnsi="Arial"/>
          <w:sz w:val="22"/>
          <w:szCs w:val="22"/>
          <w:lang w:eastAsia="en-US"/>
        </w:rPr>
        <w:tab/>
        <w:t>The applicant shall obtain for the use of Powercor Australia Ltd any other easement external to the subdivision required to service the lots.</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41.</w:t>
      </w:r>
      <w:r w:rsidRPr="0059572A">
        <w:rPr>
          <w:rFonts w:ascii="Arial" w:hAnsi="Arial"/>
          <w:sz w:val="22"/>
          <w:szCs w:val="22"/>
          <w:lang w:eastAsia="en-US"/>
        </w:rPr>
        <w:tab/>
        <w:t>The applicant shall adjust the position of any existing easement(s) for powerlines to accord with the position of the line(s) as determined by survey.</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42.</w:t>
      </w:r>
      <w:r w:rsidRPr="0059572A">
        <w:rPr>
          <w:rFonts w:ascii="Arial" w:hAnsi="Arial"/>
          <w:sz w:val="22"/>
          <w:szCs w:val="22"/>
          <w:lang w:eastAsia="en-US"/>
        </w:rPr>
        <w:tab/>
        <w:t>The applicant shall obtain Powercor Australia Ltd’s approval for a lot boundaries within any area affected by an easement for a powerline and for the construction of any works in such an area.</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43.</w:t>
      </w:r>
      <w:r w:rsidRPr="0059572A">
        <w:rPr>
          <w:rFonts w:ascii="Arial" w:hAnsi="Arial"/>
          <w:sz w:val="22"/>
          <w:szCs w:val="22"/>
          <w:lang w:eastAsia="en-US"/>
        </w:rPr>
        <w:tab/>
        <w:t>The applicant shall provide to Powercor Australia Ltd, a copy of the version of the plan of subdivision submitted for certification, which shows any amendments which have been required.</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Barwon Water Conditions</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General</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44.</w:t>
      </w:r>
      <w:r w:rsidRPr="0059572A">
        <w:rPr>
          <w:rFonts w:ascii="Arial" w:hAnsi="Arial"/>
          <w:sz w:val="22"/>
          <w:szCs w:val="22"/>
          <w:lang w:eastAsia="en-US"/>
        </w:rPr>
        <w:tab/>
        <w:t>The owner shall create easements for Pipelines or Ancillary Purposes and or reserves in favour of Barwon Region Water Corporation on the plan of subdivision in accordance with Barwon Water's Land Development Manual, without cost to Barwon Water, over existing and proposed water and sewerage infrastructure within the land. If further easements or reserves are required following design of water and sewerage infrastructure these must be added to the plan of subdivision prior to seeking Barwon Water's consent to the issue of a statement of compliance for the subdivision.</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45.</w:t>
      </w:r>
      <w:r w:rsidRPr="0059572A">
        <w:rPr>
          <w:rFonts w:ascii="Arial" w:hAnsi="Arial"/>
          <w:sz w:val="22"/>
          <w:szCs w:val="22"/>
          <w:lang w:eastAsia="en-US"/>
        </w:rPr>
        <w:tab/>
        <w:t>The plan of subdivision must be referred to Barwon Water in accordance with the Subdivision Act 1988 and any subsequent amendments to the plan provided to Barwon Water.</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46.</w:t>
      </w:r>
      <w:r w:rsidRPr="0059572A">
        <w:rPr>
          <w:rFonts w:ascii="Arial" w:hAnsi="Arial"/>
          <w:sz w:val="22"/>
          <w:szCs w:val="22"/>
          <w:lang w:eastAsia="en-US"/>
        </w:rPr>
        <w:tab/>
        <w:t>Additional water and/ or sewer assets are required to service this development. The creation of assets is additional to the internal works required for which the developer will be responsible to provide. The assets required are a Sewerage Pump Station (SPS) and rising main to serve the development.</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Water</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47.</w:t>
      </w:r>
      <w:r w:rsidRPr="0059572A">
        <w:rPr>
          <w:rFonts w:ascii="Arial" w:hAnsi="Arial"/>
          <w:sz w:val="22"/>
          <w:szCs w:val="22"/>
          <w:lang w:eastAsia="en-US"/>
        </w:rPr>
        <w:tab/>
        <w:t xml:space="preserve">The provision and installation of individual water services to all lots in the subdivision. Note, that tappings and services are not to be located under existing or proposed driveways.  </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48.</w:t>
      </w:r>
      <w:r w:rsidRPr="0059572A">
        <w:rPr>
          <w:rFonts w:ascii="Arial" w:hAnsi="Arial"/>
          <w:sz w:val="22"/>
          <w:szCs w:val="22"/>
          <w:lang w:eastAsia="en-US"/>
        </w:rPr>
        <w:tab/>
        <w:t>The payment of New Customer Contributions for water for  each additional connection which includes any  new lot on a plan of subdivision and/or any apartment, unit or premises within the development that is or can be separately metered for water supply.</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49.</w:t>
      </w:r>
      <w:r w:rsidRPr="0059572A">
        <w:rPr>
          <w:rFonts w:ascii="Arial" w:hAnsi="Arial"/>
          <w:sz w:val="22"/>
          <w:szCs w:val="22"/>
          <w:lang w:eastAsia="en-US"/>
        </w:rPr>
        <w:tab/>
        <w:t>Reticulated water mains or a water main extension are/ is required to service the proposed development. This work must be designed by a Barwon Water accredited Consulting Engineer and constructed by a Barwon Water accredited Contractor following the "Developer Works" process.</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Sewer</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50.</w:t>
      </w:r>
      <w:r w:rsidRPr="0059572A">
        <w:rPr>
          <w:rFonts w:ascii="Arial" w:hAnsi="Arial"/>
          <w:sz w:val="22"/>
          <w:szCs w:val="22"/>
          <w:lang w:eastAsia="en-US"/>
        </w:rPr>
        <w:tab/>
        <w:t>The provision of sewerage services to all lots in the subdivision.  Individual allotment house connection drains are to be provided for and extend into each allotment.  Note that if any common drain or drain from another allotment crosses under a proposed dwelling, a “modification to consent” is to be obtained from the Victorian Building Association and presented to Barwon Water with the required drainage plan.  It should be noted that the property service sewer drain remains the responsibility of the property owner(s).</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51.</w:t>
      </w:r>
      <w:r w:rsidRPr="0059572A">
        <w:rPr>
          <w:rFonts w:ascii="Arial" w:hAnsi="Arial"/>
          <w:sz w:val="22"/>
          <w:szCs w:val="22"/>
          <w:lang w:eastAsia="en-US"/>
        </w:rPr>
        <w:tab/>
        <w:t>The payment of New Customer Contributions for sewer for each additional connection which includes any new lot on a plan of subdivision and/or any apartment, unit or premises within the development that is or can be separately metered (for water supply).</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52.</w:t>
      </w:r>
      <w:r w:rsidRPr="0059572A">
        <w:rPr>
          <w:rFonts w:ascii="Arial" w:hAnsi="Arial"/>
          <w:sz w:val="22"/>
          <w:szCs w:val="22"/>
          <w:lang w:eastAsia="en-US"/>
        </w:rPr>
        <w:tab/>
        <w:t>Reticulated sewer mains or a sewer main extension are/ is required to service the proposed development.  This work must be designed by a Barwon Water accredited Consulting Engineer and constructed by a Barwon Water accredited Contractor following the “Developer Works” process.</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53.</w:t>
      </w:r>
      <w:r w:rsidRPr="0059572A">
        <w:rPr>
          <w:rFonts w:ascii="Arial" w:hAnsi="Arial"/>
          <w:sz w:val="22"/>
          <w:szCs w:val="22"/>
          <w:lang w:eastAsia="en-US"/>
        </w:rPr>
        <w:tab/>
        <w:t>The owner/developer is required to design and construct a Sewerage Pump Station and rising main to service this development.</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Downer Utilities Condition</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54.</w:t>
      </w:r>
      <w:r w:rsidRPr="0059572A">
        <w:rPr>
          <w:rFonts w:ascii="Arial" w:hAnsi="Arial"/>
          <w:sz w:val="22"/>
          <w:szCs w:val="22"/>
          <w:lang w:eastAsia="en-US"/>
        </w:rPr>
        <w:tab/>
        <w:t>The plan of subdivision submitted for certification must be referred  to AusNet (Gas) in accordance with Section 8 of the Subdivision Act 1988.</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Country Fire Authority Conditions</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Hydrants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55.</w:t>
      </w:r>
      <w:r w:rsidRPr="0059572A">
        <w:rPr>
          <w:rFonts w:ascii="Arial" w:hAnsi="Arial"/>
          <w:sz w:val="22"/>
          <w:szCs w:val="22"/>
          <w:lang w:eastAsia="en-US"/>
        </w:rPr>
        <w:tab/>
        <w:t>Operable hydrants, above or below ground must be provided to the satisfaction of CFA.</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56.</w:t>
      </w:r>
      <w:r w:rsidRPr="0059572A">
        <w:rPr>
          <w:rFonts w:ascii="Arial" w:hAnsi="Arial"/>
          <w:sz w:val="22"/>
          <w:szCs w:val="22"/>
          <w:lang w:eastAsia="en-US"/>
        </w:rPr>
        <w:tab/>
        <w:t>The maximum distance between these hydrants and the rear of all building envelopes (or in the absence of the building envelope, the rear of all lots) must be 120m and hydrants must be no more than 200m apart.</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cs="Arial"/>
          <w:color w:val="000000"/>
          <w:sz w:val="22"/>
          <w:szCs w:val="22"/>
        </w:rPr>
      </w:pPr>
      <w:r w:rsidRPr="0059572A">
        <w:rPr>
          <w:rFonts w:ascii="Arial" w:hAnsi="Arial"/>
          <w:sz w:val="22"/>
          <w:szCs w:val="22"/>
          <w:lang w:eastAsia="en-US"/>
        </w:rPr>
        <w:t>57.</w:t>
      </w:r>
      <w:r w:rsidRPr="0059572A">
        <w:rPr>
          <w:rFonts w:ascii="Arial" w:hAnsi="Arial"/>
          <w:sz w:val="22"/>
          <w:szCs w:val="22"/>
          <w:lang w:eastAsia="en-US"/>
        </w:rPr>
        <w:tab/>
        <w:t xml:space="preserve">Hydrants must be identified as specified in ‘Identification of Street Hydrants for Firefighting purposes’ available under publications on the Country Fire Authority web site </w:t>
      </w:r>
      <w:r w:rsidRPr="0059572A">
        <w:rPr>
          <w:rFonts w:ascii="Arial" w:hAnsi="Arial" w:cs="Arial"/>
          <w:color w:val="000000"/>
          <w:sz w:val="22"/>
          <w:szCs w:val="22"/>
        </w:rPr>
        <w:t>(</w:t>
      </w:r>
      <w:hyperlink r:id="rId7" w:history="1">
        <w:r w:rsidRPr="0059572A">
          <w:rPr>
            <w:rFonts w:ascii="Arial" w:hAnsi="Arial" w:cs="Arial"/>
            <w:color w:val="0000FF"/>
            <w:sz w:val="22"/>
            <w:szCs w:val="22"/>
            <w:u w:val="single"/>
          </w:rPr>
          <w:t>www.cfa.vic.gov.au</w:t>
        </w:r>
      </w:hyperlink>
      <w:r w:rsidRPr="0059572A">
        <w:rPr>
          <w:rFonts w:ascii="Arial" w:hAnsi="Arial" w:cs="Arial"/>
          <w:color w:val="000000"/>
          <w:sz w:val="22"/>
          <w:szCs w:val="22"/>
        </w:rPr>
        <w:t>)</w:t>
      </w:r>
    </w:p>
    <w:p w:rsidR="0059572A" w:rsidRPr="0059572A" w:rsidRDefault="0059572A" w:rsidP="0059572A">
      <w:pPr>
        <w:autoSpaceDE w:val="0"/>
        <w:autoSpaceDN w:val="0"/>
        <w:adjustRightInd w:val="0"/>
        <w:ind w:left="567" w:hanging="567"/>
        <w:jc w:val="both"/>
        <w:rPr>
          <w:rFonts w:ascii="Arial" w:hAnsi="Arial" w:cs="Arial"/>
          <w:color w:val="000000"/>
          <w:sz w:val="22"/>
          <w:szCs w:val="22"/>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Roads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58.</w:t>
      </w:r>
      <w:r w:rsidRPr="0059572A">
        <w:rPr>
          <w:rFonts w:ascii="Arial" w:hAnsi="Arial"/>
          <w:sz w:val="22"/>
          <w:szCs w:val="22"/>
          <w:lang w:eastAsia="en-US"/>
        </w:rPr>
        <w:tab/>
        <w:t>Roads must be constructed to a standard so that they are accessible in all weather conditions and capable of accommodating a vehicle of 15 tonnes for the trafficable road width.</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59.</w:t>
      </w:r>
      <w:r w:rsidRPr="0059572A">
        <w:rPr>
          <w:rFonts w:ascii="Arial" w:hAnsi="Arial"/>
          <w:sz w:val="22"/>
          <w:szCs w:val="22"/>
          <w:lang w:eastAsia="en-US"/>
        </w:rPr>
        <w:tab/>
        <w:t>The average grade must be no more than 1 in 7 (14.4%) (8.1 degrees) with a maximum of no more than 1 in 5 (20%) (11.3 degrees) for no more than 50 meters. Dips must have no more than a 1 in 8 (12%) (7.1 degree) entry and exit angle.</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60.</w:t>
      </w:r>
      <w:r w:rsidRPr="0059572A">
        <w:rPr>
          <w:rFonts w:ascii="Arial" w:hAnsi="Arial"/>
          <w:sz w:val="22"/>
          <w:szCs w:val="22"/>
          <w:lang w:eastAsia="en-US"/>
        </w:rPr>
        <w:tab/>
        <w:t>Roads must have a minimum trafficable width of:</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a)</w:t>
      </w:r>
      <w:r w:rsidRPr="0059572A">
        <w:rPr>
          <w:rFonts w:ascii="Arial" w:hAnsi="Arial"/>
          <w:sz w:val="22"/>
          <w:lang w:eastAsia="en-US"/>
        </w:rPr>
        <w:tab/>
        <w:t>5.5m if parking is prohibited on one or both sides of the road,</w:t>
      </w:r>
    </w:p>
    <w:p w:rsidR="0059572A" w:rsidRPr="0059572A" w:rsidRDefault="0059572A" w:rsidP="0059572A">
      <w:pPr>
        <w:ind w:left="1134" w:hanging="567"/>
        <w:jc w:val="both"/>
        <w:rPr>
          <w:rFonts w:ascii="Arial" w:hAnsi="Arial"/>
          <w:sz w:val="22"/>
          <w:lang w:eastAsia="en-US"/>
        </w:rPr>
      </w:pPr>
      <w:r w:rsidRPr="0059572A">
        <w:rPr>
          <w:rFonts w:ascii="Arial" w:hAnsi="Arial"/>
          <w:sz w:val="22"/>
          <w:lang w:eastAsia="en-US"/>
        </w:rPr>
        <w:t>b)</w:t>
      </w:r>
      <w:r w:rsidRPr="0059572A">
        <w:rPr>
          <w:rFonts w:ascii="Arial" w:hAnsi="Arial"/>
          <w:sz w:val="22"/>
          <w:lang w:eastAsia="en-US"/>
        </w:rPr>
        <w:tab/>
        <w:t>7.3m where parking is allowable on both sides of the road.</w:t>
      </w:r>
    </w:p>
    <w:p w:rsidR="0059572A" w:rsidRPr="0059572A" w:rsidRDefault="0059572A" w:rsidP="0059572A">
      <w:pPr>
        <w:ind w:left="1134" w:hanging="567"/>
        <w:jc w:val="both"/>
        <w:rPr>
          <w:rFonts w:ascii="Arial" w:hAnsi="Arial"/>
          <w:sz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61.</w:t>
      </w:r>
      <w:r w:rsidRPr="0059572A">
        <w:rPr>
          <w:rFonts w:ascii="Arial" w:hAnsi="Arial"/>
          <w:sz w:val="22"/>
          <w:szCs w:val="22"/>
          <w:lang w:eastAsia="en-US"/>
        </w:rPr>
        <w:tab/>
        <w:t>Roads more than 60m in length from the nearest intersection must have a turning circle with a minimum radius of 8m (including roll-over kerbs if they are provided) T or Y heads of dimensions specified by the CFA may be used as alternatives.</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62.</w:t>
      </w:r>
      <w:r w:rsidRPr="0059572A">
        <w:rPr>
          <w:rFonts w:ascii="Arial" w:hAnsi="Arial"/>
          <w:sz w:val="22"/>
          <w:szCs w:val="22"/>
          <w:lang w:eastAsia="en-US"/>
        </w:rPr>
        <w:tab/>
        <w:t>Any road with a trafficable width (Kerb to Kerb) less than 7.3 metres, must have ‘No Standing’ signage and/or appropriate on-road line markings installed to clearly identify that parking is only allowed on one side of the roadway.</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Expiry</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63.</w:t>
      </w:r>
      <w:r w:rsidRPr="0059572A">
        <w:rPr>
          <w:rFonts w:ascii="Arial" w:hAnsi="Arial"/>
          <w:sz w:val="22"/>
          <w:szCs w:val="22"/>
          <w:lang w:eastAsia="en-US"/>
        </w:rPr>
        <w:tab/>
        <w:t>The permit will expire if the plan of subdivision is not certified within 2 years from the date of this permit and if a statement of compliance is not issued within 5 years of the date of certification of that plan.</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ab/>
        <w:t>The Responsible Authority may extend  the certification period referred to if a request is made in writing before the permit expires or within 6 months afterwards.</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Parks notes:</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1.</w:t>
      </w:r>
      <w:r w:rsidRPr="0059572A">
        <w:rPr>
          <w:rFonts w:ascii="Arial" w:hAnsi="Arial"/>
          <w:sz w:val="22"/>
          <w:szCs w:val="22"/>
          <w:lang w:eastAsia="en-US"/>
        </w:rPr>
        <w:tab/>
        <w:t xml:space="preserve">Landscape plans must be submitted to the Responsible Authority for approval separately to adjoining land including Council reserves. </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2.</w:t>
      </w:r>
      <w:r w:rsidRPr="0059572A">
        <w:rPr>
          <w:rFonts w:ascii="Arial" w:hAnsi="Arial"/>
          <w:sz w:val="22"/>
          <w:szCs w:val="22"/>
          <w:lang w:eastAsia="en-US"/>
        </w:rPr>
        <w:tab/>
        <w:t>Landscape treatments within traffic control devices such as medians and roundabouts are subject to specific control measures.</w:t>
      </w:r>
    </w:p>
    <w:p w:rsidR="0059572A" w:rsidRPr="0059572A" w:rsidRDefault="0059572A" w:rsidP="0059572A">
      <w:pPr>
        <w:ind w:left="567" w:hanging="567"/>
        <w:jc w:val="both"/>
        <w:rPr>
          <w:rFonts w:ascii="Arial" w:hAnsi="Arial"/>
          <w:color w:val="000000" w:themeColor="text1"/>
          <w:sz w:val="22"/>
          <w:szCs w:val="22"/>
          <w:lang w:eastAsia="en-US"/>
        </w:rPr>
      </w:pPr>
      <w:r w:rsidRPr="0059572A">
        <w:rPr>
          <w:rFonts w:ascii="Arial" w:hAnsi="Arial"/>
          <w:sz w:val="22"/>
          <w:szCs w:val="22"/>
          <w:lang w:eastAsia="en-US"/>
        </w:rPr>
        <w:t>3.</w:t>
      </w:r>
      <w:r w:rsidRPr="0059572A">
        <w:rPr>
          <w:rFonts w:ascii="Arial" w:hAnsi="Arial"/>
          <w:sz w:val="22"/>
          <w:szCs w:val="22"/>
          <w:lang w:eastAsia="en-US"/>
        </w:rPr>
        <w:tab/>
        <w:t>Street tree species selection within the landscape  plan is subject to approval by Powercor in accordance with the requirements of the Distribution Construction Standard, Underground Trenching. Tree location and species type shall be determined, in consultation with CitiPower/</w:t>
      </w:r>
      <w:r w:rsidRPr="0059572A">
        <w:rPr>
          <w:rFonts w:ascii="Arial" w:hAnsi="Arial"/>
          <w:color w:val="000000" w:themeColor="text1"/>
          <w:sz w:val="22"/>
          <w:szCs w:val="22"/>
          <w:lang w:eastAsia="en-US"/>
        </w:rPr>
        <w:t xml:space="preserve">Powercor, based on the specific site and the ability of the tree to both enhance the local amenity and co-exist with utility services infrastructure – with all trees to be identified on a ‘master services plan’ provided by the party planting the trees. </w:t>
      </w:r>
    </w:p>
    <w:p w:rsidR="0059572A" w:rsidRPr="0059572A" w:rsidRDefault="0059572A" w:rsidP="0059572A">
      <w:pPr>
        <w:ind w:left="567" w:hanging="567"/>
        <w:jc w:val="both"/>
        <w:rPr>
          <w:rFonts w:ascii="Arial" w:hAnsi="Arial"/>
          <w:color w:val="000000" w:themeColor="text1"/>
          <w:sz w:val="22"/>
          <w:szCs w:val="22"/>
          <w:lang w:eastAsia="en-US"/>
        </w:rPr>
      </w:pPr>
      <w:r w:rsidRPr="0059572A">
        <w:rPr>
          <w:rFonts w:ascii="Arial" w:hAnsi="Arial"/>
          <w:color w:val="000000" w:themeColor="text1"/>
          <w:sz w:val="22"/>
          <w:szCs w:val="22"/>
          <w:lang w:eastAsia="en-US"/>
        </w:rPr>
        <w:t>5.</w:t>
      </w:r>
      <w:r w:rsidRPr="0059572A">
        <w:rPr>
          <w:rFonts w:ascii="Arial" w:hAnsi="Arial"/>
          <w:color w:val="000000" w:themeColor="text1"/>
          <w:sz w:val="22"/>
          <w:szCs w:val="22"/>
          <w:lang w:eastAsia="en-US"/>
        </w:rPr>
        <w:tab/>
        <w:t>A practical completion is required to satisfy condition 26 and must be organised by the permit holder with two weeks’ notice given for onsite inspections.  The incomplete works bond will be returned once practical completion has been awarded.</w:t>
      </w:r>
    </w:p>
    <w:p w:rsidR="0059572A" w:rsidRPr="0059572A" w:rsidRDefault="0059572A" w:rsidP="0059572A">
      <w:pPr>
        <w:ind w:left="567" w:hanging="567"/>
        <w:jc w:val="both"/>
        <w:rPr>
          <w:rFonts w:ascii="Arial" w:hAnsi="Arial"/>
          <w:color w:val="000000" w:themeColor="text1"/>
          <w:sz w:val="22"/>
          <w:szCs w:val="22"/>
          <w:lang w:eastAsia="en-US"/>
        </w:rPr>
      </w:pPr>
      <w:r w:rsidRPr="0059572A">
        <w:rPr>
          <w:rFonts w:ascii="Arial" w:hAnsi="Arial"/>
          <w:color w:val="000000" w:themeColor="text1"/>
          <w:sz w:val="22"/>
          <w:szCs w:val="22"/>
          <w:lang w:eastAsia="en-US"/>
        </w:rPr>
        <w:t>6.</w:t>
      </w:r>
      <w:r w:rsidRPr="0059572A">
        <w:rPr>
          <w:rFonts w:ascii="Arial" w:hAnsi="Arial"/>
          <w:color w:val="000000" w:themeColor="text1"/>
          <w:sz w:val="22"/>
          <w:szCs w:val="22"/>
          <w:lang w:eastAsia="en-US"/>
        </w:rPr>
        <w:tab/>
        <w:t>Landscaping works bonded as outstanding must be enacted within one (1) year of statement of compliance being awarded.</w:t>
      </w:r>
    </w:p>
    <w:p w:rsidR="0059572A" w:rsidRPr="0059572A" w:rsidRDefault="0059572A" w:rsidP="0059572A">
      <w:pPr>
        <w:ind w:left="567" w:hanging="567"/>
        <w:jc w:val="both"/>
        <w:rPr>
          <w:rFonts w:ascii="Arial" w:hAnsi="Arial"/>
          <w:color w:val="000000" w:themeColor="text1"/>
          <w:sz w:val="22"/>
          <w:szCs w:val="22"/>
          <w:lang w:eastAsia="en-US"/>
        </w:rPr>
      </w:pPr>
      <w:r w:rsidRPr="0059572A">
        <w:rPr>
          <w:rFonts w:ascii="Arial" w:hAnsi="Arial"/>
          <w:color w:val="000000" w:themeColor="text1"/>
          <w:sz w:val="22"/>
          <w:szCs w:val="22"/>
          <w:lang w:eastAsia="en-US"/>
        </w:rPr>
        <w:t>7.</w:t>
      </w:r>
      <w:r w:rsidRPr="0059572A">
        <w:rPr>
          <w:rFonts w:ascii="Arial" w:hAnsi="Arial"/>
          <w:color w:val="000000" w:themeColor="text1"/>
          <w:sz w:val="22"/>
          <w:szCs w:val="22"/>
          <w:lang w:eastAsia="en-US"/>
        </w:rPr>
        <w:tab/>
        <w:t>A handover inspection is required to satisfy condition 26 and must be organised by the permit holder with two weeks’ notice given for onsite inspections.  The maintenance bond will be returned on acceptance of handover.</w:t>
      </w:r>
    </w:p>
    <w:p w:rsidR="0059572A" w:rsidRPr="0059572A" w:rsidRDefault="0059572A" w:rsidP="0059572A">
      <w:pPr>
        <w:ind w:left="567" w:hanging="567"/>
        <w:jc w:val="both"/>
        <w:rPr>
          <w:rFonts w:ascii="Arial" w:hAnsi="Arial"/>
          <w:sz w:val="22"/>
          <w:szCs w:val="22"/>
          <w:lang w:eastAsia="en-US"/>
        </w:rPr>
      </w:pPr>
      <w:r w:rsidRPr="0059572A">
        <w:rPr>
          <w:rFonts w:ascii="Arial" w:hAnsi="Arial"/>
          <w:sz w:val="22"/>
          <w:szCs w:val="22"/>
          <w:lang w:eastAsia="en-US"/>
        </w:rPr>
        <w:t>8.</w:t>
      </w:r>
      <w:r w:rsidRPr="0059572A">
        <w:rPr>
          <w:rFonts w:ascii="Arial" w:hAnsi="Arial"/>
          <w:sz w:val="22"/>
          <w:szCs w:val="22"/>
          <w:lang w:eastAsia="en-US"/>
        </w:rPr>
        <w:tab/>
        <w:t>No handovers will be accepted during the summer period, between 30 November and 1 March.</w:t>
      </w:r>
    </w:p>
    <w:p w:rsidR="0059572A" w:rsidRPr="0059572A" w:rsidRDefault="0059572A" w:rsidP="0059572A">
      <w:pPr>
        <w:ind w:left="567" w:hanging="567"/>
        <w:jc w:val="both"/>
        <w:rPr>
          <w:rFonts w:ascii="Arial" w:hAnsi="Arial"/>
          <w:sz w:val="22"/>
          <w:szCs w:val="22"/>
          <w:lang w:eastAsia="en-US"/>
        </w:rPr>
      </w:pPr>
    </w:p>
    <w:p w:rsidR="0059572A" w:rsidRPr="0059572A" w:rsidRDefault="0059572A" w:rsidP="0059572A">
      <w:pPr>
        <w:ind w:left="567" w:hanging="567"/>
        <w:jc w:val="both"/>
        <w:rPr>
          <w:rFonts w:ascii="Arial" w:hAnsi="Arial"/>
          <w:b/>
          <w:sz w:val="22"/>
          <w:szCs w:val="22"/>
          <w:lang w:eastAsia="en-US"/>
        </w:rPr>
      </w:pPr>
      <w:r w:rsidRPr="0059572A">
        <w:rPr>
          <w:rFonts w:ascii="Arial" w:hAnsi="Arial"/>
          <w:b/>
          <w:sz w:val="22"/>
          <w:szCs w:val="22"/>
          <w:lang w:eastAsia="en-US"/>
        </w:rPr>
        <w:t>Barwon Water Note:</w:t>
      </w:r>
      <w:r w:rsidRPr="0059572A">
        <w:rPr>
          <w:rFonts w:ascii="Arial" w:hAnsi="Arial"/>
          <w:b/>
          <w:sz w:val="22"/>
          <w:szCs w:val="22"/>
          <w:lang w:eastAsia="en-US"/>
        </w:rPr>
        <w:tab/>
        <w:t xml:space="preserve"> </w:t>
      </w:r>
    </w:p>
    <w:p w:rsidR="00FB0B63" w:rsidRPr="00481FA6" w:rsidRDefault="0059572A" w:rsidP="00481FA6">
      <w:pPr>
        <w:ind w:left="567" w:hanging="567"/>
        <w:jc w:val="both"/>
        <w:rPr>
          <w:rFonts w:ascii="Arial" w:hAnsi="Arial"/>
          <w:sz w:val="22"/>
          <w:szCs w:val="22"/>
          <w:lang w:eastAsia="en-US"/>
        </w:rPr>
      </w:pPr>
      <w:r w:rsidRPr="0059572A">
        <w:rPr>
          <w:rFonts w:ascii="Arial" w:hAnsi="Arial"/>
          <w:sz w:val="22"/>
          <w:szCs w:val="22"/>
          <w:lang w:eastAsia="en-US"/>
        </w:rPr>
        <w:t>1.</w:t>
      </w:r>
      <w:r w:rsidRPr="0059572A">
        <w:rPr>
          <w:rFonts w:ascii="Arial" w:hAnsi="Arial"/>
          <w:sz w:val="22"/>
          <w:szCs w:val="22"/>
          <w:lang w:eastAsia="en-US"/>
        </w:rPr>
        <w:tab/>
        <w:t>The developer is to apply to Barwon Water for details relating to costs and conditions required for the provision of water supply and sewerage services to the subdivision.  It would be appreciated if all communications between the developer/agent and Barwon Water quote Barwon Water reference number L013555.</w:t>
      </w:r>
    </w:p>
    <w:p w:rsidR="00FB0B63" w:rsidRDefault="00FB0B63" w:rsidP="00FB0B63">
      <w:pPr>
        <w:jc w:val="center"/>
        <w:rPr>
          <w:rFonts w:ascii="Times" w:hAnsi="Times"/>
          <w:b/>
        </w:rPr>
        <w:sectPr w:rsidR="00FB0B63">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sectPr>
      </w:pPr>
    </w:p>
    <w:p w:rsidR="00FB0B63" w:rsidRDefault="00FB0B63" w:rsidP="00FB0B63">
      <w:pPr>
        <w:spacing w:line="240" w:lineRule="atLeast"/>
        <w:jc w:val="center"/>
        <w:rPr>
          <w:b/>
          <w:sz w:val="28"/>
        </w:rPr>
      </w:pPr>
      <w:r>
        <w:rPr>
          <w:b/>
          <w:sz w:val="28"/>
        </w:rPr>
        <w:t>IMPORTANT INFORMATION ABOUT THIS PERMIT</w:t>
      </w:r>
    </w:p>
    <w:p w:rsidR="00FB0B63" w:rsidRDefault="00FB0B63" w:rsidP="00FB0B63">
      <w:pPr>
        <w:spacing w:line="240" w:lineRule="atLeast"/>
        <w:jc w:val="center"/>
        <w:rPr>
          <w:b/>
          <w:sz w:val="14"/>
        </w:rPr>
      </w:pPr>
    </w:p>
    <w:p w:rsidR="00FB0B63" w:rsidRPr="003D57FA" w:rsidRDefault="00FB0B63" w:rsidP="00FB0B63">
      <w:pPr>
        <w:pBdr>
          <w:top w:val="single" w:sz="2" w:space="0" w:color="auto"/>
          <w:bottom w:val="single" w:sz="2" w:space="0" w:color="auto"/>
        </w:pBdr>
        <w:spacing w:line="240" w:lineRule="atLeast"/>
        <w:jc w:val="center"/>
        <w:rPr>
          <w:b/>
          <w:sz w:val="24"/>
          <w:szCs w:val="24"/>
        </w:rPr>
      </w:pPr>
      <w:r w:rsidRPr="003D57FA">
        <w:rPr>
          <w:b/>
          <w:sz w:val="24"/>
          <w:szCs w:val="24"/>
        </w:rPr>
        <w:t>WHAT HAS BEEN DECIDED?</w:t>
      </w:r>
    </w:p>
    <w:p w:rsidR="00FB0B63" w:rsidRPr="003D57FA" w:rsidRDefault="00FB0B63" w:rsidP="00FB0B63">
      <w:pPr>
        <w:spacing w:line="240" w:lineRule="atLeast"/>
      </w:pPr>
      <w:r w:rsidRPr="003D57FA">
        <w:t xml:space="preserve">The Responsible Authority has issued a permit.  The permit was granted by the Minister under section 96I of the </w:t>
      </w:r>
      <w:r w:rsidRPr="003D57FA">
        <w:rPr>
          <w:b/>
        </w:rPr>
        <w:t>Plannin</w:t>
      </w:r>
      <w:r w:rsidRPr="00481FA6">
        <w:rPr>
          <w:b/>
          <w:color w:val="000000" w:themeColor="text1"/>
        </w:rPr>
        <w:t>g and Environment Act 1987</w:t>
      </w:r>
      <w:r w:rsidRPr="00481FA6">
        <w:rPr>
          <w:color w:val="000000" w:themeColor="text1"/>
        </w:rPr>
        <w:t xml:space="preserve"> on approval of Amendment No</w:t>
      </w:r>
      <w:r w:rsidR="00481FA6" w:rsidRPr="00481FA6">
        <w:rPr>
          <w:color w:val="000000" w:themeColor="text1"/>
        </w:rPr>
        <w:t>. C368</w:t>
      </w:r>
      <w:r w:rsidRPr="00481FA6">
        <w:rPr>
          <w:color w:val="000000" w:themeColor="text1"/>
        </w:rPr>
        <w:t xml:space="preserve"> to the</w:t>
      </w:r>
      <w:r w:rsidR="00481FA6" w:rsidRPr="00481FA6">
        <w:rPr>
          <w:color w:val="000000" w:themeColor="text1"/>
        </w:rPr>
        <w:t xml:space="preserve"> Greater Geelong Planning Scheme.</w:t>
      </w:r>
    </w:p>
    <w:p w:rsidR="00FB0B63" w:rsidRDefault="00FB0B63" w:rsidP="00FB0B63">
      <w:pPr>
        <w:spacing w:line="240" w:lineRule="atLeast"/>
        <w:jc w:val="center"/>
        <w:rPr>
          <w:b/>
          <w:sz w:val="14"/>
        </w:rPr>
      </w:pPr>
    </w:p>
    <w:p w:rsidR="00FB0B63" w:rsidRPr="003D57FA" w:rsidRDefault="00FB0B63" w:rsidP="00FB0B63">
      <w:pPr>
        <w:pBdr>
          <w:top w:val="single" w:sz="2" w:space="0" w:color="auto"/>
          <w:bottom w:val="single" w:sz="2" w:space="0" w:color="auto"/>
        </w:pBdr>
        <w:spacing w:line="240" w:lineRule="atLeast"/>
        <w:jc w:val="center"/>
        <w:rPr>
          <w:b/>
          <w:sz w:val="24"/>
          <w:szCs w:val="24"/>
        </w:rPr>
      </w:pPr>
      <w:r w:rsidRPr="003D57FA">
        <w:rPr>
          <w:b/>
          <w:sz w:val="24"/>
          <w:szCs w:val="24"/>
        </w:rPr>
        <w:t>WHEN DOES THE PERMIT BEGIN?</w:t>
      </w:r>
    </w:p>
    <w:p w:rsidR="00FB0B63" w:rsidRPr="003D57FA" w:rsidRDefault="00FB0B63" w:rsidP="00FB0B63">
      <w:r w:rsidRPr="003D57FA">
        <w:t>The permit operates from a day specified in the permit being a day on or after the day on which the amendment to which the permit applies comes into operation.</w:t>
      </w:r>
    </w:p>
    <w:p w:rsidR="00FB0B63" w:rsidRDefault="00FB0B63" w:rsidP="00FB0B63">
      <w:pPr>
        <w:spacing w:line="240" w:lineRule="atLeast"/>
        <w:jc w:val="center"/>
        <w:rPr>
          <w:b/>
          <w:sz w:val="14"/>
        </w:rPr>
      </w:pPr>
    </w:p>
    <w:p w:rsidR="00FB0B63" w:rsidRPr="003D57FA" w:rsidRDefault="00FB0B63" w:rsidP="00FB0B63">
      <w:pPr>
        <w:pBdr>
          <w:top w:val="single" w:sz="2" w:space="0" w:color="auto"/>
          <w:bottom w:val="single" w:sz="2" w:space="0" w:color="auto"/>
        </w:pBdr>
        <w:spacing w:line="240" w:lineRule="atLeast"/>
        <w:jc w:val="center"/>
        <w:rPr>
          <w:b/>
          <w:sz w:val="24"/>
          <w:szCs w:val="24"/>
        </w:rPr>
      </w:pPr>
      <w:r w:rsidRPr="003D57FA">
        <w:rPr>
          <w:b/>
          <w:sz w:val="24"/>
          <w:szCs w:val="24"/>
        </w:rPr>
        <w:t>WHEN DOES A PERMIT EXPIRE?</w:t>
      </w:r>
    </w:p>
    <w:p w:rsidR="00FB0B63" w:rsidRPr="003D57FA" w:rsidRDefault="00FB0B63" w:rsidP="00FB0B63">
      <w:pPr>
        <w:spacing w:after="120" w:line="240" w:lineRule="atLeast"/>
        <w:ind w:left="284" w:hanging="284"/>
      </w:pPr>
      <w:r w:rsidRPr="003D57FA">
        <w:t>1.</w:t>
      </w:r>
      <w:r w:rsidRPr="003D57FA">
        <w:tab/>
        <w:t>A permit for the development of land expires if—</w:t>
      </w:r>
    </w:p>
    <w:p w:rsidR="00FB0B63" w:rsidRPr="003D57FA" w:rsidRDefault="00FB0B63" w:rsidP="00FB0B63">
      <w:pPr>
        <w:numPr>
          <w:ilvl w:val="0"/>
          <w:numId w:val="11"/>
        </w:numPr>
        <w:spacing w:after="120" w:line="240" w:lineRule="atLeast"/>
        <w:ind w:left="567" w:hanging="283"/>
      </w:pPr>
      <w:r w:rsidRPr="003D57FA">
        <w:t>the development or any stage of it does not start within the time specified in the permit; or</w:t>
      </w:r>
    </w:p>
    <w:p w:rsidR="00FB0B63" w:rsidRPr="003D57FA" w:rsidRDefault="00FB0B63" w:rsidP="00FB0B63">
      <w:pPr>
        <w:numPr>
          <w:ilvl w:val="0"/>
          <w:numId w:val="11"/>
        </w:numPr>
        <w:spacing w:after="120" w:line="240" w:lineRule="atLeast"/>
        <w:ind w:left="567" w:hanging="283"/>
      </w:pPr>
      <w:r w:rsidRPr="003D57FA">
        <w:t xml:space="preserve">the development requires the certification of a plan of subdivision or consolidation under the </w:t>
      </w:r>
      <w:r w:rsidRPr="003D57FA">
        <w:rPr>
          <w:b/>
        </w:rPr>
        <w:t>Subdivision Act 1988</w:t>
      </w:r>
      <w:r w:rsidRPr="003D57FA">
        <w:t xml:space="preserve"> and the plan is not certified within two years of the issue of a permit, unless the permit contains a different provision; or</w:t>
      </w:r>
    </w:p>
    <w:p w:rsidR="00FB0B63" w:rsidRPr="003D57FA" w:rsidRDefault="00FB0B63" w:rsidP="00FB0B63">
      <w:pPr>
        <w:numPr>
          <w:ilvl w:val="0"/>
          <w:numId w:val="11"/>
        </w:numPr>
        <w:spacing w:after="120" w:line="240" w:lineRule="atLeast"/>
        <w:ind w:left="567" w:hanging="283"/>
        <w:rPr>
          <w:i/>
        </w:rPr>
      </w:pPr>
      <w:r w:rsidRPr="003D57FA">
        <w:t xml:space="preserve">the development or any stage is not completed within the time specified in the permit, or, if no time is specified, within two years after the issue of the permit or in the case of a subdivision or consolidation within 5 years of the certification of the plan of subdivision or consolidation under the </w:t>
      </w:r>
      <w:r w:rsidRPr="003D57FA">
        <w:rPr>
          <w:b/>
        </w:rPr>
        <w:t>Subdivision Act 1988</w:t>
      </w:r>
      <w:r w:rsidRPr="003D57FA">
        <w:rPr>
          <w:i/>
        </w:rPr>
        <w:t>.</w:t>
      </w:r>
    </w:p>
    <w:p w:rsidR="00FB0B63" w:rsidRPr="003D57FA" w:rsidRDefault="00FB0B63" w:rsidP="00FB0B63">
      <w:pPr>
        <w:spacing w:after="120" w:line="240" w:lineRule="atLeast"/>
        <w:ind w:left="284" w:hanging="284"/>
      </w:pPr>
      <w:r w:rsidRPr="003D57FA">
        <w:t>2.</w:t>
      </w:r>
      <w:r w:rsidRPr="003D57FA">
        <w:tab/>
        <w:t>A permit for the use of land expires if—</w:t>
      </w:r>
    </w:p>
    <w:p w:rsidR="00FB0B63" w:rsidRPr="003D57FA" w:rsidRDefault="00FB0B63" w:rsidP="00FB0B63">
      <w:pPr>
        <w:numPr>
          <w:ilvl w:val="0"/>
          <w:numId w:val="11"/>
        </w:numPr>
        <w:spacing w:after="120" w:line="240" w:lineRule="atLeast"/>
        <w:ind w:left="567" w:hanging="283"/>
      </w:pPr>
      <w:r w:rsidRPr="003D57FA">
        <w:t>the use does not start within the time specified in the permit, or if no time is specified, within two years after the issue of the permit; or</w:t>
      </w:r>
    </w:p>
    <w:p w:rsidR="00FB0B63" w:rsidRPr="003D57FA" w:rsidRDefault="00FB0B63" w:rsidP="00FB0B63">
      <w:pPr>
        <w:numPr>
          <w:ilvl w:val="0"/>
          <w:numId w:val="11"/>
        </w:numPr>
        <w:spacing w:after="120" w:line="240" w:lineRule="atLeast"/>
        <w:ind w:left="567" w:hanging="283"/>
      </w:pPr>
      <w:r w:rsidRPr="003D57FA">
        <w:t>the use is discontinued for a period of two years.</w:t>
      </w:r>
    </w:p>
    <w:p w:rsidR="00FB0B63" w:rsidRPr="003D57FA" w:rsidRDefault="00FB0B63" w:rsidP="00FB0B63">
      <w:pPr>
        <w:spacing w:after="120" w:line="240" w:lineRule="atLeast"/>
        <w:ind w:left="284" w:hanging="284"/>
      </w:pPr>
      <w:r w:rsidRPr="003D57FA">
        <w:t>3.</w:t>
      </w:r>
      <w:r w:rsidRPr="003D57FA">
        <w:tab/>
        <w:t>A permit for the development and use of land expires if—</w:t>
      </w:r>
    </w:p>
    <w:p w:rsidR="00FB0B63" w:rsidRPr="003D57FA" w:rsidRDefault="00FB0B63" w:rsidP="00FB0B63">
      <w:pPr>
        <w:numPr>
          <w:ilvl w:val="0"/>
          <w:numId w:val="11"/>
        </w:numPr>
        <w:spacing w:after="120" w:line="240" w:lineRule="atLeast"/>
        <w:ind w:left="567" w:hanging="283"/>
      </w:pPr>
      <w:r w:rsidRPr="003D57FA">
        <w:t>the development or any stage of it does not start within the time specified in the permit; or</w:t>
      </w:r>
    </w:p>
    <w:p w:rsidR="00FB0B63" w:rsidRPr="003D57FA" w:rsidRDefault="00FB0B63" w:rsidP="00FB0B63">
      <w:pPr>
        <w:numPr>
          <w:ilvl w:val="0"/>
          <w:numId w:val="11"/>
        </w:numPr>
        <w:spacing w:after="120" w:line="240" w:lineRule="atLeast"/>
        <w:ind w:left="567" w:hanging="283"/>
      </w:pPr>
      <w:r w:rsidRPr="003D57FA">
        <w:t>the development or any stage of it is not completed within the time specified in the permit, or, if no time is specified, within two years after the issue of the permit; or</w:t>
      </w:r>
    </w:p>
    <w:p w:rsidR="00FB0B63" w:rsidRPr="003D57FA" w:rsidRDefault="00FB0B63" w:rsidP="00FB0B63">
      <w:pPr>
        <w:numPr>
          <w:ilvl w:val="0"/>
          <w:numId w:val="11"/>
        </w:numPr>
        <w:spacing w:after="120" w:line="240" w:lineRule="atLeast"/>
        <w:ind w:left="567" w:hanging="283"/>
      </w:pPr>
      <w:r w:rsidRPr="003D57FA">
        <w:t>the use does not start within the time specified in the permit, or, if no time is specified, within two years after the completion of the development: or</w:t>
      </w:r>
    </w:p>
    <w:p w:rsidR="00FB0B63" w:rsidRPr="003D57FA" w:rsidRDefault="00FB0B63" w:rsidP="00FB0B63">
      <w:pPr>
        <w:numPr>
          <w:ilvl w:val="0"/>
          <w:numId w:val="11"/>
        </w:numPr>
        <w:spacing w:after="120" w:line="240" w:lineRule="atLeast"/>
        <w:ind w:left="567" w:hanging="283"/>
      </w:pPr>
      <w:r w:rsidRPr="003D57FA">
        <w:t>the use is discontinued for a period of two years.</w:t>
      </w:r>
    </w:p>
    <w:p w:rsidR="00FB0B63" w:rsidRPr="003D57FA" w:rsidRDefault="00FB0B63" w:rsidP="00FB0B63">
      <w:pPr>
        <w:spacing w:after="120" w:line="240" w:lineRule="atLeast"/>
        <w:ind w:left="284" w:hanging="284"/>
      </w:pPr>
      <w:r w:rsidRPr="003D57FA">
        <w:t>4.</w:t>
      </w:r>
      <w:r w:rsidRPr="003D57FA">
        <w:tab/>
        <w:t xml:space="preserve">If a permit for the use of land or the development and use of land or relating to any of the circumstances mentioned in section 6A(2) of the </w:t>
      </w:r>
      <w:r w:rsidRPr="003D57FA">
        <w:rPr>
          <w:b/>
        </w:rPr>
        <w:t>Planning and Environment Act 1987</w:t>
      </w:r>
      <w:r w:rsidRPr="003D57FA">
        <w:t xml:space="preserve">, or to any combination of use, development or any of those circumstances requires the certification of a plan under the </w:t>
      </w:r>
      <w:r w:rsidRPr="003D57FA">
        <w:rPr>
          <w:b/>
        </w:rPr>
        <w:t>Subdivision Act 1988</w:t>
      </w:r>
      <w:r w:rsidRPr="003D57FA">
        <w:t>, unless the permit contains a different provision—</w:t>
      </w:r>
    </w:p>
    <w:p w:rsidR="00FB0B63" w:rsidRPr="003D57FA" w:rsidRDefault="00FB0B63" w:rsidP="00FB0B63">
      <w:pPr>
        <w:numPr>
          <w:ilvl w:val="0"/>
          <w:numId w:val="11"/>
        </w:numPr>
        <w:spacing w:after="120" w:line="240" w:lineRule="atLeast"/>
        <w:ind w:left="567" w:hanging="283"/>
      </w:pPr>
      <w:r w:rsidRPr="003D57FA">
        <w:t>the use or development of any stage is to be taken to have started when the plan is certified; and</w:t>
      </w:r>
    </w:p>
    <w:p w:rsidR="00FB0B63" w:rsidRPr="003D57FA" w:rsidRDefault="00FB0B63" w:rsidP="00FB0B63">
      <w:pPr>
        <w:numPr>
          <w:ilvl w:val="0"/>
          <w:numId w:val="11"/>
        </w:numPr>
        <w:spacing w:after="120" w:line="240" w:lineRule="atLeast"/>
        <w:ind w:left="567" w:hanging="283"/>
      </w:pPr>
      <w:r w:rsidRPr="003D57FA">
        <w:t>the permit expires if the plan is not certified within two years of the issue of the permit.</w:t>
      </w:r>
    </w:p>
    <w:p w:rsidR="00FB0B63" w:rsidRDefault="00FB0B63" w:rsidP="00FB0B63">
      <w:pPr>
        <w:spacing w:line="240" w:lineRule="atLeast"/>
        <w:ind w:left="284" w:hanging="284"/>
        <w:rPr>
          <w:sz w:val="14"/>
        </w:rPr>
      </w:pPr>
      <w:r w:rsidRPr="003D57FA">
        <w:t>5.</w:t>
      </w:r>
      <w:r w:rsidRPr="003D57FA">
        <w:tab/>
        <w:t>The expiry of a permit does not affect the validity of anything done under that permit before the expiry.</w:t>
      </w:r>
    </w:p>
    <w:p w:rsidR="00FB0B63" w:rsidRDefault="00FB0B63" w:rsidP="00FB0B63">
      <w:pPr>
        <w:spacing w:line="240" w:lineRule="atLeast"/>
        <w:jc w:val="center"/>
        <w:rPr>
          <w:b/>
          <w:sz w:val="14"/>
        </w:rPr>
      </w:pPr>
    </w:p>
    <w:p w:rsidR="00FB0B63" w:rsidRPr="003D57FA" w:rsidRDefault="00FB0B63" w:rsidP="00FB0B63">
      <w:pPr>
        <w:pBdr>
          <w:top w:val="single" w:sz="2" w:space="0" w:color="auto"/>
          <w:bottom w:val="single" w:sz="2" w:space="0" w:color="auto"/>
        </w:pBdr>
        <w:spacing w:line="240" w:lineRule="atLeast"/>
        <w:jc w:val="center"/>
        <w:rPr>
          <w:b/>
          <w:sz w:val="24"/>
          <w:szCs w:val="24"/>
        </w:rPr>
      </w:pPr>
      <w:r w:rsidRPr="003D57FA">
        <w:rPr>
          <w:b/>
          <w:sz w:val="24"/>
          <w:szCs w:val="24"/>
        </w:rPr>
        <w:t>WHAT ABOUT REVIEWS?</w:t>
      </w:r>
    </w:p>
    <w:p w:rsidR="00FB0B63" w:rsidRPr="003D57FA" w:rsidRDefault="00FB0B63" w:rsidP="00FB0B63">
      <w:pPr>
        <w:numPr>
          <w:ilvl w:val="0"/>
          <w:numId w:val="11"/>
        </w:numPr>
        <w:spacing w:line="240" w:lineRule="atLeast"/>
        <w:ind w:left="284" w:hanging="284"/>
      </w:pPr>
      <w:r w:rsidRPr="003D57FA">
        <w:t xml:space="preserve">In accordance with section 96M of the </w:t>
      </w:r>
      <w:r w:rsidRPr="003D57FA">
        <w:rPr>
          <w:b/>
        </w:rPr>
        <w:t>Planning and Environment Act 1987</w:t>
      </w:r>
      <w:r w:rsidRPr="003D57FA">
        <w:t xml:space="preserve">, the applicant may not apply to the Victorian Civil and Administrative Tribunal for a review of any condition in this permit. </w:t>
      </w:r>
    </w:p>
    <w:p w:rsidR="00FB0B63" w:rsidRPr="003D57FA" w:rsidRDefault="00FB0B63" w:rsidP="00FB0B63">
      <w:pPr>
        <w:jc w:val="center"/>
      </w:pPr>
    </w:p>
    <w:p w:rsidR="008601BA" w:rsidRPr="00FB0B63" w:rsidRDefault="008601BA" w:rsidP="00FB0B63"/>
    <w:sectPr w:rsidR="008601BA" w:rsidRPr="00FB0B63">
      <w:headerReference w:type="even" r:id="rId14"/>
      <w:headerReference w:type="default" r:id="rId15"/>
      <w:footerReference w:type="default" r:id="rId16"/>
      <w:headerReference w:type="first" r:id="rId17"/>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72A" w:rsidRDefault="0059572A">
      <w:r>
        <w:separator/>
      </w:r>
    </w:p>
  </w:endnote>
  <w:endnote w:type="continuationSeparator" w:id="0">
    <w:p w:rsidR="0059572A" w:rsidRDefault="0059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2A" w:rsidRDefault="005957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2A" w:rsidRDefault="0059572A"/>
  <w:tbl>
    <w:tblPr>
      <w:tblW w:w="9285" w:type="dxa"/>
      <w:tblLayout w:type="fixed"/>
      <w:tblLook w:val="0000" w:firstRow="0" w:lastRow="0" w:firstColumn="0" w:lastColumn="0" w:noHBand="0" w:noVBand="0"/>
    </w:tblPr>
    <w:tblGrid>
      <w:gridCol w:w="3095"/>
      <w:gridCol w:w="3095"/>
      <w:gridCol w:w="3095"/>
    </w:tblGrid>
    <w:tr w:rsidR="00FB0B63" w:rsidTr="0059572A">
      <w:trPr>
        <w:trHeight w:val="416"/>
      </w:trPr>
      <w:tc>
        <w:tcPr>
          <w:tcW w:w="3095" w:type="dxa"/>
          <w:tcBorders>
            <w:top w:val="single" w:sz="4" w:space="0" w:color="auto"/>
          </w:tcBorders>
        </w:tcPr>
        <w:p w:rsidR="00FB0B63" w:rsidRDefault="00FB0B63">
          <w:pPr>
            <w:tabs>
              <w:tab w:val="left" w:pos="720"/>
              <w:tab w:val="left" w:pos="1440"/>
              <w:tab w:val="left" w:pos="2016"/>
              <w:tab w:val="left" w:pos="2880"/>
              <w:tab w:val="left" w:pos="4320"/>
              <w:tab w:val="left" w:pos="7056"/>
            </w:tabs>
            <w:spacing w:line="240" w:lineRule="atLeast"/>
            <w:rPr>
              <w:b/>
            </w:rPr>
          </w:pPr>
          <w:r>
            <w:rPr>
              <w:b/>
            </w:rPr>
            <w:t>Date issued:</w:t>
          </w:r>
        </w:p>
        <w:p w:rsidR="00FB0B63" w:rsidRDefault="00FB0B63">
          <w:pPr>
            <w:tabs>
              <w:tab w:val="left" w:pos="720"/>
              <w:tab w:val="left" w:pos="1440"/>
              <w:tab w:val="left" w:pos="2016"/>
              <w:tab w:val="left" w:pos="2880"/>
              <w:tab w:val="left" w:pos="4320"/>
              <w:tab w:val="left" w:pos="7056"/>
            </w:tabs>
            <w:spacing w:line="240" w:lineRule="atLeast"/>
            <w:rPr>
              <w:b/>
            </w:rPr>
          </w:pPr>
        </w:p>
        <w:p w:rsidR="0059572A" w:rsidRDefault="0059572A">
          <w:pPr>
            <w:tabs>
              <w:tab w:val="left" w:pos="720"/>
              <w:tab w:val="left" w:pos="1440"/>
              <w:tab w:val="left" w:pos="2016"/>
              <w:tab w:val="left" w:pos="2880"/>
              <w:tab w:val="left" w:pos="4320"/>
              <w:tab w:val="left" w:pos="7056"/>
            </w:tabs>
            <w:spacing w:line="240" w:lineRule="atLeast"/>
            <w:rPr>
              <w:b/>
            </w:rPr>
          </w:pPr>
        </w:p>
        <w:p w:rsidR="0059572A" w:rsidRDefault="0059572A">
          <w:pPr>
            <w:tabs>
              <w:tab w:val="left" w:pos="720"/>
              <w:tab w:val="left" w:pos="1440"/>
              <w:tab w:val="left" w:pos="2016"/>
              <w:tab w:val="left" w:pos="2880"/>
              <w:tab w:val="left" w:pos="4320"/>
              <w:tab w:val="left" w:pos="7056"/>
            </w:tabs>
            <w:spacing w:line="240" w:lineRule="atLeast"/>
            <w:rPr>
              <w:b/>
            </w:rPr>
          </w:pPr>
          <w:r>
            <w:rPr>
              <w:b/>
            </w:rPr>
            <w:t>4 October 2017</w:t>
          </w:r>
        </w:p>
      </w:tc>
      <w:tc>
        <w:tcPr>
          <w:tcW w:w="3095" w:type="dxa"/>
          <w:tcBorders>
            <w:top w:val="single" w:sz="4" w:space="0" w:color="auto"/>
          </w:tcBorders>
        </w:tcPr>
        <w:p w:rsidR="00FB0B63" w:rsidRDefault="00FB0B63" w:rsidP="0059572A">
          <w:pPr>
            <w:tabs>
              <w:tab w:val="left" w:pos="720"/>
              <w:tab w:val="left" w:pos="1440"/>
              <w:tab w:val="left" w:pos="2016"/>
              <w:tab w:val="left" w:pos="2880"/>
              <w:tab w:val="left" w:pos="4320"/>
              <w:tab w:val="left" w:pos="7056"/>
            </w:tabs>
            <w:spacing w:line="240" w:lineRule="atLeast"/>
            <w:rPr>
              <w:b/>
            </w:rPr>
          </w:pPr>
        </w:p>
      </w:tc>
      <w:tc>
        <w:tcPr>
          <w:tcW w:w="3095" w:type="dxa"/>
          <w:tcBorders>
            <w:top w:val="single" w:sz="4" w:space="0" w:color="auto"/>
          </w:tcBorders>
        </w:tcPr>
        <w:p w:rsidR="00FB0B63" w:rsidRDefault="00FB0B63">
          <w:pPr>
            <w:tabs>
              <w:tab w:val="left" w:pos="2835"/>
            </w:tabs>
            <w:spacing w:line="240" w:lineRule="atLeast"/>
            <w:rPr>
              <w:b/>
            </w:rPr>
          </w:pPr>
          <w:r>
            <w:rPr>
              <w:b/>
            </w:rPr>
            <w:t>Signature for the responsible authority:</w:t>
          </w:r>
        </w:p>
        <w:p w:rsidR="0059572A" w:rsidRDefault="0059572A">
          <w:pPr>
            <w:tabs>
              <w:tab w:val="left" w:pos="2835"/>
            </w:tabs>
            <w:spacing w:line="240" w:lineRule="atLeast"/>
            <w:rPr>
              <w:b/>
            </w:rPr>
          </w:pPr>
        </w:p>
        <w:p w:rsidR="00FB0B63" w:rsidRDefault="0059572A">
          <w:pPr>
            <w:tabs>
              <w:tab w:val="left" w:pos="2835"/>
            </w:tabs>
            <w:spacing w:line="240" w:lineRule="atLeast"/>
            <w:rPr>
              <w:b/>
            </w:rPr>
          </w:pPr>
          <w:r>
            <w:rPr>
              <w:b/>
            </w:rPr>
            <w:t>DRAFT, Version 1</w:t>
          </w:r>
        </w:p>
      </w:tc>
    </w:tr>
    <w:tr w:rsidR="00FB0B63" w:rsidTr="0059572A">
      <w:trPr>
        <w:trHeight w:val="76"/>
      </w:trPr>
      <w:tc>
        <w:tcPr>
          <w:tcW w:w="3095" w:type="dxa"/>
        </w:tcPr>
        <w:p w:rsidR="00FB0B63" w:rsidRDefault="0059572A">
          <w:pPr>
            <w:tabs>
              <w:tab w:val="left" w:pos="720"/>
              <w:tab w:val="left" w:pos="1440"/>
              <w:tab w:val="left" w:pos="2016"/>
              <w:tab w:val="left" w:pos="2880"/>
              <w:tab w:val="left" w:pos="4320"/>
              <w:tab w:val="left" w:pos="7056"/>
            </w:tabs>
            <w:spacing w:line="240" w:lineRule="atLeast"/>
            <w:rPr>
              <w:b/>
            </w:rPr>
          </w:pPr>
          <w:r>
            <w:rPr>
              <w:b/>
              <w:u w:val="single"/>
            </w:rPr>
            <w:tab/>
          </w:r>
          <w:r>
            <w:rPr>
              <w:b/>
              <w:u w:val="single"/>
            </w:rPr>
            <w:tab/>
          </w:r>
          <w:r w:rsidR="00FB0B63">
            <w:rPr>
              <w:b/>
              <w:u w:val="single"/>
            </w:rPr>
            <w:tab/>
          </w:r>
        </w:p>
      </w:tc>
      <w:tc>
        <w:tcPr>
          <w:tcW w:w="3095" w:type="dxa"/>
        </w:tcPr>
        <w:p w:rsidR="00FB0B63" w:rsidRDefault="00FB0B63">
          <w:pPr>
            <w:tabs>
              <w:tab w:val="left" w:pos="720"/>
              <w:tab w:val="left" w:pos="1440"/>
              <w:tab w:val="left" w:pos="2016"/>
              <w:tab w:val="left" w:pos="2880"/>
              <w:tab w:val="left" w:pos="4320"/>
              <w:tab w:val="left" w:pos="7056"/>
            </w:tabs>
            <w:spacing w:line="240" w:lineRule="atLeast"/>
            <w:rPr>
              <w:b/>
              <w:u w:val="single"/>
            </w:rPr>
          </w:pPr>
        </w:p>
      </w:tc>
      <w:tc>
        <w:tcPr>
          <w:tcW w:w="3095" w:type="dxa"/>
        </w:tcPr>
        <w:p w:rsidR="00FB0B63" w:rsidRDefault="00FB0B63">
          <w:pPr>
            <w:tabs>
              <w:tab w:val="left" w:pos="2835"/>
            </w:tabs>
            <w:spacing w:line="240" w:lineRule="atLeast"/>
            <w:rPr>
              <w:b/>
            </w:rPr>
          </w:pPr>
          <w:r>
            <w:rPr>
              <w:b/>
              <w:u w:val="single"/>
            </w:rPr>
            <w:tab/>
          </w:r>
        </w:p>
      </w:tc>
    </w:tr>
  </w:tbl>
  <w:p w:rsidR="00FB0B63" w:rsidRDefault="00FB0B63">
    <w:pPr>
      <w:pStyle w:val="Footer"/>
      <w:rPr>
        <w:sz w:val="16"/>
      </w:rPr>
    </w:pPr>
  </w:p>
  <w:p w:rsidR="00FB0B63" w:rsidRDefault="00FB0B63">
    <w:pPr>
      <w:pStyle w:val="Footer"/>
      <w:rPr>
        <w:b/>
        <w:sz w:val="16"/>
      </w:rPr>
    </w:pPr>
    <w:r>
      <w:rPr>
        <w:b/>
        <w:sz w:val="16"/>
      </w:rPr>
      <w:t>Permit No.:</w:t>
    </w:r>
    <w:r w:rsidR="0059572A">
      <w:rPr>
        <w:b/>
        <w:sz w:val="16"/>
      </w:rPr>
      <w:t xml:space="preserve"> 11-2017</w:t>
    </w:r>
    <w:r>
      <w:rPr>
        <w:b/>
        <w:sz w:val="16"/>
      </w:rPr>
      <w:tab/>
    </w:r>
    <w:r>
      <w:rPr>
        <w:b/>
        <w:sz w:val="16"/>
      </w:rPr>
      <w:tab/>
    </w:r>
    <w:r>
      <w:rPr>
        <w:b/>
        <w:snapToGrid w:val="0"/>
        <w:sz w:val="16"/>
        <w:lang w:eastAsia="en-US"/>
      </w:rPr>
      <w:t xml:space="preserve">Page </w:t>
    </w:r>
    <w:r>
      <w:rPr>
        <w:b/>
        <w:snapToGrid w:val="0"/>
        <w:sz w:val="16"/>
        <w:lang w:eastAsia="en-US"/>
      </w:rPr>
      <w:fldChar w:fldCharType="begin"/>
    </w:r>
    <w:r>
      <w:rPr>
        <w:b/>
        <w:snapToGrid w:val="0"/>
        <w:sz w:val="16"/>
        <w:lang w:eastAsia="en-US"/>
      </w:rPr>
      <w:instrText xml:space="preserve"> PAGE </w:instrText>
    </w:r>
    <w:r>
      <w:rPr>
        <w:b/>
        <w:snapToGrid w:val="0"/>
        <w:sz w:val="16"/>
        <w:lang w:eastAsia="en-US"/>
      </w:rPr>
      <w:fldChar w:fldCharType="separate"/>
    </w:r>
    <w:r w:rsidR="003A382F">
      <w:rPr>
        <w:b/>
        <w:noProof/>
        <w:snapToGrid w:val="0"/>
        <w:sz w:val="16"/>
        <w:lang w:eastAsia="en-US"/>
      </w:rPr>
      <w:t>1</w:t>
    </w:r>
    <w:r>
      <w:rPr>
        <w:b/>
        <w:snapToGrid w:val="0"/>
        <w:sz w:val="16"/>
        <w:lang w:eastAsia="en-US"/>
      </w:rPr>
      <w:fldChar w:fldCharType="end"/>
    </w:r>
    <w:r>
      <w:rPr>
        <w:b/>
        <w:snapToGrid w:val="0"/>
        <w:sz w:val="16"/>
        <w:lang w:eastAsia="en-US"/>
      </w:rPr>
      <w:t xml:space="preserve"> of  </w:t>
    </w:r>
    <w:r w:rsidRPr="00A873C8">
      <w:rPr>
        <w:b/>
        <w:snapToGrid w:val="0"/>
        <w:sz w:val="16"/>
        <w:lang w:eastAsia="en-US"/>
      </w:rPr>
      <w:fldChar w:fldCharType="begin"/>
    </w:r>
    <w:r w:rsidRPr="00A873C8">
      <w:rPr>
        <w:b/>
        <w:snapToGrid w:val="0"/>
        <w:sz w:val="16"/>
        <w:lang w:eastAsia="en-US"/>
      </w:rPr>
      <w:instrText xml:space="preserve"> NUMPAGES </w:instrText>
    </w:r>
    <w:r w:rsidRPr="00A873C8">
      <w:rPr>
        <w:b/>
        <w:snapToGrid w:val="0"/>
        <w:sz w:val="16"/>
        <w:lang w:eastAsia="en-US"/>
      </w:rPr>
      <w:fldChar w:fldCharType="separate"/>
    </w:r>
    <w:r w:rsidR="003A382F">
      <w:rPr>
        <w:b/>
        <w:noProof/>
        <w:snapToGrid w:val="0"/>
        <w:sz w:val="16"/>
        <w:lang w:eastAsia="en-US"/>
      </w:rPr>
      <w:t>12</w:t>
    </w:r>
    <w:r w:rsidRPr="00A873C8">
      <w:rPr>
        <w:b/>
        <w:snapToGrid w:val="0"/>
        <w:sz w:val="16"/>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2A" w:rsidRDefault="0059572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1BA" w:rsidRDefault="00860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72A" w:rsidRDefault="0059572A">
      <w:r>
        <w:separator/>
      </w:r>
    </w:p>
  </w:footnote>
  <w:footnote w:type="continuationSeparator" w:id="0">
    <w:p w:rsidR="0059572A" w:rsidRDefault="00595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2A" w:rsidRDefault="00595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B63" w:rsidRDefault="003A382F" w:rsidP="00FB0B63">
    <w:pPr>
      <w:pStyle w:val="Header"/>
      <w:jc w:val="center"/>
      <w:rPr>
        <w:b/>
        <w:sz w:val="16"/>
      </w:rPr>
    </w:pPr>
    <w:sdt>
      <w:sdtPr>
        <w:rPr>
          <w:b/>
          <w:sz w:val="16"/>
        </w:rPr>
        <w:id w:val="-688143714"/>
        <w:docPartObj>
          <w:docPartGallery w:val="Watermarks"/>
          <w:docPartUnique/>
        </w:docPartObj>
      </w:sdtPr>
      <w:sdtEndPr/>
      <w:sdtContent>
        <w:r>
          <w:rPr>
            <w:b/>
            <w:noProof/>
            <w:sz w:val="16"/>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04624" o:spid="_x0000_s2049" type="#_x0000_t136" style="position:absolute;left:0;text-align:left;margin-left:0;margin-top:0;width:399.65pt;height:239.8pt;rotation:315;z-index:-251658752;mso-position-horizontal:center;mso-position-horizontal-relative:margin;mso-position-vertical:center;mso-position-vertical-relative:margin" o:allowincell="f" fillcolor="#404040 [2429]" stroked="f">
              <v:fill opacity=".5"/>
              <v:textpath style="font-family:&quot;Calibri&quot;;font-size:1pt" string="DRAFT"/>
              <w10:wrap anchorx="margin" anchory="margin"/>
            </v:shape>
          </w:pict>
        </w:r>
      </w:sdtContent>
    </w:sdt>
    <w:r w:rsidR="00FB0B63">
      <w:rPr>
        <w:b/>
        <w:sz w:val="16"/>
      </w:rPr>
      <w:t>Planning and Environment Regulations 2015 - Form 9. Section 96J</w:t>
    </w:r>
  </w:p>
  <w:p w:rsidR="00FB0B63" w:rsidRPr="00FB0B63" w:rsidRDefault="00FB0B63" w:rsidP="00FB0B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2A" w:rsidRDefault="005957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2A" w:rsidRDefault="005957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2A" w:rsidRDefault="0059572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2A" w:rsidRDefault="005957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5B42D8"/>
    <w:multiLevelType w:val="singleLevel"/>
    <w:tmpl w:val="272E6EC4"/>
    <w:lvl w:ilvl="0">
      <w:start w:val="1"/>
      <w:numFmt w:val="bullet"/>
      <w:pStyle w:val="Style2"/>
      <w:lvlText w:val=""/>
      <w:lvlJc w:val="left"/>
      <w:pPr>
        <w:tabs>
          <w:tab w:val="num" w:pos="360"/>
        </w:tabs>
        <w:ind w:left="360" w:hanging="360"/>
      </w:pPr>
      <w:rPr>
        <w:rFonts w:ascii="Wingdings" w:hAnsi="Wingdings" w:hint="default"/>
        <w:sz w:val="16"/>
      </w:rPr>
    </w:lvl>
  </w:abstractNum>
  <w:abstractNum w:abstractNumId="2">
    <w:nsid w:val="117E3239"/>
    <w:multiLevelType w:val="singleLevel"/>
    <w:tmpl w:val="53F8C60A"/>
    <w:lvl w:ilvl="0">
      <w:start w:val="1"/>
      <w:numFmt w:val="bullet"/>
      <w:lvlText w:val=""/>
      <w:lvlJc w:val="left"/>
      <w:pPr>
        <w:tabs>
          <w:tab w:val="num" w:pos="360"/>
        </w:tabs>
        <w:ind w:left="360" w:hanging="360"/>
      </w:pPr>
      <w:rPr>
        <w:rFonts w:ascii="Symbol" w:hAnsi="Symbol" w:hint="default"/>
        <w:sz w:val="16"/>
      </w:rPr>
    </w:lvl>
  </w:abstractNum>
  <w:abstractNum w:abstractNumId="3">
    <w:nsid w:val="154C377B"/>
    <w:multiLevelType w:val="singleLevel"/>
    <w:tmpl w:val="381A9F38"/>
    <w:lvl w:ilvl="0">
      <w:start w:val="2"/>
      <w:numFmt w:val="bullet"/>
      <w:lvlText w:val=""/>
      <w:lvlJc w:val="left"/>
      <w:pPr>
        <w:tabs>
          <w:tab w:val="num" w:pos="1440"/>
        </w:tabs>
        <w:ind w:left="1440" w:hanging="720"/>
      </w:pPr>
      <w:rPr>
        <w:rFonts w:ascii="Symbol" w:hAnsi="Symbol" w:hint="default"/>
      </w:rPr>
    </w:lvl>
  </w:abstractNum>
  <w:abstractNum w:abstractNumId="4">
    <w:nsid w:val="168F0E35"/>
    <w:multiLevelType w:val="singleLevel"/>
    <w:tmpl w:val="99A6E40E"/>
    <w:lvl w:ilvl="0">
      <w:start w:val="1"/>
      <w:numFmt w:val="decimal"/>
      <w:lvlText w:val="%1."/>
      <w:legacy w:legacy="1" w:legacySpace="0" w:legacyIndent="283"/>
      <w:lvlJc w:val="left"/>
      <w:pPr>
        <w:ind w:left="283" w:hanging="283"/>
      </w:pPr>
    </w:lvl>
  </w:abstractNum>
  <w:abstractNum w:abstractNumId="5">
    <w:nsid w:val="49F455D2"/>
    <w:multiLevelType w:val="hybridMultilevel"/>
    <w:tmpl w:val="4094E1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4C09454C"/>
    <w:multiLevelType w:val="singleLevel"/>
    <w:tmpl w:val="6EB8E58C"/>
    <w:lvl w:ilvl="0">
      <w:start w:val="1"/>
      <w:numFmt w:val="bullet"/>
      <w:pStyle w:val="Style1"/>
      <w:lvlText w:val=""/>
      <w:lvlJc w:val="left"/>
      <w:pPr>
        <w:tabs>
          <w:tab w:val="num" w:pos="360"/>
        </w:tabs>
        <w:ind w:left="360" w:hanging="360"/>
      </w:pPr>
      <w:rPr>
        <w:rFonts w:ascii="Symbol" w:hAnsi="Symbol" w:hint="default"/>
        <w:sz w:val="16"/>
      </w:rPr>
    </w:lvl>
  </w:abstractNum>
  <w:abstractNum w:abstractNumId="7">
    <w:nsid w:val="623260C5"/>
    <w:multiLevelType w:val="singleLevel"/>
    <w:tmpl w:val="D77C391E"/>
    <w:lvl w:ilvl="0">
      <w:start w:val="1"/>
      <w:numFmt w:val="bullet"/>
      <w:lvlText w:val=""/>
      <w:lvlJc w:val="left"/>
      <w:pPr>
        <w:tabs>
          <w:tab w:val="num" w:pos="360"/>
        </w:tabs>
        <w:ind w:left="360" w:hanging="360"/>
      </w:pPr>
      <w:rPr>
        <w:rFonts w:ascii="Symbol" w:hAnsi="Symbol" w:hint="default"/>
        <w:sz w:val="16"/>
      </w:rPr>
    </w:lvl>
  </w:abstractNum>
  <w:abstractNum w:abstractNumId="8">
    <w:nsid w:val="64AB5094"/>
    <w:multiLevelType w:val="singleLevel"/>
    <w:tmpl w:val="D6FE7F1C"/>
    <w:lvl w:ilvl="0">
      <w:start w:val="1"/>
      <w:numFmt w:val="bullet"/>
      <w:lvlText w:val=""/>
      <w:lvlJc w:val="left"/>
      <w:pPr>
        <w:tabs>
          <w:tab w:val="num" w:pos="360"/>
        </w:tabs>
        <w:ind w:left="360" w:hanging="360"/>
      </w:pPr>
      <w:rPr>
        <w:rFonts w:ascii="Symbol" w:hAnsi="Symbol" w:hint="default"/>
        <w:sz w:val="12"/>
      </w:rPr>
    </w:lvl>
  </w:abstractNum>
  <w:abstractNum w:abstractNumId="9">
    <w:nsid w:val="698D0E3D"/>
    <w:multiLevelType w:val="singleLevel"/>
    <w:tmpl w:val="381A9F38"/>
    <w:lvl w:ilvl="0">
      <w:start w:val="2"/>
      <w:numFmt w:val="bullet"/>
      <w:lvlText w:val=""/>
      <w:lvlJc w:val="left"/>
      <w:pPr>
        <w:tabs>
          <w:tab w:val="num" w:pos="1440"/>
        </w:tabs>
        <w:ind w:left="1440" w:hanging="720"/>
      </w:pPr>
      <w:rPr>
        <w:rFonts w:ascii="Symbol" w:hAnsi="Symbol" w:hint="default"/>
      </w:rPr>
    </w:lvl>
  </w:abstractNum>
  <w:abstractNum w:abstractNumId="10">
    <w:nsid w:val="6E366924"/>
    <w:multiLevelType w:val="singleLevel"/>
    <w:tmpl w:val="381A9F38"/>
    <w:lvl w:ilvl="0">
      <w:start w:val="2"/>
      <w:numFmt w:val="bullet"/>
      <w:lvlText w:val=""/>
      <w:lvlJc w:val="left"/>
      <w:pPr>
        <w:tabs>
          <w:tab w:val="num" w:pos="1440"/>
        </w:tabs>
        <w:ind w:left="1440" w:hanging="720"/>
      </w:pPr>
      <w:rPr>
        <w:rFonts w:ascii="Symbol" w:hAnsi="Symbol" w:hint="default"/>
      </w:rPr>
    </w:lvl>
  </w:abstractNum>
  <w:num w:numId="1">
    <w:abstractNumId w:val="6"/>
  </w:num>
  <w:num w:numId="2">
    <w:abstractNumId w:val="1"/>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4"/>
  </w:num>
  <w:num w:numId="5">
    <w:abstractNumId w:val="3"/>
  </w:num>
  <w:num w:numId="6">
    <w:abstractNumId w:val="9"/>
  </w:num>
  <w:num w:numId="7">
    <w:abstractNumId w:val="10"/>
  </w:num>
  <w:num w:numId="8">
    <w:abstractNumId w:val="7"/>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72A"/>
    <w:rsid w:val="0005086C"/>
    <w:rsid w:val="00345803"/>
    <w:rsid w:val="003A382F"/>
    <w:rsid w:val="003B76AE"/>
    <w:rsid w:val="00481FA6"/>
    <w:rsid w:val="00512EAC"/>
    <w:rsid w:val="0059572A"/>
    <w:rsid w:val="007761CE"/>
    <w:rsid w:val="007C75DD"/>
    <w:rsid w:val="0081220C"/>
    <w:rsid w:val="008601BA"/>
    <w:rsid w:val="00976195"/>
    <w:rsid w:val="00A873C8"/>
    <w:rsid w:val="00AA4A45"/>
    <w:rsid w:val="00E5526E"/>
    <w:rsid w:val="00FB0B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49D05A6-0F47-42B5-AFF7-6F0FDF87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pPr>
      <w:keepNext/>
      <w:jc w:val="center"/>
      <w:outlineLvl w:val="1"/>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numPr>
        <w:numId w:val="1"/>
      </w:numPr>
      <w:tabs>
        <w:tab w:val="left" w:pos="-993"/>
      </w:tabs>
      <w:ind w:right="84"/>
    </w:pPr>
    <w:rPr>
      <w:sz w:val="24"/>
    </w:rPr>
  </w:style>
  <w:style w:type="paragraph" w:customStyle="1" w:styleId="Style2">
    <w:name w:val="Style2"/>
    <w:basedOn w:val="Normal"/>
    <w:pPr>
      <w:numPr>
        <w:numId w:val="2"/>
      </w:numPr>
    </w:pPr>
    <w:rPr>
      <w:sz w:val="24"/>
    </w:rPr>
  </w:style>
  <w:style w:type="paragraph" w:styleId="BodyText">
    <w:name w:val="Body Text"/>
    <w:basedOn w:val="Normal"/>
    <w:pPr>
      <w:tabs>
        <w:tab w:val="left" w:pos="720"/>
        <w:tab w:val="left" w:pos="1440"/>
        <w:tab w:val="left" w:pos="2016"/>
        <w:tab w:val="left" w:pos="2880"/>
        <w:tab w:val="left" w:pos="4320"/>
        <w:tab w:val="left" w:pos="7056"/>
      </w:tabs>
      <w:spacing w:line="240" w:lineRule="atLeast"/>
    </w:pPr>
    <w:rPr>
      <w:b/>
      <w:sz w:val="24"/>
    </w:rPr>
  </w:style>
  <w:style w:type="paragraph" w:styleId="Header">
    <w:name w:val="header"/>
    <w:basedOn w:val="Normal"/>
    <w:pPr>
      <w:tabs>
        <w:tab w:val="center" w:pos="4153"/>
        <w:tab w:val="right" w:pos="8306"/>
      </w:tabs>
    </w:pPr>
    <w:rPr>
      <w:sz w:val="24"/>
    </w:rPr>
  </w:style>
  <w:style w:type="paragraph" w:styleId="Footer">
    <w:name w:val="footer"/>
    <w:basedOn w:val="Normal"/>
    <w:pPr>
      <w:tabs>
        <w:tab w:val="center" w:pos="4153"/>
        <w:tab w:val="right" w:pos="8306"/>
      </w:tabs>
    </w:pPr>
    <w:rPr>
      <w:sz w:val="24"/>
    </w:rPr>
  </w:style>
  <w:style w:type="paragraph" w:styleId="BodyText2">
    <w:name w:val="Body Text 2"/>
    <w:basedOn w:val="Normal"/>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pPr>
    <w:rPr>
      <w:b/>
      <w:caps/>
      <w:sz w:val="18"/>
    </w:rPr>
  </w:style>
  <w:style w:type="paragraph" w:styleId="BodyTextIndent">
    <w:name w:val="Body Text Indent"/>
    <w:basedOn w:val="Normal"/>
    <w:pPr>
      <w:spacing w:line="240" w:lineRule="atLeast"/>
      <w:ind w:left="720" w:hanging="720"/>
    </w:pPr>
    <w:rPr>
      <w:sz w:val="14"/>
    </w:rPr>
  </w:style>
  <w:style w:type="character" w:styleId="PageNumber">
    <w:name w:val="page number"/>
    <w:basedOn w:val="DefaultParagraphFont"/>
    <w:rsid w:val="00A873C8"/>
  </w:style>
  <w:style w:type="character" w:styleId="Hyperlink">
    <w:name w:val="Hyperlink"/>
    <w:basedOn w:val="DefaultParagraphFont"/>
    <w:uiPriority w:val="99"/>
    <w:rsid w:val="0059572A"/>
    <w:rPr>
      <w:rFonts w:cs="Times New Roman"/>
      <w:color w:val="0000FF"/>
      <w:u w:val="single"/>
    </w:rPr>
  </w:style>
  <w:style w:type="paragraph" w:styleId="BalloonText">
    <w:name w:val="Balloon Text"/>
    <w:basedOn w:val="Normal"/>
    <w:link w:val="BalloonTextChar"/>
    <w:rsid w:val="0081220C"/>
    <w:rPr>
      <w:rFonts w:ascii="Segoe UI" w:hAnsi="Segoe UI" w:cs="Segoe UI"/>
      <w:sz w:val="18"/>
      <w:szCs w:val="18"/>
    </w:rPr>
  </w:style>
  <w:style w:type="character" w:customStyle="1" w:styleId="BalloonTextChar">
    <w:name w:val="Balloon Text Char"/>
    <w:basedOn w:val="DefaultParagraphFont"/>
    <w:link w:val="BalloonText"/>
    <w:rsid w:val="00812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fa.vic.gov.au" TargetMode="Externa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2307BE64.dotm</Template>
  <TotalTime>1</TotalTime>
  <Pages>12</Pages>
  <Words>4773</Words>
  <Characters>25309</Characters>
  <Application>Microsoft Office Word</Application>
  <DocSecurity>4</DocSecurity>
  <Lines>210</Lines>
  <Paragraphs>60</Paragraphs>
  <ScaleCrop>false</ScaleCrop>
  <HeadingPairs>
    <vt:vector size="2" baseType="variant">
      <vt:variant>
        <vt:lpstr>Title</vt:lpstr>
      </vt:variant>
      <vt:variant>
        <vt:i4>1</vt:i4>
      </vt:variant>
    </vt:vector>
  </HeadingPairs>
  <TitlesOfParts>
    <vt:vector size="1" baseType="lpstr">
      <vt:lpstr>PLANNING</vt:lpstr>
    </vt:vector>
  </TitlesOfParts>
  <Company>nre</Company>
  <LinksUpToDate>false</LinksUpToDate>
  <CharactersWithSpaces>30022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dc:title>
  <dc:subject/>
  <dc:creator>Steve Roussac</dc:creator>
  <cp:keywords/>
  <dc:description/>
  <cp:lastModifiedBy>Barry Gough</cp:lastModifiedBy>
  <cp:revision>2</cp:revision>
  <cp:lastPrinted>2017-10-04T05:32:00Z</cp:lastPrinted>
  <dcterms:created xsi:type="dcterms:W3CDTF">2017-10-05T00:59:00Z</dcterms:created>
  <dcterms:modified xsi:type="dcterms:W3CDTF">2017-10-05T00:59:00Z</dcterms:modified>
</cp:coreProperties>
</file>