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EF8" w:rsidRPr="008F6EF8" w:rsidRDefault="008F6EF8" w:rsidP="008F6EF8">
      <w:pPr>
        <w:spacing w:line="360" w:lineRule="auto"/>
        <w:ind w:left="867" w:hanging="510"/>
        <w:rPr>
          <w:rFonts w:ascii="Arial" w:hAnsi="Arial"/>
          <w:sz w:val="22"/>
          <w:szCs w:val="24"/>
          <w:lang w:val="en-US"/>
        </w:rPr>
      </w:pPr>
      <w:bookmarkStart w:id="0" w:name="_GoBack"/>
      <w:bookmarkEnd w:id="0"/>
    </w:p>
    <w:p w:rsidR="008F6EF8" w:rsidRPr="008F6EF8" w:rsidRDefault="008F6EF8" w:rsidP="008F6EF8">
      <w:pPr>
        <w:spacing w:line="360" w:lineRule="auto"/>
        <w:ind w:left="867" w:hanging="510"/>
        <w:rPr>
          <w:rFonts w:ascii="Arial" w:hAnsi="Arial"/>
          <w:sz w:val="22"/>
          <w:szCs w:val="24"/>
          <w:lang w:val="en-US"/>
        </w:rPr>
      </w:pPr>
    </w:p>
    <w:p w:rsidR="008F6EF8" w:rsidRPr="008F6EF8" w:rsidRDefault="008F6EF8" w:rsidP="008F6EF8">
      <w:pPr>
        <w:spacing w:line="360" w:lineRule="auto"/>
        <w:ind w:left="867" w:hanging="510"/>
        <w:rPr>
          <w:rFonts w:ascii="Arial" w:hAnsi="Arial"/>
          <w:sz w:val="22"/>
          <w:szCs w:val="24"/>
          <w:lang w:val="en-US"/>
        </w:rPr>
      </w:pPr>
    </w:p>
    <w:p w:rsidR="008F6EF8" w:rsidRPr="008F6EF8" w:rsidRDefault="008F6EF8" w:rsidP="008F6EF8">
      <w:pPr>
        <w:spacing w:line="360" w:lineRule="auto"/>
        <w:ind w:left="867" w:hanging="510"/>
        <w:rPr>
          <w:rFonts w:ascii="Arial" w:hAnsi="Arial"/>
          <w:sz w:val="22"/>
          <w:szCs w:val="24"/>
          <w:lang w:val="en-US"/>
        </w:rPr>
      </w:pPr>
    </w:p>
    <w:p w:rsidR="008F6EF8" w:rsidRPr="008F6EF8" w:rsidRDefault="008F6EF8" w:rsidP="008F6EF8">
      <w:pPr>
        <w:spacing w:line="360" w:lineRule="auto"/>
        <w:ind w:left="867" w:hanging="510"/>
        <w:rPr>
          <w:rFonts w:ascii="Arial" w:hAnsi="Arial"/>
          <w:sz w:val="22"/>
          <w:szCs w:val="24"/>
          <w:lang w:val="en-US"/>
        </w:rPr>
      </w:pPr>
    </w:p>
    <w:p w:rsidR="008F6EF8" w:rsidRPr="008F6EF8" w:rsidRDefault="008F6EF8" w:rsidP="008F6EF8">
      <w:pPr>
        <w:spacing w:line="276" w:lineRule="auto"/>
        <w:ind w:left="426"/>
        <w:rPr>
          <w:rFonts w:ascii="Arial" w:hAnsi="Arial" w:cs="Arial"/>
          <w:b/>
          <w:sz w:val="32"/>
          <w:szCs w:val="32"/>
          <w:lang w:val="en-US"/>
        </w:rPr>
      </w:pPr>
      <w:r w:rsidRPr="008F6EF8">
        <w:rPr>
          <w:rFonts w:ascii="Arial" w:hAnsi="Arial" w:cs="Arial"/>
          <w:b/>
          <w:sz w:val="32"/>
          <w:szCs w:val="32"/>
          <w:lang w:val="en-US"/>
        </w:rPr>
        <w:t>AMENDMENT C367 to the GREATER GEELONG PLANNING SCHEME and PERMIT APPLICATION No. PP-1463-2016</w:t>
      </w:r>
    </w:p>
    <w:p w:rsidR="008F6EF8" w:rsidRPr="008F6EF8" w:rsidRDefault="008F6EF8" w:rsidP="008F6EF8">
      <w:pPr>
        <w:tabs>
          <w:tab w:val="left" w:pos="1612"/>
        </w:tabs>
        <w:spacing w:line="276" w:lineRule="auto"/>
        <w:ind w:left="867" w:hanging="510"/>
        <w:rPr>
          <w:rFonts w:ascii="Arial" w:hAnsi="Arial" w:cs="Arial"/>
          <w:b/>
          <w:sz w:val="32"/>
          <w:szCs w:val="32"/>
          <w:lang w:val="en-US"/>
        </w:rPr>
      </w:pPr>
      <w:r w:rsidRPr="008F6EF8">
        <w:rPr>
          <w:rFonts w:ascii="Arial" w:hAnsi="Arial" w:cs="Arial"/>
          <w:b/>
          <w:sz w:val="32"/>
          <w:szCs w:val="32"/>
          <w:lang w:val="en-US"/>
        </w:rPr>
        <w:tab/>
      </w:r>
    </w:p>
    <w:p w:rsidR="008F6EF8" w:rsidRPr="008F6EF8" w:rsidRDefault="008F6EF8" w:rsidP="008F6EF8">
      <w:pPr>
        <w:spacing w:line="276" w:lineRule="auto"/>
        <w:ind w:left="867" w:hanging="510"/>
        <w:rPr>
          <w:rFonts w:ascii="Arial" w:hAnsi="Arial" w:cs="Arial"/>
          <w:b/>
          <w:sz w:val="32"/>
          <w:szCs w:val="32"/>
          <w:lang w:val="en-US"/>
        </w:rPr>
      </w:pPr>
    </w:p>
    <w:p w:rsidR="008F6EF8" w:rsidRPr="008F6EF8" w:rsidRDefault="008F6EF8" w:rsidP="008F6EF8">
      <w:pPr>
        <w:spacing w:line="276" w:lineRule="auto"/>
        <w:ind w:left="425"/>
        <w:rPr>
          <w:rFonts w:ascii="Arial" w:hAnsi="Arial" w:cs="Arial"/>
          <w:b/>
          <w:sz w:val="32"/>
          <w:szCs w:val="32"/>
          <w:lang w:val="en-US"/>
        </w:rPr>
      </w:pPr>
      <w:r w:rsidRPr="008F6EF8">
        <w:rPr>
          <w:rFonts w:ascii="Arial" w:hAnsi="Arial" w:cs="Arial"/>
          <w:b/>
          <w:sz w:val="32"/>
          <w:szCs w:val="32"/>
          <w:lang w:val="en-US"/>
        </w:rPr>
        <w:t>2-120 MOLLERS LANE</w:t>
      </w:r>
      <w:r>
        <w:rPr>
          <w:rFonts w:ascii="Arial" w:hAnsi="Arial" w:cs="Arial"/>
          <w:b/>
          <w:sz w:val="32"/>
          <w:szCs w:val="32"/>
          <w:lang w:val="en-US"/>
        </w:rPr>
        <w:t>,</w:t>
      </w:r>
      <w:r w:rsidRPr="008F6EF8">
        <w:rPr>
          <w:rFonts w:ascii="Arial" w:hAnsi="Arial" w:cs="Arial"/>
          <w:b/>
          <w:sz w:val="32"/>
          <w:szCs w:val="32"/>
          <w:lang w:val="en-US"/>
        </w:rPr>
        <w:t xml:space="preserve"> LEOPOLD</w:t>
      </w:r>
    </w:p>
    <w:p w:rsidR="008F6EF8" w:rsidRPr="008F6EF8" w:rsidRDefault="008F6EF8" w:rsidP="008F6EF8">
      <w:pPr>
        <w:spacing w:line="276" w:lineRule="auto"/>
        <w:ind w:left="867" w:hanging="510"/>
        <w:rPr>
          <w:rFonts w:ascii="Arial" w:hAnsi="Arial" w:cs="Arial"/>
          <w:b/>
          <w:sz w:val="32"/>
          <w:szCs w:val="32"/>
          <w:lang w:val="en-US"/>
        </w:rPr>
      </w:pPr>
    </w:p>
    <w:p w:rsidR="008F6EF8" w:rsidRPr="008F6EF8" w:rsidRDefault="008F6EF8" w:rsidP="008F6EF8">
      <w:pPr>
        <w:spacing w:line="276" w:lineRule="auto"/>
        <w:ind w:left="867" w:hanging="510"/>
        <w:rPr>
          <w:rFonts w:ascii="Arial" w:hAnsi="Arial"/>
          <w:b/>
          <w:sz w:val="32"/>
          <w:szCs w:val="32"/>
          <w:lang w:val="en-US"/>
        </w:rPr>
      </w:pPr>
    </w:p>
    <w:p w:rsidR="008F6EF8" w:rsidRPr="008F6EF8" w:rsidRDefault="008F6EF8" w:rsidP="008F6EF8">
      <w:pPr>
        <w:spacing w:line="276" w:lineRule="auto"/>
        <w:ind w:left="867" w:hanging="510"/>
        <w:rPr>
          <w:rFonts w:ascii="Arial" w:hAnsi="Arial"/>
          <w:b/>
          <w:sz w:val="32"/>
          <w:szCs w:val="32"/>
          <w:lang w:val="en-US"/>
        </w:rPr>
      </w:pPr>
    </w:p>
    <w:p w:rsidR="008F6EF8" w:rsidRPr="008F6EF8" w:rsidRDefault="008F6EF8" w:rsidP="008F6EF8">
      <w:pPr>
        <w:spacing w:line="276" w:lineRule="auto"/>
        <w:ind w:left="426"/>
        <w:rPr>
          <w:rFonts w:ascii="Arial" w:hAnsi="Arial" w:cs="Arial"/>
          <w:b/>
          <w:color w:val="0070C0"/>
          <w:sz w:val="32"/>
          <w:szCs w:val="32"/>
          <w:lang w:val="en-US"/>
        </w:rPr>
      </w:pPr>
      <w:r w:rsidRPr="008F6EF8">
        <w:rPr>
          <w:rFonts w:ascii="Arial" w:hAnsi="Arial" w:cs="Arial"/>
          <w:b/>
          <w:color w:val="0070C0"/>
          <w:sz w:val="32"/>
          <w:szCs w:val="32"/>
          <w:lang w:val="en-US"/>
        </w:rPr>
        <w:t xml:space="preserve">Part A </w:t>
      </w:r>
      <w:r w:rsidR="00F738AD">
        <w:rPr>
          <w:rFonts w:ascii="Arial" w:hAnsi="Arial" w:cs="Arial"/>
          <w:b/>
          <w:color w:val="0070C0"/>
          <w:sz w:val="32"/>
          <w:szCs w:val="32"/>
          <w:lang w:val="en-US"/>
        </w:rPr>
        <w:t>(4</w:t>
      </w:r>
      <w:r w:rsidRPr="008F6EF8">
        <w:rPr>
          <w:rFonts w:ascii="Arial" w:hAnsi="Arial" w:cs="Arial"/>
          <w:b/>
          <w:color w:val="0070C0"/>
          <w:sz w:val="32"/>
          <w:szCs w:val="32"/>
          <w:lang w:val="en-US"/>
        </w:rPr>
        <w:t xml:space="preserve">) </w:t>
      </w:r>
      <w:r>
        <w:rPr>
          <w:rFonts w:ascii="Arial" w:hAnsi="Arial" w:cs="Arial"/>
          <w:b/>
          <w:color w:val="0070C0"/>
          <w:sz w:val="32"/>
          <w:szCs w:val="32"/>
          <w:lang w:val="en-US"/>
        </w:rPr>
        <w:t>Summary to Track Changes</w:t>
      </w:r>
      <w:r w:rsidR="00AC2955">
        <w:rPr>
          <w:rFonts w:ascii="Arial" w:hAnsi="Arial" w:cs="Arial"/>
          <w:b/>
          <w:color w:val="0070C0"/>
          <w:sz w:val="32"/>
          <w:szCs w:val="32"/>
          <w:lang w:val="en-US"/>
        </w:rPr>
        <w:t xml:space="preserve"> </w:t>
      </w:r>
      <w:r>
        <w:rPr>
          <w:rFonts w:ascii="Arial" w:hAnsi="Arial" w:cs="Arial"/>
          <w:b/>
          <w:color w:val="0070C0"/>
          <w:sz w:val="32"/>
          <w:szCs w:val="32"/>
          <w:lang w:val="en-US"/>
        </w:rPr>
        <w:t>Draft Permit and Conditions for Retention</w:t>
      </w:r>
      <w:r w:rsidRPr="008F6EF8">
        <w:rPr>
          <w:rFonts w:ascii="Arial" w:hAnsi="Arial" w:cs="Arial"/>
          <w:b/>
          <w:color w:val="0070C0"/>
          <w:sz w:val="32"/>
          <w:szCs w:val="32"/>
          <w:lang w:val="en-US"/>
        </w:rPr>
        <w:t xml:space="preserve"> </w:t>
      </w:r>
    </w:p>
    <w:p w:rsidR="008F6EF8" w:rsidRPr="008F6EF8" w:rsidRDefault="008F6EF8" w:rsidP="008F6EF8">
      <w:pPr>
        <w:spacing w:line="360" w:lineRule="auto"/>
        <w:ind w:left="867" w:hanging="510"/>
        <w:rPr>
          <w:rFonts w:ascii="Arial" w:hAnsi="Arial" w:cs="Arial"/>
          <w:b/>
          <w:sz w:val="22"/>
          <w:szCs w:val="22"/>
        </w:rPr>
      </w:pPr>
    </w:p>
    <w:p w:rsidR="008F6EF8" w:rsidRPr="008F6EF8" w:rsidRDefault="008F6EF8" w:rsidP="008F6EF8">
      <w:pPr>
        <w:spacing w:line="360" w:lineRule="auto"/>
        <w:ind w:left="867" w:hanging="510"/>
        <w:rPr>
          <w:rFonts w:ascii="Arial" w:hAnsi="Arial" w:cs="Arial"/>
          <w:b/>
          <w:sz w:val="22"/>
          <w:szCs w:val="22"/>
        </w:rPr>
      </w:pPr>
    </w:p>
    <w:p w:rsidR="008F6EF8" w:rsidRPr="008F6EF8" w:rsidRDefault="008F6EF8" w:rsidP="008F6EF8">
      <w:pPr>
        <w:spacing w:line="360" w:lineRule="auto"/>
        <w:ind w:left="867" w:hanging="510"/>
        <w:rPr>
          <w:rFonts w:ascii="Arial" w:hAnsi="Arial" w:cs="Arial"/>
          <w:b/>
          <w:sz w:val="22"/>
          <w:szCs w:val="22"/>
        </w:rPr>
      </w:pPr>
    </w:p>
    <w:p w:rsidR="008F6EF8" w:rsidRPr="008F6EF8" w:rsidRDefault="008F6EF8" w:rsidP="008F6EF8">
      <w:pPr>
        <w:spacing w:line="360" w:lineRule="auto"/>
        <w:ind w:left="867" w:hanging="510"/>
        <w:rPr>
          <w:rFonts w:ascii="Arial" w:hAnsi="Arial" w:cs="Arial"/>
          <w:b/>
          <w:sz w:val="22"/>
          <w:szCs w:val="22"/>
        </w:rPr>
      </w:pPr>
    </w:p>
    <w:p w:rsidR="008F6EF8" w:rsidRPr="008F6EF8" w:rsidRDefault="008F6EF8" w:rsidP="008F6EF8">
      <w:pPr>
        <w:spacing w:line="360" w:lineRule="auto"/>
        <w:ind w:left="426"/>
        <w:rPr>
          <w:rFonts w:ascii="Arial" w:hAnsi="Arial" w:cs="Arial"/>
          <w:b/>
          <w:sz w:val="24"/>
          <w:szCs w:val="24"/>
        </w:rPr>
      </w:pPr>
      <w:r w:rsidRPr="008F6EF8">
        <w:rPr>
          <w:rFonts w:ascii="Arial" w:hAnsi="Arial" w:cs="Arial"/>
          <w:b/>
          <w:sz w:val="24"/>
          <w:szCs w:val="24"/>
        </w:rPr>
        <w:t xml:space="preserve">Panel: </w:t>
      </w:r>
      <w:r w:rsidRPr="008F6EF8">
        <w:rPr>
          <w:rFonts w:ascii="Arial" w:hAnsi="Arial" w:cs="Arial"/>
          <w:b/>
          <w:sz w:val="24"/>
          <w:szCs w:val="24"/>
        </w:rPr>
        <w:tab/>
      </w:r>
      <w:r w:rsidRPr="008F6EF8">
        <w:rPr>
          <w:rFonts w:ascii="Arial" w:hAnsi="Arial" w:cs="Arial"/>
          <w:b/>
          <w:sz w:val="24"/>
          <w:szCs w:val="24"/>
        </w:rPr>
        <w:tab/>
        <w:t>Sarah Carlisle (Chair), Gabby McMillan</w:t>
      </w:r>
    </w:p>
    <w:p w:rsidR="008F6EF8" w:rsidRPr="008F6EF8" w:rsidRDefault="008F6EF8" w:rsidP="008F6EF8">
      <w:pPr>
        <w:spacing w:line="360" w:lineRule="auto"/>
        <w:ind w:left="426"/>
        <w:rPr>
          <w:rFonts w:ascii="Arial" w:hAnsi="Arial" w:cs="Arial"/>
          <w:b/>
          <w:sz w:val="24"/>
          <w:szCs w:val="24"/>
        </w:rPr>
      </w:pPr>
      <w:r w:rsidRPr="008F6EF8">
        <w:rPr>
          <w:rFonts w:ascii="Arial" w:hAnsi="Arial" w:cs="Arial"/>
          <w:b/>
          <w:sz w:val="24"/>
          <w:szCs w:val="24"/>
        </w:rPr>
        <w:t xml:space="preserve">Date: </w:t>
      </w:r>
      <w:r w:rsidRPr="008F6EF8">
        <w:rPr>
          <w:rFonts w:ascii="Arial" w:hAnsi="Arial" w:cs="Arial"/>
          <w:b/>
          <w:sz w:val="24"/>
          <w:szCs w:val="24"/>
        </w:rPr>
        <w:tab/>
      </w:r>
      <w:r w:rsidRPr="008F6EF8">
        <w:rPr>
          <w:rFonts w:ascii="Arial" w:hAnsi="Arial" w:cs="Arial"/>
          <w:b/>
          <w:sz w:val="24"/>
          <w:szCs w:val="24"/>
        </w:rPr>
        <w:tab/>
        <w:t>Monday 3 December 2018</w:t>
      </w:r>
    </w:p>
    <w:p w:rsidR="008F6EF8" w:rsidRPr="008F6EF8" w:rsidRDefault="008F6EF8" w:rsidP="008F6EF8">
      <w:pPr>
        <w:spacing w:line="360" w:lineRule="auto"/>
        <w:ind w:left="2160" w:hanging="1734"/>
        <w:jc w:val="both"/>
        <w:rPr>
          <w:rFonts w:ascii="Arial" w:hAnsi="Arial" w:cs="Arial"/>
          <w:b/>
          <w:sz w:val="24"/>
          <w:szCs w:val="24"/>
        </w:rPr>
        <w:sectPr w:rsidR="008F6EF8" w:rsidRPr="008F6EF8" w:rsidSect="00727CF9">
          <w:headerReference w:type="default" r:id="rId9"/>
          <w:footerReference w:type="even" r:id="rId10"/>
          <w:footerReference w:type="default" r:id="rId11"/>
          <w:headerReference w:type="first" r:id="rId12"/>
          <w:footerReference w:type="first" r:id="rId13"/>
          <w:pgSz w:w="11906" w:h="16838" w:code="9"/>
          <w:pgMar w:top="1247" w:right="1797" w:bottom="1440" w:left="1797" w:header="709" w:footer="17" w:gutter="0"/>
          <w:cols w:space="708"/>
          <w:docGrid w:linePitch="360"/>
        </w:sectPr>
      </w:pPr>
      <w:r w:rsidRPr="008F6EF8">
        <w:rPr>
          <w:rFonts w:ascii="Arial" w:hAnsi="Arial" w:cs="Arial"/>
          <w:b/>
          <w:sz w:val="24"/>
          <w:szCs w:val="24"/>
        </w:rPr>
        <w:lastRenderedPageBreak/>
        <w:t xml:space="preserve">Prepared by: </w:t>
      </w:r>
      <w:r w:rsidRPr="008F6EF8">
        <w:rPr>
          <w:rFonts w:ascii="Arial" w:hAnsi="Arial" w:cs="Arial"/>
          <w:b/>
          <w:sz w:val="24"/>
          <w:szCs w:val="24"/>
        </w:rPr>
        <w:tab/>
        <w:t>Susan Williamson, Senior Strategic Planner and Leanne Stockley, Senior Town Planner on behalf of the City of Greater Geelong</w:t>
      </w:r>
    </w:p>
    <w:p w:rsidR="008F6EF8" w:rsidRDefault="008F6EF8">
      <w:pPr>
        <w:rPr>
          <w:rFonts w:ascii="Arial" w:hAnsi="Arial" w:cs="Arial"/>
          <w:b/>
          <w:sz w:val="28"/>
          <w:szCs w:val="28"/>
        </w:rPr>
      </w:pPr>
    </w:p>
    <w:p w:rsidR="00A315CA" w:rsidRDefault="00A315CA">
      <w:pPr>
        <w:rPr>
          <w:rFonts w:ascii="Arial" w:hAnsi="Arial" w:cs="Arial"/>
          <w:b/>
          <w:sz w:val="28"/>
          <w:szCs w:val="28"/>
        </w:rPr>
      </w:pPr>
      <w:r>
        <w:rPr>
          <w:rFonts w:ascii="Arial" w:hAnsi="Arial" w:cs="Arial"/>
          <w:b/>
          <w:sz w:val="28"/>
          <w:szCs w:val="28"/>
        </w:rPr>
        <w:t>Summary of changes to</w:t>
      </w:r>
      <w:r w:rsidR="001D3852">
        <w:rPr>
          <w:rFonts w:ascii="Arial" w:hAnsi="Arial" w:cs="Arial"/>
          <w:b/>
          <w:sz w:val="28"/>
          <w:szCs w:val="28"/>
        </w:rPr>
        <w:t>, or retention of</w:t>
      </w:r>
      <w:r>
        <w:rPr>
          <w:rFonts w:ascii="Arial" w:hAnsi="Arial" w:cs="Arial"/>
          <w:b/>
          <w:sz w:val="28"/>
          <w:szCs w:val="28"/>
        </w:rPr>
        <w:t xml:space="preserve"> planning permit conditions </w:t>
      </w:r>
    </w:p>
    <w:p w:rsidR="00A315CA" w:rsidRPr="00950D7C" w:rsidRDefault="00A315CA">
      <w:pPr>
        <w:rPr>
          <w:rFonts w:ascii="Arial" w:hAnsi="Arial" w:cs="Arial"/>
          <w:i/>
          <w:sz w:val="22"/>
          <w:szCs w:val="22"/>
        </w:rPr>
      </w:pPr>
      <w:r w:rsidRPr="00950D7C">
        <w:rPr>
          <w:rFonts w:ascii="Arial" w:hAnsi="Arial" w:cs="Arial"/>
          <w:i/>
          <w:sz w:val="22"/>
          <w:szCs w:val="22"/>
        </w:rPr>
        <w:t>to be read in conjunction with submission of draft</w:t>
      </w:r>
      <w:r w:rsidR="00950D7C">
        <w:rPr>
          <w:rFonts w:ascii="Arial" w:hAnsi="Arial" w:cs="Arial"/>
          <w:i/>
          <w:sz w:val="22"/>
          <w:szCs w:val="22"/>
        </w:rPr>
        <w:t xml:space="preserve"> planning permit (track changes version)</w:t>
      </w:r>
    </w:p>
    <w:p w:rsidR="00A315CA" w:rsidRDefault="00A315CA">
      <w:pPr>
        <w:rPr>
          <w:rFonts w:ascii="Arial" w:hAnsi="Arial" w:cs="Arial"/>
          <w:sz w:val="22"/>
          <w:szCs w:val="22"/>
        </w:rPr>
      </w:pPr>
    </w:p>
    <w:p w:rsidR="00A315CA" w:rsidRDefault="00A315CA">
      <w:pPr>
        <w:rPr>
          <w:rFonts w:ascii="Arial" w:hAnsi="Arial" w:cs="Arial"/>
          <w:sz w:val="22"/>
          <w:szCs w:val="22"/>
        </w:rPr>
      </w:pPr>
    </w:p>
    <w:tbl>
      <w:tblPr>
        <w:tblStyle w:val="PlainTable2"/>
        <w:tblW w:w="9180" w:type="dxa"/>
        <w:tblLook w:val="04A0" w:firstRow="1" w:lastRow="0" w:firstColumn="1" w:lastColumn="0" w:noHBand="0" w:noVBand="1"/>
      </w:tblPr>
      <w:tblGrid>
        <w:gridCol w:w="1384"/>
        <w:gridCol w:w="7796"/>
      </w:tblGrid>
      <w:tr w:rsidR="00633B18" w:rsidTr="00125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33B18" w:rsidRDefault="00633B18" w:rsidP="00A315CA">
            <w:pPr>
              <w:rPr>
                <w:rFonts w:ascii="Arial" w:hAnsi="Arial" w:cs="Arial"/>
                <w:sz w:val="22"/>
                <w:szCs w:val="22"/>
              </w:rPr>
            </w:pPr>
            <w:r>
              <w:rPr>
                <w:rFonts w:ascii="Arial" w:hAnsi="Arial" w:cs="Arial"/>
                <w:sz w:val="22"/>
                <w:szCs w:val="22"/>
              </w:rPr>
              <w:t>Condition number</w:t>
            </w:r>
          </w:p>
        </w:tc>
        <w:tc>
          <w:tcPr>
            <w:tcW w:w="7796" w:type="dxa"/>
          </w:tcPr>
          <w:p w:rsidR="00633B18" w:rsidRDefault="00950D7C" w:rsidP="00A315CA">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Commentary</w:t>
            </w:r>
          </w:p>
        </w:tc>
      </w:tr>
      <w:tr w:rsidR="00B8104D" w:rsidTr="001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B8104D" w:rsidRDefault="00B8104D" w:rsidP="00A315CA">
            <w:pPr>
              <w:rPr>
                <w:rFonts w:ascii="Arial" w:hAnsi="Arial" w:cs="Arial"/>
                <w:sz w:val="22"/>
                <w:szCs w:val="22"/>
              </w:rPr>
            </w:pPr>
            <w:r>
              <w:rPr>
                <w:rFonts w:ascii="Arial" w:hAnsi="Arial" w:cs="Arial"/>
                <w:sz w:val="22"/>
                <w:szCs w:val="22"/>
              </w:rPr>
              <w:t>1</w:t>
            </w:r>
          </w:p>
        </w:tc>
        <w:tc>
          <w:tcPr>
            <w:tcW w:w="7796" w:type="dxa"/>
          </w:tcPr>
          <w:p w:rsidR="00B8104D" w:rsidRDefault="00B8104D" w:rsidP="00A315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Applicant has submitted revision Y2 of the Overall Development Plan (16 November 2018) with amendments that have not been assessed by relevant internal and external authorities. Further the plan amendments have not been supported with accompanying amendments to the Landscape Masterplans; </w:t>
            </w:r>
            <w:r w:rsidR="00FB22A1">
              <w:rPr>
                <w:rFonts w:ascii="Arial" w:hAnsi="Arial" w:cs="Arial"/>
                <w:sz w:val="22"/>
                <w:szCs w:val="22"/>
              </w:rPr>
              <w:t>Catchment Plan; Staging Plan; Integration Plan; Lot Density and Diversity Plan; and Open Space Plan for the Responsible Authority’s consideration.</w:t>
            </w:r>
          </w:p>
          <w:p w:rsidR="00FB22A1" w:rsidRDefault="00FB22A1" w:rsidP="00A315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FB22A1" w:rsidRDefault="00FB22A1" w:rsidP="00A315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As such, condition 1 requiring amended plans in accordance with Version U dated 14/12/2017 remains the plan in which the Responsible Authority have resolved to issue a permit in accordance with.</w:t>
            </w:r>
          </w:p>
          <w:p w:rsidR="00FB22A1" w:rsidRDefault="00FB22A1" w:rsidP="00A315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FB22A1" w:rsidRDefault="00950D7C" w:rsidP="00FB22A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In isolation,</w:t>
            </w:r>
            <w:r w:rsidR="00FB22A1">
              <w:rPr>
                <w:rFonts w:ascii="Arial" w:hAnsi="Arial" w:cs="Arial"/>
                <w:sz w:val="22"/>
                <w:szCs w:val="22"/>
              </w:rPr>
              <w:t xml:space="preserve"> the vast majority of conditions</w:t>
            </w:r>
            <w:r>
              <w:rPr>
                <w:rFonts w:ascii="Arial" w:hAnsi="Arial" w:cs="Arial"/>
                <w:sz w:val="22"/>
                <w:szCs w:val="22"/>
              </w:rPr>
              <w:t xml:space="preserve"> to the draft permit could be</w:t>
            </w:r>
            <w:r w:rsidR="00FB22A1">
              <w:rPr>
                <w:rFonts w:ascii="Arial" w:hAnsi="Arial" w:cs="Arial"/>
                <w:sz w:val="22"/>
                <w:szCs w:val="22"/>
              </w:rPr>
              <w:t xml:space="preserve"> applicable to the revised overall development plan version Y2 as they are general in nature, </w:t>
            </w:r>
            <w:r>
              <w:rPr>
                <w:rFonts w:ascii="Arial" w:hAnsi="Arial" w:cs="Arial"/>
                <w:sz w:val="22"/>
                <w:szCs w:val="22"/>
              </w:rPr>
              <w:t xml:space="preserve">however </w:t>
            </w:r>
            <w:r w:rsidR="00FB22A1">
              <w:rPr>
                <w:rFonts w:ascii="Arial" w:hAnsi="Arial" w:cs="Arial"/>
                <w:sz w:val="22"/>
                <w:szCs w:val="22"/>
              </w:rPr>
              <w:t xml:space="preserve">it is considered that the conditions applied to the permit </w:t>
            </w:r>
            <w:r w:rsidR="00FB22A1" w:rsidRPr="00950D7C">
              <w:rPr>
                <w:rFonts w:ascii="Arial" w:hAnsi="Arial" w:cs="Arial"/>
                <w:i/>
                <w:sz w:val="22"/>
                <w:szCs w:val="22"/>
              </w:rPr>
              <w:t>as a whole</w:t>
            </w:r>
            <w:r w:rsidR="00FB22A1">
              <w:rPr>
                <w:rFonts w:ascii="Arial" w:hAnsi="Arial" w:cs="Arial"/>
                <w:sz w:val="22"/>
                <w:szCs w:val="22"/>
              </w:rPr>
              <w:t xml:space="preserve"> are not related to the revised plan, but to Version U.</w:t>
            </w:r>
          </w:p>
          <w:p w:rsidR="00950D7C" w:rsidRDefault="00950D7C" w:rsidP="00FB22A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633B18" w:rsidTr="00125FB6">
        <w:tc>
          <w:tcPr>
            <w:cnfStyle w:val="001000000000" w:firstRow="0" w:lastRow="0" w:firstColumn="1" w:lastColumn="0" w:oddVBand="0" w:evenVBand="0" w:oddHBand="0" w:evenHBand="0" w:firstRowFirstColumn="0" w:firstRowLastColumn="0" w:lastRowFirstColumn="0" w:lastRowLastColumn="0"/>
            <w:tcW w:w="1384" w:type="dxa"/>
          </w:tcPr>
          <w:p w:rsidR="00633B18" w:rsidRPr="00B8104D" w:rsidRDefault="00633B18" w:rsidP="00B8104D">
            <w:pPr>
              <w:rPr>
                <w:rFonts w:ascii="Arial" w:hAnsi="Arial" w:cs="Arial"/>
                <w:sz w:val="22"/>
                <w:szCs w:val="22"/>
              </w:rPr>
            </w:pPr>
            <w:r w:rsidRPr="00B8104D">
              <w:rPr>
                <w:rFonts w:ascii="Arial" w:hAnsi="Arial" w:cs="Arial"/>
                <w:sz w:val="22"/>
                <w:szCs w:val="22"/>
              </w:rPr>
              <w:t>4</w:t>
            </w:r>
          </w:p>
        </w:tc>
        <w:tc>
          <w:tcPr>
            <w:tcW w:w="7796" w:type="dxa"/>
          </w:tcPr>
          <w:p w:rsidR="00633B18" w:rsidRDefault="00633B18"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Changes to Clause 32.08-3 under planning scheme amendment VC143 restricting the requirement for Garden Area to lots of less than 400sqm – reflected in condition change.</w:t>
            </w:r>
          </w:p>
          <w:p w:rsidR="00B8104D" w:rsidRP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633B18" w:rsidRDefault="00633B18"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Location of “Definitions” in the Planning Scheme altered under planning scheme amendment VC148</w:t>
            </w:r>
          </w:p>
          <w:p w:rsidR="00B8104D" w:rsidRP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9F472B" w:rsidTr="001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F472B" w:rsidRPr="00B8104D" w:rsidRDefault="009F472B" w:rsidP="00B8104D">
            <w:pPr>
              <w:rPr>
                <w:rFonts w:ascii="Arial" w:hAnsi="Arial" w:cs="Arial"/>
                <w:sz w:val="22"/>
                <w:szCs w:val="22"/>
              </w:rPr>
            </w:pPr>
            <w:r w:rsidRPr="00B8104D">
              <w:rPr>
                <w:rFonts w:ascii="Arial" w:hAnsi="Arial" w:cs="Arial"/>
                <w:sz w:val="22"/>
                <w:szCs w:val="22"/>
              </w:rPr>
              <w:t>22-27</w:t>
            </w:r>
          </w:p>
        </w:tc>
        <w:tc>
          <w:tcPr>
            <w:tcW w:w="7796" w:type="dxa"/>
          </w:tcPr>
          <w:p w:rsidR="009F472B"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Applicant not supportive of conditions.</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The conditions have been recommended by Council’s Environment Unit in order to ensure the development can be appropriately monitored and any mitigation works required and delivered prior to handover.</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The conditions are considered to be appropriate in this instance where the development </w:t>
            </w:r>
            <w:proofErr w:type="spellStart"/>
            <w:r w:rsidRPr="00B8104D">
              <w:rPr>
                <w:rFonts w:ascii="Arial" w:hAnsi="Arial" w:cs="Arial"/>
                <w:sz w:val="22"/>
                <w:szCs w:val="22"/>
              </w:rPr>
              <w:t>dischardges</w:t>
            </w:r>
            <w:proofErr w:type="spellEnd"/>
            <w:r w:rsidRPr="00B8104D">
              <w:rPr>
                <w:rFonts w:ascii="Arial" w:hAnsi="Arial" w:cs="Arial"/>
                <w:sz w:val="22"/>
                <w:szCs w:val="22"/>
              </w:rPr>
              <w:t xml:space="preserve"> to Lake Connewarre.</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626471" w:rsidTr="00125FB6">
        <w:tc>
          <w:tcPr>
            <w:cnfStyle w:val="001000000000" w:firstRow="0" w:lastRow="0" w:firstColumn="1" w:lastColumn="0" w:oddVBand="0" w:evenVBand="0" w:oddHBand="0" w:evenHBand="0" w:firstRowFirstColumn="0" w:firstRowLastColumn="0" w:lastRowFirstColumn="0" w:lastRowLastColumn="0"/>
            <w:tcW w:w="1384" w:type="dxa"/>
          </w:tcPr>
          <w:p w:rsidR="00626471" w:rsidRPr="00B8104D" w:rsidRDefault="00626471" w:rsidP="00B8104D">
            <w:pPr>
              <w:rPr>
                <w:rFonts w:ascii="Arial" w:hAnsi="Arial" w:cs="Arial"/>
                <w:sz w:val="22"/>
                <w:szCs w:val="22"/>
              </w:rPr>
            </w:pPr>
            <w:r w:rsidRPr="00B8104D">
              <w:rPr>
                <w:rFonts w:ascii="Arial" w:hAnsi="Arial" w:cs="Arial"/>
                <w:sz w:val="22"/>
                <w:szCs w:val="22"/>
              </w:rPr>
              <w:t>40</w:t>
            </w:r>
          </w:p>
        </w:tc>
        <w:tc>
          <w:tcPr>
            <w:tcW w:w="7796" w:type="dxa"/>
          </w:tcPr>
          <w:p w:rsidR="00B8104D" w:rsidRDefault="00626471"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Deletion of second sentence of condition, at the request of the applicant. </w:t>
            </w:r>
          </w:p>
          <w:p w:rsid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B8104D" w:rsidRDefault="00626471"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Sentence sought to gain specific detail regarding a stand of trees identified in the South East Leopold Framework Plan as </w:t>
            </w:r>
            <w:proofErr w:type="spellStart"/>
            <w:r w:rsidRPr="00B8104D">
              <w:rPr>
                <w:rFonts w:ascii="Arial" w:hAnsi="Arial" w:cs="Arial"/>
                <w:sz w:val="22"/>
                <w:szCs w:val="22"/>
              </w:rPr>
              <w:t>beig</w:t>
            </w:r>
            <w:proofErr w:type="spellEnd"/>
            <w:r w:rsidRPr="00B8104D">
              <w:rPr>
                <w:rFonts w:ascii="Arial" w:hAnsi="Arial" w:cs="Arial"/>
                <w:sz w:val="22"/>
                <w:szCs w:val="22"/>
              </w:rPr>
              <w:t xml:space="preserve"> desired for retention. </w:t>
            </w:r>
          </w:p>
          <w:p w:rsid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B8104D" w:rsidRDefault="00626471"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Applicant was not supportive </w:t>
            </w:r>
            <w:proofErr w:type="spellStart"/>
            <w:r w:rsidRPr="00B8104D">
              <w:rPr>
                <w:rFonts w:ascii="Arial" w:hAnsi="Arial" w:cs="Arial"/>
                <w:sz w:val="22"/>
                <w:szCs w:val="22"/>
              </w:rPr>
              <w:t>orf</w:t>
            </w:r>
            <w:proofErr w:type="spellEnd"/>
            <w:r w:rsidRPr="00B8104D">
              <w:rPr>
                <w:rFonts w:ascii="Arial" w:hAnsi="Arial" w:cs="Arial"/>
                <w:sz w:val="22"/>
                <w:szCs w:val="22"/>
              </w:rPr>
              <w:t xml:space="preserve"> the condition wording. </w:t>
            </w:r>
          </w:p>
          <w:p w:rsid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626471" w:rsidRDefault="00626471"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lastRenderedPageBreak/>
              <w:t>Officers considered that the condition could still achieve the objective witho</w:t>
            </w:r>
            <w:r w:rsidR="00B8104D">
              <w:rPr>
                <w:rFonts w:ascii="Arial" w:hAnsi="Arial" w:cs="Arial"/>
                <w:sz w:val="22"/>
                <w:szCs w:val="22"/>
              </w:rPr>
              <w:t>ut the sentence and as such ha</w:t>
            </w:r>
            <w:r w:rsidRPr="00B8104D">
              <w:rPr>
                <w:rFonts w:ascii="Arial" w:hAnsi="Arial" w:cs="Arial"/>
                <w:sz w:val="22"/>
                <w:szCs w:val="22"/>
              </w:rPr>
              <w:t>ve agreed to remove the sentence.</w:t>
            </w:r>
          </w:p>
          <w:p w:rsidR="00125FB6" w:rsidRDefault="00125FB6"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125FB6" w:rsidRDefault="00125FB6"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Applicant has submitted and Arborist Report (16 November 2018). Late submission has not allowed time for review by Council’s internal referral units of relevance.</w:t>
            </w:r>
          </w:p>
          <w:p w:rsidR="00B8104D" w:rsidRP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33B18" w:rsidTr="001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33B18" w:rsidRPr="00B8104D" w:rsidRDefault="001D3852" w:rsidP="00B8104D">
            <w:pPr>
              <w:rPr>
                <w:rFonts w:ascii="Arial" w:hAnsi="Arial" w:cs="Arial"/>
                <w:sz w:val="22"/>
                <w:szCs w:val="22"/>
              </w:rPr>
            </w:pPr>
            <w:r w:rsidRPr="00B8104D">
              <w:rPr>
                <w:rFonts w:ascii="Arial" w:hAnsi="Arial" w:cs="Arial"/>
                <w:sz w:val="22"/>
                <w:szCs w:val="22"/>
              </w:rPr>
              <w:lastRenderedPageBreak/>
              <w:t>57-59</w:t>
            </w:r>
          </w:p>
        </w:tc>
        <w:tc>
          <w:tcPr>
            <w:tcW w:w="7796" w:type="dxa"/>
          </w:tcPr>
          <w:p w:rsidR="00633B18" w:rsidRDefault="001D3852"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Revised </w:t>
            </w:r>
            <w:r w:rsidR="00B206C3" w:rsidRPr="00B8104D">
              <w:rPr>
                <w:rFonts w:ascii="Arial" w:hAnsi="Arial" w:cs="Arial"/>
                <w:sz w:val="22"/>
                <w:szCs w:val="22"/>
              </w:rPr>
              <w:t>Vegetation Assessment and Native Vegetation Removal Report (November 2018) has been submitted, received by Council 16 November 2018. Late submission has not allowed for opportunity of review by Environment Unit or DELWP</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633B18" w:rsidTr="00125FB6">
        <w:tc>
          <w:tcPr>
            <w:cnfStyle w:val="001000000000" w:firstRow="0" w:lastRow="0" w:firstColumn="1" w:lastColumn="0" w:oddVBand="0" w:evenVBand="0" w:oddHBand="0" w:evenHBand="0" w:firstRowFirstColumn="0" w:firstRowLastColumn="0" w:lastRowFirstColumn="0" w:lastRowLastColumn="0"/>
            <w:tcW w:w="1384" w:type="dxa"/>
          </w:tcPr>
          <w:p w:rsidR="00633B18" w:rsidRPr="00B8104D" w:rsidRDefault="00B206C3" w:rsidP="00B8104D">
            <w:pPr>
              <w:rPr>
                <w:rFonts w:ascii="Arial" w:hAnsi="Arial" w:cs="Arial"/>
                <w:sz w:val="22"/>
                <w:szCs w:val="22"/>
              </w:rPr>
            </w:pPr>
            <w:r w:rsidRPr="00B8104D">
              <w:rPr>
                <w:rFonts w:ascii="Arial" w:hAnsi="Arial" w:cs="Arial"/>
                <w:sz w:val="22"/>
                <w:szCs w:val="22"/>
              </w:rPr>
              <w:t>69</w:t>
            </w:r>
          </w:p>
        </w:tc>
        <w:tc>
          <w:tcPr>
            <w:tcW w:w="7796" w:type="dxa"/>
          </w:tcPr>
          <w:p w:rsidR="00633B18" w:rsidRDefault="00B206C3"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Surveys for Growling Grass Frog have been submitted. However it is considered necessary to retain the condition as the timing of commencement of works may be delayed for a period of time, allowing for an alteration to the habitat, and results of submitted reports then being outdated.</w:t>
            </w:r>
          </w:p>
          <w:p w:rsidR="00B8104D" w:rsidRP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33B18" w:rsidTr="001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33B18" w:rsidRPr="00B8104D" w:rsidRDefault="00B967CE" w:rsidP="00B8104D">
            <w:pPr>
              <w:rPr>
                <w:rFonts w:ascii="Arial" w:hAnsi="Arial" w:cs="Arial"/>
                <w:sz w:val="22"/>
                <w:szCs w:val="22"/>
              </w:rPr>
            </w:pPr>
            <w:r w:rsidRPr="00B8104D">
              <w:rPr>
                <w:rFonts w:ascii="Arial" w:hAnsi="Arial" w:cs="Arial"/>
                <w:sz w:val="22"/>
                <w:szCs w:val="22"/>
              </w:rPr>
              <w:t>107-113</w:t>
            </w:r>
          </w:p>
        </w:tc>
        <w:tc>
          <w:tcPr>
            <w:tcW w:w="7796" w:type="dxa"/>
          </w:tcPr>
          <w:p w:rsidR="00B8104D" w:rsidRDefault="00B967CE"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VicRoads have provided updated conditions, post exhibition, and post discussions with the applicant. </w:t>
            </w:r>
          </w:p>
          <w:p w:rsid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633B18" w:rsidRDefault="00B967CE"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Conditions provided 12 November 2018;</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B967CE" w:rsidRDefault="00B967CE"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Generally conditions are same as exhibited draft permit with the amendment to condition 107 and the addition of condition 108;</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B967CE" w:rsidRDefault="00B967CE"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Condition 108 extends the provision of signalisation at the intersection of </w:t>
            </w:r>
            <w:proofErr w:type="spellStart"/>
            <w:r w:rsidRPr="00B8104D">
              <w:rPr>
                <w:rFonts w:ascii="Arial" w:hAnsi="Arial" w:cs="Arial"/>
                <w:sz w:val="22"/>
                <w:szCs w:val="22"/>
              </w:rPr>
              <w:t>Mollers</w:t>
            </w:r>
            <w:proofErr w:type="spellEnd"/>
            <w:r w:rsidRPr="00B8104D">
              <w:rPr>
                <w:rFonts w:ascii="Arial" w:hAnsi="Arial" w:cs="Arial"/>
                <w:sz w:val="22"/>
                <w:szCs w:val="22"/>
              </w:rPr>
              <w:t xml:space="preserve"> Lane and Bellarine Highway to prior to statement of compliance for 170 lots of the subdivision.</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633B18" w:rsidTr="00125FB6">
        <w:tc>
          <w:tcPr>
            <w:cnfStyle w:val="001000000000" w:firstRow="0" w:lastRow="0" w:firstColumn="1" w:lastColumn="0" w:oddVBand="0" w:evenVBand="0" w:oddHBand="0" w:evenHBand="0" w:firstRowFirstColumn="0" w:firstRowLastColumn="0" w:lastRowFirstColumn="0" w:lastRowLastColumn="0"/>
            <w:tcW w:w="1384" w:type="dxa"/>
          </w:tcPr>
          <w:p w:rsidR="00633B18" w:rsidRPr="00B8104D" w:rsidRDefault="009F472B" w:rsidP="00B8104D">
            <w:pPr>
              <w:rPr>
                <w:rFonts w:ascii="Arial" w:hAnsi="Arial" w:cs="Arial"/>
                <w:sz w:val="22"/>
                <w:szCs w:val="22"/>
              </w:rPr>
            </w:pPr>
            <w:r w:rsidRPr="00B8104D">
              <w:rPr>
                <w:rFonts w:ascii="Arial" w:hAnsi="Arial" w:cs="Arial"/>
                <w:sz w:val="22"/>
                <w:szCs w:val="22"/>
              </w:rPr>
              <w:t>114-120</w:t>
            </w:r>
          </w:p>
        </w:tc>
        <w:tc>
          <w:tcPr>
            <w:tcW w:w="7796" w:type="dxa"/>
          </w:tcPr>
          <w:p w:rsidR="00633B18" w:rsidRDefault="009F472B"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Transport for Victoria requested amendment to conditions 106 (107) to 120 on behalf of PTV and VicRoads.</w:t>
            </w:r>
          </w:p>
          <w:p w:rsidR="00B8104D" w:rsidRP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9F472B" w:rsidRPr="00B8104D" w:rsidRDefault="009F472B"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PTV conditions have been replaced with those of Transport for Victoria.</w:t>
            </w:r>
          </w:p>
          <w:p w:rsidR="009F472B" w:rsidRDefault="009F472B"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Further agreement has been reached with </w:t>
            </w:r>
            <w:proofErr w:type="spellStart"/>
            <w:r w:rsidRPr="00B8104D">
              <w:rPr>
                <w:rFonts w:ascii="Arial" w:hAnsi="Arial" w:cs="Arial"/>
                <w:sz w:val="22"/>
                <w:szCs w:val="22"/>
              </w:rPr>
              <w:t>TfV</w:t>
            </w:r>
            <w:proofErr w:type="spellEnd"/>
            <w:r w:rsidRPr="00B8104D">
              <w:rPr>
                <w:rFonts w:ascii="Arial" w:hAnsi="Arial" w:cs="Arial"/>
                <w:sz w:val="22"/>
                <w:szCs w:val="22"/>
              </w:rPr>
              <w:t xml:space="preserve"> for shared path provisions and it is expected that </w:t>
            </w:r>
            <w:proofErr w:type="spellStart"/>
            <w:r w:rsidRPr="00B8104D">
              <w:rPr>
                <w:rFonts w:ascii="Arial" w:hAnsi="Arial" w:cs="Arial"/>
                <w:sz w:val="22"/>
                <w:szCs w:val="22"/>
              </w:rPr>
              <w:t>TfV</w:t>
            </w:r>
            <w:proofErr w:type="spellEnd"/>
            <w:r w:rsidRPr="00B8104D">
              <w:rPr>
                <w:rFonts w:ascii="Arial" w:hAnsi="Arial" w:cs="Arial"/>
                <w:sz w:val="22"/>
                <w:szCs w:val="22"/>
              </w:rPr>
              <w:t xml:space="preserve"> will no longer appear at the Panel but will make a written submission with revised conditions to be applied.</w:t>
            </w:r>
          </w:p>
          <w:p w:rsidR="00B8104D" w:rsidRP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9F472B" w:rsidRDefault="009F472B"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04D">
              <w:rPr>
                <w:rFonts w:ascii="Arial" w:hAnsi="Arial" w:cs="Arial"/>
                <w:sz w:val="22"/>
                <w:szCs w:val="22"/>
              </w:rPr>
              <w:t xml:space="preserve">VicRoads have separately submitted amended conditions as noted above, superseding the advice of </w:t>
            </w:r>
            <w:proofErr w:type="spellStart"/>
            <w:r w:rsidRPr="00B8104D">
              <w:rPr>
                <w:rFonts w:ascii="Arial" w:hAnsi="Arial" w:cs="Arial"/>
                <w:sz w:val="22"/>
                <w:szCs w:val="22"/>
              </w:rPr>
              <w:t>TfV</w:t>
            </w:r>
            <w:proofErr w:type="spellEnd"/>
            <w:r w:rsidRPr="00B8104D">
              <w:rPr>
                <w:rFonts w:ascii="Arial" w:hAnsi="Arial" w:cs="Arial"/>
                <w:sz w:val="22"/>
                <w:szCs w:val="22"/>
              </w:rPr>
              <w:t>.</w:t>
            </w:r>
          </w:p>
          <w:p w:rsidR="00B8104D" w:rsidRPr="00B8104D" w:rsidRDefault="00B8104D"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33B18" w:rsidTr="001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33B18" w:rsidRPr="00B8104D" w:rsidRDefault="001D3852" w:rsidP="00B8104D">
            <w:pPr>
              <w:rPr>
                <w:rFonts w:ascii="Arial" w:hAnsi="Arial" w:cs="Arial"/>
                <w:sz w:val="22"/>
                <w:szCs w:val="22"/>
              </w:rPr>
            </w:pPr>
            <w:r w:rsidRPr="00B8104D">
              <w:rPr>
                <w:rFonts w:ascii="Arial" w:hAnsi="Arial" w:cs="Arial"/>
                <w:sz w:val="22"/>
                <w:szCs w:val="22"/>
              </w:rPr>
              <w:t>##</w:t>
            </w:r>
          </w:p>
        </w:tc>
        <w:tc>
          <w:tcPr>
            <w:tcW w:w="7796" w:type="dxa"/>
          </w:tcPr>
          <w:p w:rsidR="00633B18" w:rsidRDefault="001D3852"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04D">
              <w:rPr>
                <w:rFonts w:ascii="Arial" w:hAnsi="Arial" w:cs="Arial"/>
                <w:sz w:val="22"/>
                <w:szCs w:val="22"/>
              </w:rPr>
              <w:t>Additional conditions recommended by DELWP in post exhibition submission.</w:t>
            </w:r>
          </w:p>
          <w:p w:rsidR="00B8104D" w:rsidRPr="00B8104D" w:rsidRDefault="00B8104D" w:rsidP="00B81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B42AB9" w:rsidTr="00125FB6">
        <w:tc>
          <w:tcPr>
            <w:cnfStyle w:val="001000000000" w:firstRow="0" w:lastRow="0" w:firstColumn="1" w:lastColumn="0" w:oddVBand="0" w:evenVBand="0" w:oddHBand="0" w:evenHBand="0" w:firstRowFirstColumn="0" w:firstRowLastColumn="0" w:lastRowFirstColumn="0" w:lastRowLastColumn="0"/>
            <w:tcW w:w="1384" w:type="dxa"/>
          </w:tcPr>
          <w:p w:rsidR="00B42AB9" w:rsidRPr="00B8104D" w:rsidRDefault="00B42AB9" w:rsidP="00B8104D">
            <w:pPr>
              <w:rPr>
                <w:rFonts w:ascii="Arial" w:hAnsi="Arial" w:cs="Arial"/>
                <w:sz w:val="22"/>
                <w:szCs w:val="22"/>
              </w:rPr>
            </w:pPr>
            <w:r>
              <w:rPr>
                <w:rFonts w:ascii="Arial" w:hAnsi="Arial" w:cs="Arial"/>
                <w:sz w:val="22"/>
                <w:szCs w:val="22"/>
              </w:rPr>
              <w:t>107-125</w:t>
            </w:r>
          </w:p>
        </w:tc>
        <w:tc>
          <w:tcPr>
            <w:tcW w:w="7796" w:type="dxa"/>
          </w:tcPr>
          <w:p w:rsidR="00B42AB9" w:rsidRPr="00B8104D" w:rsidRDefault="00B42AB9" w:rsidP="00B810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Subsequent re-numbering of conditions</w:t>
            </w:r>
          </w:p>
        </w:tc>
      </w:tr>
    </w:tbl>
    <w:p w:rsidR="00A315CA" w:rsidRPr="00A315CA" w:rsidRDefault="00A315CA" w:rsidP="00B8104D">
      <w:pPr>
        <w:rPr>
          <w:rFonts w:ascii="Arial" w:hAnsi="Arial" w:cs="Arial"/>
          <w:sz w:val="22"/>
          <w:szCs w:val="22"/>
        </w:rPr>
      </w:pPr>
    </w:p>
    <w:sectPr w:rsidR="00A315CA" w:rsidRPr="00A315CA" w:rsidSect="00950D7C">
      <w:headerReference w:type="default" r:id="rId14"/>
      <w:footerReference w:type="default" r:id="rId15"/>
      <w:footerReference w:type="first" r:id="rId16"/>
      <w:pgSz w:w="11907" w:h="16840" w:code="9"/>
      <w:pgMar w:top="1440" w:right="1417" w:bottom="1440"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FB6" w:rsidRDefault="00125FB6" w:rsidP="00125FB6">
      <w:r>
        <w:separator/>
      </w:r>
    </w:p>
  </w:endnote>
  <w:endnote w:type="continuationSeparator" w:id="0">
    <w:p w:rsidR="00125FB6" w:rsidRDefault="00125FB6" w:rsidP="0012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EF8" w:rsidRDefault="008F6EF8" w:rsidP="007D77B4">
    <w:pPr>
      <w:pStyle w:val="Footer"/>
      <w:framePr w:w="826" w:wrap="around" w:vAnchor="text" w:hAnchor="page" w:x="106" w:y="26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8F6EF8" w:rsidRDefault="008F6EF8" w:rsidP="00015D53">
    <w:pPr>
      <w:pStyle w:val="Footer"/>
      <w:ind w:right="360" w:firstLine="360"/>
    </w:pPr>
    <w:r>
      <w:rPr>
        <w:noProof/>
        <w:lang w:eastAsia="en-AU"/>
      </w:rPr>
      <w:drawing>
        <wp:anchor distT="0" distB="0" distL="114300" distR="114300" simplePos="0" relativeHeight="251664384" behindDoc="0" locked="0" layoutInCell="1" allowOverlap="1" wp14:anchorId="7A892D83" wp14:editId="7BA3EA9B">
          <wp:simplePos x="0" y="0"/>
          <wp:positionH relativeFrom="column">
            <wp:posOffset>-299799</wp:posOffset>
          </wp:positionH>
          <wp:positionV relativeFrom="paragraph">
            <wp:posOffset>-103505</wp:posOffset>
          </wp:positionV>
          <wp:extent cx="6210000" cy="662400"/>
          <wp:effectExtent l="0" t="0" r="63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10000" cy="662400"/>
                  </a:xfrm>
                  <a:prstGeom prst="rect">
                    <a:avLst/>
                  </a:prstGeom>
                </pic:spPr>
              </pic:pic>
            </a:graphicData>
          </a:graphic>
        </wp:anchor>
      </w:drawing>
    </w:r>
  </w:p>
  <w:p w:rsidR="008F6EF8" w:rsidRDefault="008F6EF8" w:rsidP="00142A2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EF8" w:rsidRPr="004E632D" w:rsidRDefault="008F6EF8" w:rsidP="004846A1">
    <w:pPr>
      <w:tabs>
        <w:tab w:val="center" w:pos="4513"/>
        <w:tab w:val="right" w:pos="9026"/>
      </w:tabs>
      <w:spacing w:before="100" w:beforeAutospacing="1" w:after="360" w:line="480" w:lineRule="auto"/>
      <w:ind w:left="720"/>
      <w:contextualSpacing/>
      <w:jc w:val="center"/>
    </w:pPr>
    <w:r w:rsidRPr="001B2C30">
      <w:rPr>
        <w:noProof/>
        <w:lang w:eastAsia="en-AU"/>
      </w:rPr>
      <w:drawing>
        <wp:anchor distT="0" distB="0" distL="114300" distR="114300" simplePos="0" relativeHeight="251659264" behindDoc="1" locked="0" layoutInCell="1" allowOverlap="1" wp14:anchorId="5A6C2B6D" wp14:editId="02CADCD4">
          <wp:simplePos x="0" y="0"/>
          <wp:positionH relativeFrom="page">
            <wp:posOffset>7620</wp:posOffset>
          </wp:positionH>
          <wp:positionV relativeFrom="page">
            <wp:posOffset>10045700</wp:posOffset>
          </wp:positionV>
          <wp:extent cx="7552800" cy="666000"/>
          <wp:effectExtent l="0" t="0" r="0" b="0"/>
          <wp:wrapNone/>
          <wp:docPr id="28"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2800" cy="66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632D">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EF8" w:rsidRPr="004E632D" w:rsidRDefault="008F6EF8" w:rsidP="00761FA4">
    <w:pPr>
      <w:tabs>
        <w:tab w:val="center" w:pos="4513"/>
        <w:tab w:val="right" w:pos="9026"/>
      </w:tabs>
      <w:spacing w:line="480" w:lineRule="auto"/>
      <w:ind w:left="720"/>
      <w:jc w:val="center"/>
    </w:pPr>
    <w:r w:rsidRPr="001B2C30">
      <w:rPr>
        <w:noProof/>
        <w:lang w:eastAsia="en-AU"/>
      </w:rPr>
      <w:drawing>
        <wp:anchor distT="0" distB="0" distL="114300" distR="114300" simplePos="0" relativeHeight="251663360" behindDoc="1" locked="0" layoutInCell="1" allowOverlap="1" wp14:anchorId="2DFA7D2A" wp14:editId="7DA07D16">
          <wp:simplePos x="0" y="0"/>
          <wp:positionH relativeFrom="page">
            <wp:posOffset>7620</wp:posOffset>
          </wp:positionH>
          <wp:positionV relativeFrom="page">
            <wp:posOffset>10045700</wp:posOffset>
          </wp:positionV>
          <wp:extent cx="7552800" cy="666000"/>
          <wp:effectExtent l="0" t="0" r="0" b="0"/>
          <wp:wrapNone/>
          <wp:docPr id="29"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2800" cy="66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632D">
      <w:t xml:space="preserve"> </w:t>
    </w:r>
  </w:p>
  <w:p w:rsidR="008F6EF8" w:rsidRPr="00761FA4" w:rsidRDefault="008F6EF8" w:rsidP="00761F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342713"/>
      <w:docPartObj>
        <w:docPartGallery w:val="Page Numbers (Bottom of Page)"/>
        <w:docPartUnique/>
      </w:docPartObj>
    </w:sdtPr>
    <w:sdtEndPr>
      <w:rPr>
        <w:noProof/>
      </w:rPr>
    </w:sdtEndPr>
    <w:sdtContent>
      <w:p w:rsidR="00125FB6" w:rsidRDefault="00125FB6">
        <w:pPr>
          <w:pStyle w:val="Footer"/>
          <w:jc w:val="right"/>
        </w:pPr>
        <w:r>
          <w:fldChar w:fldCharType="begin"/>
        </w:r>
        <w:r>
          <w:instrText xml:space="preserve"> PAGE   \* MERGEFORMAT </w:instrText>
        </w:r>
        <w:r>
          <w:fldChar w:fldCharType="separate"/>
        </w:r>
        <w:r w:rsidR="0034282D">
          <w:rPr>
            <w:noProof/>
          </w:rPr>
          <w:t>3</w:t>
        </w:r>
        <w:r>
          <w:rPr>
            <w:noProof/>
          </w:rPr>
          <w:fldChar w:fldCharType="end"/>
        </w:r>
      </w:p>
    </w:sdtContent>
  </w:sdt>
  <w:p w:rsidR="00125FB6" w:rsidRDefault="00125FB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473528"/>
      <w:docPartObj>
        <w:docPartGallery w:val="Page Numbers (Bottom of Page)"/>
        <w:docPartUnique/>
      </w:docPartObj>
    </w:sdtPr>
    <w:sdtEndPr>
      <w:rPr>
        <w:noProof/>
      </w:rPr>
    </w:sdtEndPr>
    <w:sdtContent>
      <w:p w:rsidR="00125FB6" w:rsidRDefault="00125FB6">
        <w:pPr>
          <w:pStyle w:val="Footer"/>
          <w:jc w:val="right"/>
        </w:pPr>
        <w:r>
          <w:fldChar w:fldCharType="begin"/>
        </w:r>
        <w:r>
          <w:instrText xml:space="preserve"> PAGE   \* MERGEFORMAT </w:instrText>
        </w:r>
        <w:r>
          <w:fldChar w:fldCharType="separate"/>
        </w:r>
        <w:r w:rsidR="0034282D">
          <w:rPr>
            <w:noProof/>
          </w:rPr>
          <w:t>2</w:t>
        </w:r>
        <w:r>
          <w:rPr>
            <w:noProof/>
          </w:rPr>
          <w:fldChar w:fldCharType="end"/>
        </w:r>
      </w:p>
    </w:sdtContent>
  </w:sdt>
  <w:p w:rsidR="00125FB6" w:rsidRDefault="00125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FB6" w:rsidRDefault="00125FB6" w:rsidP="00125FB6">
      <w:r>
        <w:separator/>
      </w:r>
    </w:p>
  </w:footnote>
  <w:footnote w:type="continuationSeparator" w:id="0">
    <w:p w:rsidR="00125FB6" w:rsidRDefault="00125FB6" w:rsidP="0012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55" w:rsidRDefault="00AC2955" w:rsidP="00AC2955">
    <w:pPr>
      <w:tabs>
        <w:tab w:val="right" w:pos="10773"/>
      </w:tabs>
      <w:spacing w:before="800" w:after="440" w:line="192" w:lineRule="auto"/>
      <w:ind w:left="-993"/>
      <w:contextualSpacing/>
      <w:rPr>
        <w:rFonts w:ascii="Calibri" w:hAnsi="Calibri" w:cs="Calibri"/>
        <w:b/>
        <w:caps/>
        <w:color w:val="1F497D"/>
        <w:spacing w:val="18"/>
        <w:kern w:val="28"/>
        <w:sz w:val="52"/>
        <w:szCs w:val="56"/>
        <w:lang w:eastAsia="en-AU"/>
      </w:rPr>
    </w:pPr>
    <w:r w:rsidRPr="00AC2955">
      <w:rPr>
        <w:rFonts w:ascii="Cambria" w:hAnsi="Cambria"/>
        <w:b/>
        <w:caps/>
        <w:noProof/>
        <w:color w:val="1F497D"/>
        <w:spacing w:val="18"/>
        <w:kern w:val="28"/>
        <w:sz w:val="52"/>
        <w:szCs w:val="56"/>
        <w:lang w:eastAsia="en-AU"/>
      </w:rPr>
      <w:drawing>
        <wp:anchor distT="0" distB="0" distL="114300" distR="114300" simplePos="0" relativeHeight="251666432" behindDoc="1" locked="0" layoutInCell="1" allowOverlap="1" wp14:anchorId="22F63BBF" wp14:editId="5B5EDA36">
          <wp:simplePos x="0" y="0"/>
          <wp:positionH relativeFrom="page">
            <wp:align>left</wp:align>
          </wp:positionH>
          <wp:positionV relativeFrom="page">
            <wp:align>top</wp:align>
          </wp:positionV>
          <wp:extent cx="7560000" cy="1962000"/>
          <wp:effectExtent l="0" t="0" r="0" b="635"/>
          <wp:wrapNone/>
          <wp:docPr id="26"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Pr="00AC2955">
      <w:rPr>
        <w:rFonts w:ascii="Calibri" w:hAnsi="Calibri" w:cs="Calibri"/>
        <w:b/>
        <w:caps/>
        <w:color w:val="1F497D"/>
        <w:spacing w:val="18"/>
        <w:kern w:val="28"/>
        <w:sz w:val="52"/>
        <w:szCs w:val="56"/>
        <w:lang w:eastAsia="en-AU"/>
      </w:rPr>
      <w:t>STrategic</w:t>
    </w:r>
  </w:p>
  <w:p w:rsidR="00AC2955" w:rsidRDefault="00AC2955" w:rsidP="00AC2955">
    <w:pPr>
      <w:tabs>
        <w:tab w:val="right" w:pos="10773"/>
      </w:tabs>
      <w:spacing w:before="800" w:after="440" w:line="192" w:lineRule="auto"/>
      <w:ind w:left="-993"/>
      <w:contextualSpacing/>
      <w:rPr>
        <w:rFonts w:ascii="Calibri" w:hAnsi="Calibri" w:cs="Calibri"/>
        <w:b/>
        <w:caps/>
        <w:color w:val="1F497D"/>
        <w:spacing w:val="18"/>
        <w:kern w:val="28"/>
        <w:sz w:val="52"/>
        <w:szCs w:val="56"/>
        <w:lang w:eastAsia="en-AU"/>
      </w:rPr>
    </w:pPr>
    <w:r>
      <w:rPr>
        <w:rFonts w:ascii="Calibri" w:hAnsi="Calibri" w:cs="Calibri"/>
        <w:b/>
        <w:caps/>
        <w:color w:val="1F497D"/>
        <w:spacing w:val="18"/>
        <w:kern w:val="28"/>
        <w:sz w:val="52"/>
        <w:szCs w:val="56"/>
        <w:lang w:eastAsia="en-AU"/>
      </w:rPr>
      <w:t>Implementation</w:t>
    </w:r>
  </w:p>
  <w:p w:rsidR="00AC2955" w:rsidRPr="00AC2955" w:rsidRDefault="00AC2955" w:rsidP="00AC2955">
    <w:pPr>
      <w:tabs>
        <w:tab w:val="right" w:pos="10773"/>
      </w:tabs>
      <w:spacing w:before="800" w:after="440" w:line="192" w:lineRule="auto"/>
      <w:ind w:left="-993"/>
      <w:contextualSpacing/>
      <w:rPr>
        <w:rFonts w:ascii="Calibri" w:hAnsi="Calibri" w:cs="Calibri"/>
        <w:b/>
        <w:caps/>
        <w:color w:val="1F497D"/>
        <w:spacing w:val="18"/>
        <w:kern w:val="28"/>
        <w:sz w:val="52"/>
        <w:szCs w:val="56"/>
        <w:lang w:eastAsia="en-AU"/>
      </w:rPr>
    </w:pPr>
    <w:r>
      <w:rPr>
        <w:rFonts w:ascii="Calibri" w:hAnsi="Calibri" w:cs="Calibri"/>
        <w:b/>
        <w:caps/>
        <w:color w:val="1F497D"/>
        <w:spacing w:val="18"/>
        <w:kern w:val="28"/>
        <w:sz w:val="52"/>
        <w:szCs w:val="56"/>
        <w:lang w:eastAsia="en-AU"/>
      </w:rPr>
      <w:t>panel submission</w:t>
    </w:r>
  </w:p>
  <w:p w:rsidR="008F6EF8" w:rsidRPr="00AC2955" w:rsidRDefault="008F6EF8" w:rsidP="00AC2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EF8" w:rsidRDefault="00AC2955">
    <w:pPr>
      <w:pStyle w:val="Header"/>
    </w:pPr>
    <w:r>
      <w:rPr>
        <w:noProof/>
        <w:lang w:eastAsia="en-AU"/>
      </w:rPr>
      <w:drawing>
        <wp:anchor distT="0" distB="0" distL="114300" distR="114300" simplePos="0" relativeHeight="251669504" behindDoc="0" locked="0" layoutInCell="1" allowOverlap="1" wp14:anchorId="1950078B" wp14:editId="2E3E2D7F">
          <wp:simplePos x="0" y="0"/>
          <wp:positionH relativeFrom="page">
            <wp:align>left</wp:align>
          </wp:positionH>
          <wp:positionV relativeFrom="paragraph">
            <wp:posOffset>-457200</wp:posOffset>
          </wp:positionV>
          <wp:extent cx="7559675" cy="19627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96278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55" w:rsidRPr="008F6EF8" w:rsidRDefault="00AC2955" w:rsidP="008F6EF8">
    <w:pPr>
      <w:pStyle w:val="Header"/>
    </w:pPr>
    <w:r>
      <w:rPr>
        <w:noProof/>
        <w:lang w:eastAsia="en-AU"/>
      </w:rPr>
      <w:drawing>
        <wp:anchor distT="0" distB="0" distL="114300" distR="114300" simplePos="0" relativeHeight="251667456" behindDoc="0" locked="0" layoutInCell="1" allowOverlap="1">
          <wp:simplePos x="0" y="0"/>
          <wp:positionH relativeFrom="page">
            <wp:align>left</wp:align>
          </wp:positionH>
          <wp:positionV relativeFrom="paragraph">
            <wp:posOffset>-457200</wp:posOffset>
          </wp:positionV>
          <wp:extent cx="7559675" cy="19627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9627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5CDA"/>
    <w:multiLevelType w:val="hybridMultilevel"/>
    <w:tmpl w:val="CDA6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8102C8"/>
    <w:multiLevelType w:val="hybridMultilevel"/>
    <w:tmpl w:val="07AC9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7704C3"/>
    <w:multiLevelType w:val="hybridMultilevel"/>
    <w:tmpl w:val="AAEEE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6E0783"/>
    <w:multiLevelType w:val="hybridMultilevel"/>
    <w:tmpl w:val="A8C65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5F1744"/>
    <w:multiLevelType w:val="hybridMultilevel"/>
    <w:tmpl w:val="1566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CA"/>
    <w:rsid w:val="00125FB6"/>
    <w:rsid w:val="001706DB"/>
    <w:rsid w:val="001D3852"/>
    <w:rsid w:val="002725BC"/>
    <w:rsid w:val="002D3F95"/>
    <w:rsid w:val="00333F21"/>
    <w:rsid w:val="0034282D"/>
    <w:rsid w:val="00381743"/>
    <w:rsid w:val="0039049E"/>
    <w:rsid w:val="00397E40"/>
    <w:rsid w:val="003E6E8D"/>
    <w:rsid w:val="00432597"/>
    <w:rsid w:val="004D5825"/>
    <w:rsid w:val="00521E64"/>
    <w:rsid w:val="005B33F8"/>
    <w:rsid w:val="005B3F2B"/>
    <w:rsid w:val="005E1A74"/>
    <w:rsid w:val="00607EE3"/>
    <w:rsid w:val="00626471"/>
    <w:rsid w:val="00633B18"/>
    <w:rsid w:val="006B7DA3"/>
    <w:rsid w:val="006D3D45"/>
    <w:rsid w:val="007630B9"/>
    <w:rsid w:val="00823E76"/>
    <w:rsid w:val="008C2503"/>
    <w:rsid w:val="008F6EF8"/>
    <w:rsid w:val="00950D7C"/>
    <w:rsid w:val="009F472B"/>
    <w:rsid w:val="00A315CA"/>
    <w:rsid w:val="00A879B8"/>
    <w:rsid w:val="00A935CC"/>
    <w:rsid w:val="00AC2955"/>
    <w:rsid w:val="00B206C3"/>
    <w:rsid w:val="00B42AB9"/>
    <w:rsid w:val="00B8104D"/>
    <w:rsid w:val="00B967CE"/>
    <w:rsid w:val="00C00749"/>
    <w:rsid w:val="00C44C69"/>
    <w:rsid w:val="00CC53C3"/>
    <w:rsid w:val="00CD2FCC"/>
    <w:rsid w:val="00D701EB"/>
    <w:rsid w:val="00DF18FF"/>
    <w:rsid w:val="00E439DD"/>
    <w:rsid w:val="00F60DC3"/>
    <w:rsid w:val="00F738AD"/>
    <w:rsid w:val="00F77CB6"/>
    <w:rsid w:val="00FB2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7A425B9-C98A-44E3-8AE3-0EE0A803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50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CA"/>
    <w:pPr>
      <w:ind w:left="720"/>
      <w:contextualSpacing/>
    </w:pPr>
  </w:style>
  <w:style w:type="table" w:styleId="TableGrid">
    <w:name w:val="Table Grid"/>
    <w:basedOn w:val="TableNormal"/>
    <w:uiPriority w:val="59"/>
    <w:rsid w:val="0063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FB6"/>
    <w:pPr>
      <w:tabs>
        <w:tab w:val="center" w:pos="4513"/>
        <w:tab w:val="right" w:pos="9026"/>
      </w:tabs>
    </w:pPr>
  </w:style>
  <w:style w:type="character" w:customStyle="1" w:styleId="HeaderChar">
    <w:name w:val="Header Char"/>
    <w:basedOn w:val="DefaultParagraphFont"/>
    <w:link w:val="Header"/>
    <w:uiPriority w:val="99"/>
    <w:rsid w:val="00125FB6"/>
    <w:rPr>
      <w:lang w:eastAsia="en-US"/>
    </w:rPr>
  </w:style>
  <w:style w:type="paragraph" w:styleId="Footer">
    <w:name w:val="footer"/>
    <w:basedOn w:val="Normal"/>
    <w:link w:val="FooterChar"/>
    <w:uiPriority w:val="99"/>
    <w:unhideWhenUsed/>
    <w:rsid w:val="00125FB6"/>
    <w:pPr>
      <w:tabs>
        <w:tab w:val="center" w:pos="4513"/>
        <w:tab w:val="right" w:pos="9026"/>
      </w:tabs>
    </w:pPr>
  </w:style>
  <w:style w:type="character" w:customStyle="1" w:styleId="FooterChar">
    <w:name w:val="Footer Char"/>
    <w:basedOn w:val="DefaultParagraphFont"/>
    <w:link w:val="Footer"/>
    <w:uiPriority w:val="99"/>
    <w:rsid w:val="00125FB6"/>
    <w:rPr>
      <w:lang w:eastAsia="en-US"/>
    </w:rPr>
  </w:style>
  <w:style w:type="paragraph" w:styleId="BalloonText">
    <w:name w:val="Balloon Text"/>
    <w:basedOn w:val="Normal"/>
    <w:link w:val="BalloonTextChar"/>
    <w:uiPriority w:val="99"/>
    <w:semiHidden/>
    <w:unhideWhenUsed/>
    <w:rsid w:val="00125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FB6"/>
    <w:rPr>
      <w:rFonts w:ascii="Segoe UI" w:hAnsi="Segoe UI" w:cs="Segoe UI"/>
      <w:sz w:val="18"/>
      <w:szCs w:val="18"/>
      <w:lang w:eastAsia="en-US"/>
    </w:rPr>
  </w:style>
  <w:style w:type="table" w:styleId="PlainTable4">
    <w:name w:val="Plain Table 4"/>
    <w:basedOn w:val="TableNormal"/>
    <w:uiPriority w:val="44"/>
    <w:rsid w:val="00125F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25F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rsid w:val="008F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F8D8-CE71-4C71-BFB0-24852DDAC6EA}">
  <ds:schemaRefs>
    <ds:schemaRef ds:uri="http://www.w3.org/2001/XMLSchema"/>
  </ds:schemaRefs>
</ds:datastoreItem>
</file>

<file path=customXml/itemProps2.xml><?xml version="1.0" encoding="utf-8"?>
<ds:datastoreItem xmlns:ds="http://schemas.openxmlformats.org/officeDocument/2006/customXml" ds:itemID="{BF15B33D-68A6-4B51-8ECB-049D0B41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18B29608.dotm</Template>
  <TotalTime>1</TotalTime>
  <Pages>3</Pages>
  <Words>660</Words>
  <Characters>3749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Stockley</dc:creator>
  <cp:keywords/>
  <dc:description/>
  <cp:lastModifiedBy>Susan Williamson</cp:lastModifiedBy>
  <cp:revision>2</cp:revision>
  <dcterms:created xsi:type="dcterms:W3CDTF">2018-11-22T05:40:00Z</dcterms:created>
  <dcterms:modified xsi:type="dcterms:W3CDTF">2018-11-22T05:40:00Z</dcterms:modified>
</cp:coreProperties>
</file>