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1A9" w:rsidRPr="00785053" w:rsidRDefault="00E401A9" w:rsidP="00E401A9">
      <w:pPr>
        <w:pStyle w:val="ActTitle"/>
        <w:rPr>
          <w:rFonts w:cs="Arial"/>
          <w:sz w:val="20"/>
        </w:rPr>
      </w:pPr>
      <w:r w:rsidRPr="00785053">
        <w:rPr>
          <w:rFonts w:cs="Arial"/>
          <w:sz w:val="20"/>
        </w:rPr>
        <w:t>Planning and Environment Act 1987</w:t>
      </w:r>
    </w:p>
    <w:p w:rsidR="00E401A9" w:rsidRPr="006D63C2" w:rsidRDefault="00AB3BAE" w:rsidP="00E401A9">
      <w:pPr>
        <w:pStyle w:val="Heading1"/>
        <w:rPr>
          <w:rFonts w:cs="Arial"/>
          <w:sz w:val="28"/>
          <w:szCs w:val="28"/>
        </w:rPr>
      </w:pPr>
      <w:r>
        <w:rPr>
          <w:rFonts w:cs="Arial"/>
          <w:bCs w:val="0"/>
          <w:sz w:val="28"/>
          <w:szCs w:val="28"/>
          <w:lang w:val="en-GB"/>
        </w:rPr>
        <w:t>GREATER GeeL</w:t>
      </w:r>
      <w:bookmarkStart w:id="0" w:name="_GoBack"/>
      <w:bookmarkEnd w:id="0"/>
      <w:r w:rsidR="00EE38C4" w:rsidRPr="00BB5FF7">
        <w:rPr>
          <w:rFonts w:cs="Arial"/>
          <w:bCs w:val="0"/>
          <w:sz w:val="28"/>
          <w:szCs w:val="28"/>
          <w:lang w:val="en-GB"/>
        </w:rPr>
        <w:t>ONG</w:t>
      </w:r>
      <w:r w:rsidR="00E401A9" w:rsidRPr="006D63C2">
        <w:rPr>
          <w:rFonts w:cs="Arial"/>
          <w:sz w:val="28"/>
          <w:szCs w:val="28"/>
        </w:rPr>
        <w:t xml:space="preserve"> PLANNING SCHEME</w:t>
      </w:r>
    </w:p>
    <w:p w:rsidR="00E401A9" w:rsidRPr="006D63C2" w:rsidRDefault="00E401A9" w:rsidP="00E401A9">
      <w:pPr>
        <w:pStyle w:val="Heading1"/>
        <w:rPr>
          <w:rFonts w:cs="Arial"/>
          <w:bCs w:val="0"/>
          <w:caps w:val="0"/>
          <w:color w:val="A6A6A6"/>
          <w:sz w:val="28"/>
          <w:szCs w:val="28"/>
          <w:lang w:val="en-GB"/>
        </w:rPr>
      </w:pPr>
      <w:r w:rsidRPr="006D63C2">
        <w:rPr>
          <w:rFonts w:cs="Arial"/>
          <w:sz w:val="28"/>
          <w:szCs w:val="28"/>
        </w:rPr>
        <w:t>AMENDMENT C</w:t>
      </w:r>
      <w:r w:rsidR="00617074">
        <w:rPr>
          <w:rFonts w:cs="Arial"/>
          <w:sz w:val="28"/>
          <w:szCs w:val="28"/>
        </w:rPr>
        <w:t>38</w:t>
      </w:r>
      <w:r w:rsidR="00530BC1">
        <w:rPr>
          <w:rFonts w:cs="Arial"/>
          <w:sz w:val="28"/>
          <w:szCs w:val="28"/>
        </w:rPr>
        <w:t>6</w:t>
      </w:r>
    </w:p>
    <w:p w:rsidR="00E401A9" w:rsidRPr="006D63C2" w:rsidRDefault="00E401A9" w:rsidP="00E401A9">
      <w:pPr>
        <w:spacing w:before="0"/>
        <w:jc w:val="center"/>
        <w:rPr>
          <w:rFonts w:ascii="Arial" w:hAnsi="Arial" w:cs="Arial"/>
          <w:b/>
          <w:color w:val="A6A6A6"/>
          <w:sz w:val="28"/>
          <w:szCs w:val="28"/>
          <w:lang w:val="en-GB"/>
        </w:rPr>
      </w:pPr>
      <w:r w:rsidRPr="006D63C2">
        <w:rPr>
          <w:rFonts w:ascii="Arial" w:hAnsi="Arial" w:cs="Arial"/>
          <w:b/>
          <w:bCs/>
          <w:caps/>
          <w:sz w:val="28"/>
          <w:szCs w:val="28"/>
        </w:rPr>
        <w:t>PLANNING PERMIT application</w:t>
      </w:r>
      <w:r w:rsidRPr="006D63C2">
        <w:rPr>
          <w:rFonts w:ascii="Arial" w:hAnsi="Arial" w:cs="Arial"/>
          <w:b/>
          <w:bCs/>
          <w:caps/>
          <w:color w:val="FF0000"/>
          <w:sz w:val="28"/>
          <w:szCs w:val="28"/>
        </w:rPr>
        <w:t xml:space="preserve"> </w:t>
      </w:r>
      <w:r w:rsidR="00530BC1" w:rsidRPr="00530BC1">
        <w:rPr>
          <w:rFonts w:ascii="Arial" w:hAnsi="Arial" w:cs="Arial"/>
          <w:b/>
          <w:bCs/>
          <w:caps/>
          <w:sz w:val="28"/>
          <w:szCs w:val="28"/>
        </w:rPr>
        <w:t>720/2018</w:t>
      </w:r>
    </w:p>
    <w:p w:rsidR="00E401A9" w:rsidRPr="006D63C2" w:rsidRDefault="00E401A9" w:rsidP="00E401A9">
      <w:pPr>
        <w:pStyle w:val="Heading1"/>
        <w:rPr>
          <w:rFonts w:cs="Arial"/>
          <w:szCs w:val="24"/>
        </w:rPr>
      </w:pPr>
      <w:r w:rsidRPr="006D63C2">
        <w:rPr>
          <w:rFonts w:cs="Arial"/>
          <w:szCs w:val="24"/>
        </w:rPr>
        <w:t>EXPLANATORY REPORT</w:t>
      </w:r>
    </w:p>
    <w:p w:rsidR="00E401A9" w:rsidRPr="00F84C8A" w:rsidRDefault="00E401A9" w:rsidP="00F84C8A">
      <w:pPr>
        <w:pStyle w:val="Heading2"/>
        <w:spacing w:before="240" w:after="240"/>
        <w:jc w:val="left"/>
        <w:rPr>
          <w:rFonts w:cs="Arial"/>
          <w:sz w:val="20"/>
        </w:rPr>
      </w:pPr>
      <w:r w:rsidRPr="00F84C8A">
        <w:rPr>
          <w:rFonts w:cs="Arial"/>
          <w:sz w:val="20"/>
        </w:rPr>
        <w:t>Who is the planning authority?</w:t>
      </w:r>
    </w:p>
    <w:p w:rsidR="00E401A9" w:rsidRPr="00F84C8A" w:rsidRDefault="00E401A9" w:rsidP="00E401A9">
      <w:pPr>
        <w:jc w:val="left"/>
        <w:rPr>
          <w:rFonts w:ascii="Arial" w:hAnsi="Arial" w:cs="Arial"/>
          <w:sz w:val="20"/>
        </w:rPr>
      </w:pPr>
      <w:r w:rsidRPr="00F84C8A">
        <w:rPr>
          <w:rFonts w:ascii="Arial" w:hAnsi="Arial" w:cs="Arial"/>
          <w:sz w:val="20"/>
        </w:rPr>
        <w:t>This amendment has been prepared by the</w:t>
      </w:r>
      <w:r w:rsidRPr="00F84C8A">
        <w:rPr>
          <w:rFonts w:ascii="Arial" w:hAnsi="Arial" w:cs="Arial"/>
          <w:color w:val="FF0000"/>
          <w:sz w:val="20"/>
        </w:rPr>
        <w:t xml:space="preserve"> </w:t>
      </w:r>
      <w:r w:rsidR="00EE38C4" w:rsidRPr="00EE38C4">
        <w:rPr>
          <w:rFonts w:ascii="Arial" w:hAnsi="Arial" w:cs="Arial"/>
          <w:sz w:val="20"/>
        </w:rPr>
        <w:t>City of Greater Geelong, which</w:t>
      </w:r>
      <w:r w:rsidR="00EE38C4">
        <w:rPr>
          <w:rFonts w:ascii="Arial" w:hAnsi="Arial" w:cs="Arial"/>
          <w:color w:val="FF0000"/>
          <w:sz w:val="20"/>
        </w:rPr>
        <w:t xml:space="preserve"> </w:t>
      </w:r>
      <w:r w:rsidRPr="00F84C8A">
        <w:rPr>
          <w:rFonts w:ascii="Arial" w:hAnsi="Arial" w:cs="Arial"/>
          <w:sz w:val="20"/>
        </w:rPr>
        <w:t>is the planning authority for this amendment.</w:t>
      </w:r>
    </w:p>
    <w:p w:rsidR="00E401A9" w:rsidRPr="00BB5FF7" w:rsidRDefault="00E401A9" w:rsidP="00E401A9">
      <w:pPr>
        <w:jc w:val="left"/>
        <w:rPr>
          <w:rFonts w:ascii="Arial" w:hAnsi="Arial" w:cs="Arial"/>
          <w:sz w:val="20"/>
        </w:rPr>
      </w:pPr>
      <w:r w:rsidRPr="00F84C8A">
        <w:rPr>
          <w:rFonts w:ascii="Arial" w:hAnsi="Arial" w:cs="Arial"/>
          <w:sz w:val="20"/>
        </w:rPr>
        <w:t xml:space="preserve">The Amendment has been made at the request </w:t>
      </w:r>
      <w:r w:rsidRPr="00BB5FF7">
        <w:rPr>
          <w:rFonts w:ascii="Arial" w:hAnsi="Arial" w:cs="Arial"/>
          <w:sz w:val="20"/>
        </w:rPr>
        <w:t xml:space="preserve">of </w:t>
      </w:r>
      <w:r w:rsidR="00EE38C4" w:rsidRPr="00BB5FF7">
        <w:rPr>
          <w:rFonts w:ascii="Arial" w:hAnsi="Arial" w:cs="Arial"/>
          <w:sz w:val="20"/>
        </w:rPr>
        <w:t>Sincock Planning on behalf of Covenant College</w:t>
      </w:r>
      <w:r w:rsidR="00BB5FF7" w:rsidRPr="00BB5FF7">
        <w:rPr>
          <w:rFonts w:ascii="Arial" w:hAnsi="Arial" w:cs="Arial"/>
          <w:sz w:val="20"/>
        </w:rPr>
        <w:t>, Geelong.</w:t>
      </w:r>
    </w:p>
    <w:p w:rsidR="00E401A9" w:rsidRPr="00F84C8A" w:rsidRDefault="00E401A9" w:rsidP="00F84C8A">
      <w:pPr>
        <w:pStyle w:val="Heading2"/>
        <w:spacing w:before="240" w:after="240"/>
        <w:jc w:val="left"/>
        <w:rPr>
          <w:rFonts w:cs="Arial"/>
          <w:sz w:val="20"/>
        </w:rPr>
      </w:pPr>
      <w:r w:rsidRPr="00F84C8A">
        <w:rPr>
          <w:rFonts w:cs="Arial"/>
          <w:sz w:val="20"/>
        </w:rPr>
        <w:t>Land affected by the Amendment</w:t>
      </w:r>
    </w:p>
    <w:p w:rsidR="00BB5FF7" w:rsidRPr="00494B9E" w:rsidRDefault="00E401A9" w:rsidP="00E401A9">
      <w:pPr>
        <w:jc w:val="left"/>
        <w:rPr>
          <w:rFonts w:ascii="Arial" w:hAnsi="Arial" w:cs="Arial"/>
          <w:sz w:val="20"/>
          <w:lang w:val="en-GB"/>
        </w:rPr>
      </w:pPr>
      <w:r w:rsidRPr="00F84C8A">
        <w:rPr>
          <w:rFonts w:ascii="Arial" w:hAnsi="Arial" w:cs="Arial"/>
          <w:sz w:val="20"/>
        </w:rPr>
        <w:t xml:space="preserve">The Amendment applies to </w:t>
      </w:r>
      <w:r w:rsidR="00EE38C4">
        <w:rPr>
          <w:rFonts w:ascii="Arial" w:hAnsi="Arial" w:cs="Arial"/>
          <w:sz w:val="20"/>
        </w:rPr>
        <w:t xml:space="preserve">a </w:t>
      </w:r>
      <w:r w:rsidR="00494B9E">
        <w:rPr>
          <w:rFonts w:ascii="Arial" w:hAnsi="Arial" w:cs="Arial"/>
          <w:sz w:val="20"/>
        </w:rPr>
        <w:t>3.237ha portion of land at 65 Creamery Road Bell Post Hill</w:t>
      </w:r>
      <w:r w:rsidRPr="00F84C8A">
        <w:rPr>
          <w:rFonts w:ascii="Arial" w:hAnsi="Arial" w:cs="Arial"/>
          <w:color w:val="A6A6A6"/>
          <w:sz w:val="20"/>
          <w:lang w:val="en-GB"/>
        </w:rPr>
        <w:t xml:space="preserve"> </w:t>
      </w:r>
      <w:r w:rsidR="00BB5FF7" w:rsidRPr="00494B9E">
        <w:rPr>
          <w:rFonts w:ascii="Arial" w:hAnsi="Arial" w:cs="Arial"/>
          <w:sz w:val="20"/>
          <w:lang w:val="en-GB"/>
        </w:rPr>
        <w:t xml:space="preserve">as shown on the </w:t>
      </w:r>
      <w:r w:rsidR="00494B9E">
        <w:rPr>
          <w:rFonts w:ascii="Arial" w:hAnsi="Arial" w:cs="Arial"/>
          <w:sz w:val="20"/>
          <w:lang w:val="en-GB"/>
        </w:rPr>
        <w:t>plan of subdivision</w:t>
      </w:r>
      <w:r w:rsidR="00BB5FF7" w:rsidRPr="00494B9E">
        <w:rPr>
          <w:rFonts w:ascii="Arial" w:hAnsi="Arial" w:cs="Arial"/>
          <w:sz w:val="20"/>
          <w:lang w:val="en-GB"/>
        </w:rPr>
        <w:t xml:space="preserve"> below:</w:t>
      </w:r>
    </w:p>
    <w:p w:rsidR="00E401A9" w:rsidRPr="00F84C8A" w:rsidRDefault="00AB4F37" w:rsidP="00E401A9">
      <w:pPr>
        <w:jc w:val="left"/>
        <w:rPr>
          <w:rFonts w:ascii="Arial" w:hAnsi="Arial" w:cs="Arial"/>
          <w:color w:val="A6A6A6"/>
          <w:sz w:val="20"/>
          <w:lang w:val="en-GB"/>
        </w:rPr>
      </w:pPr>
      <w:r>
        <w:rPr>
          <w:noProof/>
        </w:rPr>
        <w:drawing>
          <wp:inline distT="0" distB="0" distL="0" distR="0">
            <wp:extent cx="2060575" cy="2524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0575" cy="2524125"/>
                    </a:xfrm>
                    <a:prstGeom prst="rect">
                      <a:avLst/>
                    </a:prstGeom>
                    <a:noFill/>
                    <a:ln>
                      <a:noFill/>
                    </a:ln>
                  </pic:spPr>
                </pic:pic>
              </a:graphicData>
            </a:graphic>
          </wp:inline>
        </w:drawing>
      </w:r>
    </w:p>
    <w:p w:rsidR="00EE38C4" w:rsidRPr="00F84C8A" w:rsidRDefault="00EE38C4" w:rsidP="00EE38C4">
      <w:pPr>
        <w:jc w:val="left"/>
        <w:rPr>
          <w:rFonts w:ascii="Arial" w:hAnsi="Arial" w:cs="Arial"/>
          <w:sz w:val="20"/>
        </w:rPr>
      </w:pPr>
      <w:r w:rsidRPr="00F84C8A">
        <w:rPr>
          <w:rFonts w:ascii="Arial" w:hAnsi="Arial" w:cs="Arial"/>
          <w:sz w:val="20"/>
        </w:rPr>
        <w:t xml:space="preserve">The Amendment is a combined planning scheme amendment </w:t>
      </w:r>
      <w:r>
        <w:rPr>
          <w:rFonts w:ascii="Arial" w:hAnsi="Arial" w:cs="Arial"/>
          <w:sz w:val="20"/>
        </w:rPr>
        <w:t xml:space="preserve">and </w:t>
      </w:r>
      <w:r w:rsidRPr="00F84C8A">
        <w:rPr>
          <w:rFonts w:ascii="Arial" w:hAnsi="Arial" w:cs="Arial"/>
          <w:sz w:val="20"/>
        </w:rPr>
        <w:t>planning permit application under section 96A of the Act.</w:t>
      </w:r>
    </w:p>
    <w:p w:rsidR="00E401A9" w:rsidRPr="00F84C8A" w:rsidRDefault="00EE38C4" w:rsidP="00EE38C4">
      <w:pPr>
        <w:jc w:val="left"/>
        <w:rPr>
          <w:rFonts w:ascii="Arial" w:hAnsi="Arial" w:cs="Arial"/>
          <w:color w:val="A6A6A6"/>
          <w:sz w:val="20"/>
          <w:lang w:val="en-GB"/>
        </w:rPr>
      </w:pPr>
      <w:r w:rsidRPr="00A01CF5">
        <w:rPr>
          <w:rFonts w:ascii="Arial" w:hAnsi="Arial" w:cs="Arial"/>
          <w:sz w:val="20"/>
        </w:rPr>
        <w:t>The planning permit application applies to</w:t>
      </w:r>
      <w:r>
        <w:rPr>
          <w:rFonts w:ascii="Arial" w:hAnsi="Arial" w:cs="Arial"/>
          <w:sz w:val="20"/>
        </w:rPr>
        <w:t xml:space="preserve"> the land at 65 and 105 Creamery Road Bell Post Hill</w:t>
      </w:r>
      <w:r w:rsidR="00E401A9" w:rsidRPr="00F84C8A">
        <w:rPr>
          <w:rFonts w:ascii="Arial" w:hAnsi="Arial" w:cs="Arial"/>
          <w:color w:val="A6A6A6"/>
          <w:sz w:val="20"/>
          <w:lang w:val="en-GB"/>
        </w:rPr>
        <w:t>.</w:t>
      </w:r>
    </w:p>
    <w:p w:rsidR="00E401A9" w:rsidRPr="00F84C8A" w:rsidRDefault="00E401A9" w:rsidP="00F84C8A">
      <w:pPr>
        <w:pStyle w:val="Heading2"/>
        <w:spacing w:before="240" w:after="240"/>
        <w:jc w:val="left"/>
        <w:rPr>
          <w:rFonts w:cs="Arial"/>
          <w:sz w:val="20"/>
        </w:rPr>
      </w:pPr>
      <w:r w:rsidRPr="00F84C8A">
        <w:rPr>
          <w:rFonts w:cs="Arial"/>
          <w:sz w:val="20"/>
        </w:rPr>
        <w:t>What the amendment does</w:t>
      </w:r>
    </w:p>
    <w:p w:rsidR="00EE38C4" w:rsidRDefault="00E401A9" w:rsidP="00E401A9">
      <w:pPr>
        <w:jc w:val="left"/>
        <w:rPr>
          <w:rFonts w:ascii="Arial" w:hAnsi="Arial" w:cs="Arial"/>
          <w:color w:val="A6A6A6"/>
          <w:sz w:val="20"/>
          <w:lang w:val="en-GB"/>
        </w:rPr>
      </w:pPr>
      <w:r w:rsidRPr="00F84C8A">
        <w:rPr>
          <w:rFonts w:ascii="Arial" w:hAnsi="Arial" w:cs="Arial"/>
          <w:sz w:val="20"/>
        </w:rPr>
        <w:t xml:space="preserve">The Amendment </w:t>
      </w:r>
      <w:r w:rsidR="00EE38C4" w:rsidRPr="00743778">
        <w:rPr>
          <w:rFonts w:ascii="Arial" w:hAnsi="Arial" w:cs="Arial"/>
          <w:sz w:val="20"/>
          <w:lang w:val="en-GB"/>
        </w:rPr>
        <w:t>proposes to rezone the land to the Special Use Zone Schedule 15 to provide for the future expansion and growth of Covenant College</w:t>
      </w:r>
      <w:r w:rsidR="00743778">
        <w:rPr>
          <w:rFonts w:ascii="Arial" w:hAnsi="Arial" w:cs="Arial"/>
          <w:sz w:val="20"/>
          <w:lang w:val="en-GB"/>
        </w:rPr>
        <w:t>.</w:t>
      </w:r>
    </w:p>
    <w:p w:rsidR="00743778" w:rsidRDefault="00E401A9" w:rsidP="00E401A9">
      <w:pPr>
        <w:jc w:val="left"/>
        <w:rPr>
          <w:rFonts w:ascii="Arial" w:hAnsi="Arial" w:cs="Arial"/>
          <w:sz w:val="20"/>
        </w:rPr>
      </w:pPr>
      <w:r w:rsidRPr="00F84C8A">
        <w:rPr>
          <w:rFonts w:ascii="Arial" w:hAnsi="Arial" w:cs="Arial"/>
          <w:sz w:val="20"/>
        </w:rPr>
        <w:t xml:space="preserve">The Amendment </w:t>
      </w:r>
      <w:r w:rsidR="00743778">
        <w:rPr>
          <w:rFonts w:ascii="Arial" w:hAnsi="Arial" w:cs="Arial"/>
          <w:sz w:val="20"/>
        </w:rPr>
        <w:t>will:</w:t>
      </w:r>
    </w:p>
    <w:p w:rsidR="00743778" w:rsidRPr="00743778" w:rsidRDefault="00743778" w:rsidP="00743778">
      <w:pPr>
        <w:pStyle w:val="Bullet1"/>
        <w:ind w:left="284" w:hanging="284"/>
        <w:rPr>
          <w:color w:val="auto"/>
        </w:rPr>
      </w:pPr>
      <w:r w:rsidRPr="00743778">
        <w:rPr>
          <w:color w:val="auto"/>
        </w:rPr>
        <w:t xml:space="preserve">Rezone </w:t>
      </w:r>
      <w:r w:rsidR="00494B9E">
        <w:rPr>
          <w:color w:val="auto"/>
        </w:rPr>
        <w:t>3.237ha</w:t>
      </w:r>
      <w:r w:rsidRPr="00743778">
        <w:rPr>
          <w:color w:val="auto"/>
        </w:rPr>
        <w:t xml:space="preserve"> of the land to the Special Use Zone Schedule 15 (SUZ15);</w:t>
      </w:r>
    </w:p>
    <w:p w:rsidR="00E401A9" w:rsidRPr="00F84C8A" w:rsidRDefault="00E401A9" w:rsidP="00E401A9">
      <w:pPr>
        <w:jc w:val="left"/>
        <w:rPr>
          <w:rFonts w:ascii="Arial" w:hAnsi="Arial" w:cs="Arial"/>
          <w:sz w:val="20"/>
        </w:rPr>
      </w:pPr>
      <w:r w:rsidRPr="00F84C8A">
        <w:rPr>
          <w:rFonts w:ascii="Arial" w:hAnsi="Arial" w:cs="Arial"/>
          <w:sz w:val="20"/>
        </w:rPr>
        <w:t>The planning permit application seeks approval for:</w:t>
      </w:r>
    </w:p>
    <w:p w:rsidR="00E401A9" w:rsidRPr="00743778" w:rsidRDefault="00743778" w:rsidP="006D63C2">
      <w:pPr>
        <w:pStyle w:val="Bullet1"/>
        <w:ind w:left="284" w:hanging="284"/>
        <w:rPr>
          <w:color w:val="auto"/>
        </w:rPr>
      </w:pPr>
      <w:r w:rsidRPr="00743778">
        <w:rPr>
          <w:color w:val="auto"/>
        </w:rPr>
        <w:t>Subdivision of the land</w:t>
      </w:r>
      <w:r w:rsidR="00F16AED">
        <w:rPr>
          <w:color w:val="auto"/>
        </w:rPr>
        <w:t xml:space="preserve"> (boundary realignment)</w:t>
      </w:r>
    </w:p>
    <w:p w:rsidR="00E401A9" w:rsidRPr="00F84C8A" w:rsidRDefault="00E401A9" w:rsidP="00E401A9">
      <w:pPr>
        <w:jc w:val="left"/>
        <w:rPr>
          <w:rFonts w:ascii="Arial" w:hAnsi="Arial" w:cs="Arial"/>
          <w:b/>
          <w:color w:val="0000FF"/>
          <w:sz w:val="20"/>
        </w:rPr>
      </w:pPr>
      <w:r w:rsidRPr="00F84C8A">
        <w:rPr>
          <w:rFonts w:ascii="Arial" w:hAnsi="Arial" w:cs="Arial"/>
          <w:sz w:val="20"/>
        </w:rPr>
        <w:t xml:space="preserve">The planning permit is attached </w:t>
      </w:r>
      <w:r w:rsidR="00DE5C1C" w:rsidRPr="00F84C8A">
        <w:rPr>
          <w:rFonts w:ascii="Arial" w:hAnsi="Arial" w:cs="Arial"/>
          <w:sz w:val="20"/>
        </w:rPr>
        <w:t xml:space="preserve">as a separate </w:t>
      </w:r>
      <w:r w:rsidR="0017548E" w:rsidRPr="00F84C8A">
        <w:rPr>
          <w:rFonts w:ascii="Arial" w:hAnsi="Arial" w:cs="Arial"/>
          <w:sz w:val="20"/>
        </w:rPr>
        <w:t xml:space="preserve">document </w:t>
      </w:r>
      <w:r w:rsidRPr="00F84C8A">
        <w:rPr>
          <w:rFonts w:ascii="Arial" w:hAnsi="Arial" w:cs="Arial"/>
          <w:sz w:val="20"/>
        </w:rPr>
        <w:t xml:space="preserve">to </w:t>
      </w:r>
      <w:r w:rsidR="0017548E" w:rsidRPr="00F84C8A">
        <w:rPr>
          <w:rFonts w:ascii="Arial" w:hAnsi="Arial" w:cs="Arial"/>
          <w:sz w:val="20"/>
        </w:rPr>
        <w:t>this</w:t>
      </w:r>
      <w:r w:rsidR="00F97299" w:rsidRPr="00F84C8A">
        <w:rPr>
          <w:rFonts w:ascii="Arial" w:hAnsi="Arial" w:cs="Arial"/>
          <w:sz w:val="20"/>
        </w:rPr>
        <w:t xml:space="preserve"> </w:t>
      </w:r>
      <w:r w:rsidRPr="00F84C8A">
        <w:rPr>
          <w:rFonts w:ascii="Arial" w:hAnsi="Arial" w:cs="Arial"/>
          <w:sz w:val="20"/>
        </w:rPr>
        <w:t xml:space="preserve">Explanatory Report. </w:t>
      </w:r>
    </w:p>
    <w:p w:rsidR="00E401A9" w:rsidRPr="00F84C8A" w:rsidRDefault="00E401A9" w:rsidP="00F84C8A">
      <w:pPr>
        <w:pStyle w:val="Heading2"/>
        <w:spacing w:before="240" w:after="240"/>
        <w:jc w:val="left"/>
        <w:rPr>
          <w:rFonts w:cs="Arial"/>
          <w:sz w:val="20"/>
        </w:rPr>
      </w:pPr>
      <w:r w:rsidRPr="00F84C8A">
        <w:rPr>
          <w:rFonts w:cs="Arial"/>
          <w:sz w:val="20"/>
        </w:rPr>
        <w:t xml:space="preserve">Strategic assessment of the Amendment </w:t>
      </w:r>
    </w:p>
    <w:p w:rsidR="00E401A9" w:rsidRPr="00F84C8A" w:rsidRDefault="00E401A9" w:rsidP="00F84C8A">
      <w:pPr>
        <w:pStyle w:val="Heading2"/>
        <w:spacing w:before="240" w:after="240"/>
        <w:jc w:val="left"/>
        <w:rPr>
          <w:rFonts w:cs="Arial"/>
          <w:sz w:val="20"/>
        </w:rPr>
      </w:pPr>
      <w:r w:rsidRPr="00F84C8A">
        <w:rPr>
          <w:rFonts w:cs="Arial"/>
          <w:sz w:val="20"/>
        </w:rPr>
        <w:t>Why is the Amendment required?</w:t>
      </w:r>
    </w:p>
    <w:p w:rsidR="00BC5E27" w:rsidRPr="00DE1A80" w:rsidRDefault="00BC5E27" w:rsidP="00BC5E27">
      <w:pPr>
        <w:pStyle w:val="Bullet1"/>
        <w:numPr>
          <w:ilvl w:val="0"/>
          <w:numId w:val="0"/>
        </w:numPr>
        <w:rPr>
          <w:color w:val="auto"/>
        </w:rPr>
      </w:pPr>
      <w:r w:rsidRPr="00DE1A80">
        <w:rPr>
          <w:color w:val="auto"/>
        </w:rPr>
        <w:lastRenderedPageBreak/>
        <w:t>The amendment is required to rezone land to facilitate the long term expansion and growth of Covenant College and provide for the subdivision</w:t>
      </w:r>
      <w:r w:rsidR="00907AC2">
        <w:rPr>
          <w:color w:val="auto"/>
        </w:rPr>
        <w:t xml:space="preserve"> of the land</w:t>
      </w:r>
      <w:r w:rsidRPr="00DE1A80">
        <w:rPr>
          <w:color w:val="auto"/>
        </w:rPr>
        <w:t xml:space="preserve"> (boundary realignment) to maintain the school within a single parcel of land. </w:t>
      </w:r>
    </w:p>
    <w:p w:rsidR="00DE1A80" w:rsidRPr="00907AC2" w:rsidRDefault="00BC5E27" w:rsidP="00BC5E27">
      <w:pPr>
        <w:pStyle w:val="Bullet1"/>
        <w:numPr>
          <w:ilvl w:val="0"/>
          <w:numId w:val="0"/>
        </w:numPr>
        <w:rPr>
          <w:color w:val="auto"/>
        </w:rPr>
      </w:pPr>
      <w:r w:rsidRPr="00907AC2">
        <w:rPr>
          <w:color w:val="auto"/>
        </w:rPr>
        <w:t xml:space="preserve">The proposal results in a good planning outcome, identifying the long term needs of Covenant College and clearly </w:t>
      </w:r>
      <w:r w:rsidR="00DE1A80" w:rsidRPr="00907AC2">
        <w:rPr>
          <w:color w:val="auto"/>
        </w:rPr>
        <w:t xml:space="preserve">earmarking </w:t>
      </w:r>
      <w:r w:rsidRPr="00907AC2">
        <w:rPr>
          <w:color w:val="auto"/>
        </w:rPr>
        <w:t>the land for the purpose of the school expansion</w:t>
      </w:r>
      <w:r w:rsidR="00DE1A80" w:rsidRPr="00907AC2">
        <w:rPr>
          <w:color w:val="auto"/>
        </w:rPr>
        <w:t xml:space="preserve">.  </w:t>
      </w:r>
    </w:p>
    <w:p w:rsidR="00DE1A80" w:rsidRDefault="00DE1A80" w:rsidP="00BC5E27">
      <w:pPr>
        <w:pStyle w:val="Bullet1"/>
        <w:numPr>
          <w:ilvl w:val="0"/>
          <w:numId w:val="0"/>
        </w:numPr>
        <w:rPr>
          <w:color w:val="A6A6A6"/>
        </w:rPr>
      </w:pPr>
      <w:r w:rsidRPr="00907AC2">
        <w:rPr>
          <w:color w:val="auto"/>
        </w:rPr>
        <w:t>The land is contained within the Western Geelong Growth Area and it is imperative</w:t>
      </w:r>
      <w:r w:rsidR="00907AC2" w:rsidRPr="00907AC2">
        <w:rPr>
          <w:color w:val="auto"/>
        </w:rPr>
        <w:t xml:space="preserve"> that the school is not constrained in the future via its ability to expand and that it can grow to accommodate the future residential growth expected in the surrounding area. </w:t>
      </w:r>
      <w:r w:rsidR="00907AC2" w:rsidRPr="00907AC2">
        <w:rPr>
          <w:color w:val="A6A6A6"/>
        </w:rPr>
        <w:t xml:space="preserve"> </w:t>
      </w:r>
      <w:r w:rsidRPr="00907AC2">
        <w:rPr>
          <w:color w:val="A6A6A6"/>
        </w:rPr>
        <w:t xml:space="preserve"> </w:t>
      </w:r>
    </w:p>
    <w:p w:rsidR="00907AC2" w:rsidRPr="00907AC2" w:rsidRDefault="00907AC2" w:rsidP="00BC5E27">
      <w:pPr>
        <w:pStyle w:val="Bullet1"/>
        <w:numPr>
          <w:ilvl w:val="0"/>
          <w:numId w:val="0"/>
        </w:numPr>
        <w:rPr>
          <w:color w:val="auto"/>
        </w:rPr>
      </w:pPr>
      <w:r w:rsidRPr="00907AC2">
        <w:rPr>
          <w:color w:val="auto"/>
        </w:rPr>
        <w:t>The purchase of the land is tied up with a federal grant that requires the land to be rezoned and subdivided to accord with the current schools planning controls.</w:t>
      </w:r>
    </w:p>
    <w:p w:rsidR="00E401A9" w:rsidRPr="00F84C8A" w:rsidRDefault="00E401A9" w:rsidP="00F84C8A">
      <w:pPr>
        <w:pStyle w:val="Heading2"/>
        <w:spacing w:before="240" w:after="240"/>
        <w:jc w:val="left"/>
        <w:rPr>
          <w:rFonts w:cs="Arial"/>
          <w:sz w:val="20"/>
        </w:rPr>
      </w:pPr>
      <w:r w:rsidRPr="00F84C8A">
        <w:rPr>
          <w:rFonts w:cs="Arial"/>
          <w:sz w:val="20"/>
        </w:rPr>
        <w:t>How does the Amendment implement the objectives of planning in Victoria?</w:t>
      </w:r>
    </w:p>
    <w:p w:rsidR="00907AC2" w:rsidRPr="004216CC" w:rsidRDefault="00907AC2" w:rsidP="00907AC2">
      <w:pPr>
        <w:jc w:val="left"/>
        <w:rPr>
          <w:rFonts w:ascii="Arial" w:hAnsi="Arial" w:cs="Arial"/>
          <w:sz w:val="20"/>
        </w:rPr>
      </w:pPr>
      <w:r w:rsidRPr="004216CC">
        <w:rPr>
          <w:rFonts w:ascii="Arial" w:hAnsi="Arial" w:cs="Arial"/>
          <w:sz w:val="20"/>
        </w:rPr>
        <w:t>Consistent with the objectives set out in Section 4 of the Planning and Environment Act</w:t>
      </w:r>
      <w:r>
        <w:rPr>
          <w:rFonts w:ascii="Arial" w:hAnsi="Arial" w:cs="Arial"/>
          <w:sz w:val="20"/>
        </w:rPr>
        <w:t xml:space="preserve"> </w:t>
      </w:r>
      <w:r w:rsidRPr="004216CC">
        <w:rPr>
          <w:rFonts w:ascii="Arial" w:hAnsi="Arial" w:cs="Arial"/>
          <w:sz w:val="20"/>
        </w:rPr>
        <w:t>1987, the amendment:</w:t>
      </w:r>
    </w:p>
    <w:p w:rsidR="00907AC2" w:rsidRPr="004216CC" w:rsidRDefault="00907AC2" w:rsidP="00907AC2">
      <w:pPr>
        <w:pStyle w:val="Bullet1"/>
        <w:ind w:left="284" w:hanging="284"/>
        <w:rPr>
          <w:color w:val="auto"/>
        </w:rPr>
      </w:pPr>
      <w:r w:rsidRPr="004216CC">
        <w:rPr>
          <w:color w:val="auto"/>
        </w:rPr>
        <w:t xml:space="preserve"> Provides for the fair, orderly, economic and sustainable use and development of land.</w:t>
      </w:r>
    </w:p>
    <w:p w:rsidR="00907AC2" w:rsidRPr="004216CC" w:rsidRDefault="00907AC2" w:rsidP="00907AC2">
      <w:pPr>
        <w:pStyle w:val="Bullet1"/>
        <w:ind w:left="284" w:hanging="284"/>
        <w:rPr>
          <w:color w:val="auto"/>
        </w:rPr>
      </w:pPr>
      <w:r w:rsidRPr="004216CC">
        <w:rPr>
          <w:color w:val="auto"/>
        </w:rPr>
        <w:t xml:space="preserve"> Balances the need for </w:t>
      </w:r>
      <w:r>
        <w:rPr>
          <w:color w:val="auto"/>
        </w:rPr>
        <w:t xml:space="preserve">future growth of Covenant College </w:t>
      </w:r>
      <w:r w:rsidRPr="004216CC">
        <w:rPr>
          <w:color w:val="auto"/>
        </w:rPr>
        <w:t xml:space="preserve">against the </w:t>
      </w:r>
      <w:r>
        <w:rPr>
          <w:color w:val="auto"/>
        </w:rPr>
        <w:t xml:space="preserve">future development </w:t>
      </w:r>
      <w:r w:rsidRPr="004216CC">
        <w:rPr>
          <w:color w:val="auto"/>
        </w:rPr>
        <w:t>opportunities of the area.</w:t>
      </w:r>
    </w:p>
    <w:p w:rsidR="00907AC2" w:rsidRPr="003F3DA3" w:rsidRDefault="00907AC2" w:rsidP="00907AC2">
      <w:pPr>
        <w:pStyle w:val="Bullet1"/>
        <w:ind w:left="284" w:hanging="284"/>
        <w:rPr>
          <w:color w:val="auto"/>
        </w:rPr>
      </w:pPr>
      <w:r w:rsidRPr="004216CC">
        <w:rPr>
          <w:color w:val="auto"/>
        </w:rPr>
        <w:t xml:space="preserve"> </w:t>
      </w:r>
      <w:r>
        <w:rPr>
          <w:color w:val="auto"/>
        </w:rPr>
        <w:t>Uses appropriate</w:t>
      </w:r>
      <w:r w:rsidRPr="004216CC">
        <w:rPr>
          <w:color w:val="auto"/>
        </w:rPr>
        <w:t xml:space="preserve"> planning provisions to </w:t>
      </w:r>
      <w:r>
        <w:rPr>
          <w:color w:val="auto"/>
        </w:rPr>
        <w:t>provide for consistent and orderly consideration of development applications across the entire school parcel of land</w:t>
      </w:r>
      <w:r w:rsidRPr="004216CC">
        <w:rPr>
          <w:color w:val="auto"/>
          <w:sz w:val="22"/>
          <w:szCs w:val="22"/>
        </w:rPr>
        <w:t>.</w:t>
      </w:r>
    </w:p>
    <w:p w:rsidR="00907AC2" w:rsidRPr="003F3DA3" w:rsidRDefault="00907AC2" w:rsidP="00907AC2">
      <w:pPr>
        <w:jc w:val="left"/>
        <w:rPr>
          <w:rFonts w:ascii="Arial" w:hAnsi="Arial" w:cs="Arial"/>
          <w:sz w:val="20"/>
        </w:rPr>
      </w:pPr>
      <w:r w:rsidRPr="003F3DA3">
        <w:rPr>
          <w:rFonts w:ascii="Arial" w:hAnsi="Arial" w:cs="Arial"/>
          <w:sz w:val="20"/>
        </w:rPr>
        <w:t xml:space="preserve">The proposal accords with the objectives of Planning in Victoria as set out in the Planning and Environment Act 1987 as it will provide for the rezoning and subdivision of land to achieve an orderly, well planned outcome consistent with the </w:t>
      </w:r>
      <w:r>
        <w:rPr>
          <w:rFonts w:ascii="Arial" w:hAnsi="Arial" w:cs="Arial"/>
          <w:sz w:val="20"/>
        </w:rPr>
        <w:t>Planning and Environment Act 1987</w:t>
      </w:r>
      <w:r w:rsidRPr="003F3DA3">
        <w:rPr>
          <w:rFonts w:ascii="Arial" w:hAnsi="Arial" w:cs="Arial"/>
          <w:sz w:val="20"/>
        </w:rPr>
        <w:t>.</w:t>
      </w:r>
    </w:p>
    <w:p w:rsidR="00E401A9" w:rsidRPr="00F84C8A" w:rsidRDefault="00E401A9" w:rsidP="00F84C8A">
      <w:pPr>
        <w:pStyle w:val="Heading2"/>
        <w:spacing w:before="240" w:after="240"/>
        <w:jc w:val="left"/>
        <w:rPr>
          <w:rFonts w:cs="Arial"/>
          <w:sz w:val="20"/>
        </w:rPr>
      </w:pPr>
      <w:r w:rsidRPr="00F84C8A">
        <w:rPr>
          <w:rFonts w:cs="Arial"/>
          <w:sz w:val="20"/>
        </w:rPr>
        <w:t>How does the Amendment address any environmental, social and economic effects?</w:t>
      </w:r>
    </w:p>
    <w:p w:rsidR="005B4379" w:rsidRPr="003D377F" w:rsidRDefault="00400530" w:rsidP="00400530">
      <w:pPr>
        <w:pStyle w:val="Bullet1"/>
        <w:numPr>
          <w:ilvl w:val="0"/>
          <w:numId w:val="0"/>
        </w:numPr>
        <w:rPr>
          <w:color w:val="auto"/>
        </w:rPr>
      </w:pPr>
      <w:r w:rsidRPr="003D377F">
        <w:rPr>
          <w:color w:val="auto"/>
        </w:rPr>
        <w:t xml:space="preserve">The </w:t>
      </w:r>
      <w:r w:rsidR="004666CF" w:rsidRPr="003D377F">
        <w:rPr>
          <w:color w:val="auto"/>
        </w:rPr>
        <w:t xml:space="preserve">amendment </w:t>
      </w:r>
      <w:r w:rsidRPr="003D377F">
        <w:rPr>
          <w:color w:val="auto"/>
        </w:rPr>
        <w:t xml:space="preserve">considered and </w:t>
      </w:r>
      <w:r w:rsidR="004666CF" w:rsidRPr="003D377F">
        <w:rPr>
          <w:color w:val="auto"/>
        </w:rPr>
        <w:t>address</w:t>
      </w:r>
      <w:r w:rsidRPr="003D377F">
        <w:rPr>
          <w:color w:val="auto"/>
        </w:rPr>
        <w:t>es</w:t>
      </w:r>
      <w:r w:rsidR="004666CF" w:rsidRPr="003D377F">
        <w:rPr>
          <w:color w:val="auto"/>
        </w:rPr>
        <w:t xml:space="preserve"> environmental, social and economic effects of the Act</w:t>
      </w:r>
      <w:r w:rsidRPr="003D377F">
        <w:rPr>
          <w:color w:val="auto"/>
        </w:rPr>
        <w:t>.</w:t>
      </w:r>
      <w:r w:rsidR="005B4379" w:rsidRPr="003D377F">
        <w:rPr>
          <w:color w:val="auto"/>
        </w:rPr>
        <w:t xml:space="preserve">  The property is currently farmed and contains no remnant vegetation, and neither the land rezoning nor any future development application will have any impact on biodiversity matters.</w:t>
      </w:r>
    </w:p>
    <w:p w:rsidR="00400530" w:rsidRPr="003D377F" w:rsidRDefault="005B4379" w:rsidP="00400530">
      <w:pPr>
        <w:pStyle w:val="Bullet1"/>
        <w:numPr>
          <w:ilvl w:val="0"/>
          <w:numId w:val="0"/>
        </w:numPr>
        <w:rPr>
          <w:color w:val="auto"/>
        </w:rPr>
      </w:pPr>
      <w:r w:rsidRPr="003D377F">
        <w:rPr>
          <w:color w:val="auto"/>
        </w:rPr>
        <w:t xml:space="preserve">The site has no </w:t>
      </w:r>
      <w:r w:rsidR="00AE19F5" w:rsidRPr="003D377F">
        <w:rPr>
          <w:color w:val="auto"/>
        </w:rPr>
        <w:t>significant historic, architectural, aesthetic, scientific and cultural values that require consideration or assessment.</w:t>
      </w:r>
    </w:p>
    <w:p w:rsidR="005512C1" w:rsidRPr="003D377F" w:rsidRDefault="00AE19F5" w:rsidP="00400530">
      <w:pPr>
        <w:pStyle w:val="Bullet1"/>
        <w:numPr>
          <w:ilvl w:val="0"/>
          <w:numId w:val="0"/>
        </w:numPr>
        <w:rPr>
          <w:color w:val="auto"/>
        </w:rPr>
      </w:pPr>
      <w:r w:rsidRPr="003D377F">
        <w:rPr>
          <w:color w:val="auto"/>
        </w:rPr>
        <w:t xml:space="preserve">As the land is not serviced with stormwater infrastructure, on-site retardation will be required upon future development of the land to accommodate the 1:100 year flow.  Preliminary advice and plans have been prepared and confirm that a detention basin will at the northern end of the property will be sized to accommodate the 1:100 year flow and discharge back to the 10 year predevelopment flow. </w:t>
      </w:r>
      <w:r w:rsidR="005512C1" w:rsidRPr="003D377F">
        <w:rPr>
          <w:color w:val="auto"/>
        </w:rPr>
        <w:t>A bio-retention basin with filtered mediums will be included in the detention basin floor and will appropriately treat stormwater runoff to maintain water quality and prevent detrimental environmental impacts.</w:t>
      </w:r>
    </w:p>
    <w:p w:rsidR="005512C1" w:rsidRPr="003D377F" w:rsidRDefault="005512C1" w:rsidP="00400530">
      <w:pPr>
        <w:pStyle w:val="Bullet1"/>
        <w:numPr>
          <w:ilvl w:val="0"/>
          <w:numId w:val="0"/>
        </w:numPr>
        <w:rPr>
          <w:color w:val="auto"/>
        </w:rPr>
      </w:pPr>
      <w:r w:rsidRPr="003D377F">
        <w:rPr>
          <w:color w:val="auto"/>
        </w:rPr>
        <w:t xml:space="preserve">The rezoning has no impact on air or land quality, and the minor reduction in agricultural production is inconsequential.  The land is identified for future urban growth in the Western Geelong Growth Area and its long term change in use is already identified as a future residential growth corridor. </w:t>
      </w:r>
    </w:p>
    <w:p w:rsidR="005B4379" w:rsidRPr="003D377F" w:rsidRDefault="005512C1" w:rsidP="00400530">
      <w:pPr>
        <w:pStyle w:val="Bullet1"/>
        <w:numPr>
          <w:ilvl w:val="0"/>
          <w:numId w:val="0"/>
        </w:numPr>
        <w:rPr>
          <w:color w:val="auto"/>
        </w:rPr>
      </w:pPr>
      <w:r w:rsidRPr="003D377F">
        <w:rPr>
          <w:color w:val="auto"/>
        </w:rPr>
        <w:t xml:space="preserve">Ensuring the future development potential </w:t>
      </w:r>
      <w:r w:rsidR="003D377F" w:rsidRPr="003D377F">
        <w:rPr>
          <w:color w:val="auto"/>
        </w:rPr>
        <w:t xml:space="preserve">of the school is critical to the existing community, providing assurances that the school will be able to expand as student numbers increase and place pressure on the existing site and infrastructure.  This is important for the social and economic well-being of the school community.  </w:t>
      </w:r>
    </w:p>
    <w:p w:rsidR="003D377F" w:rsidRPr="003D377F" w:rsidRDefault="003D377F" w:rsidP="00400530">
      <w:pPr>
        <w:pStyle w:val="Bullet1"/>
        <w:numPr>
          <w:ilvl w:val="0"/>
          <w:numId w:val="0"/>
        </w:numPr>
        <w:rPr>
          <w:color w:val="auto"/>
        </w:rPr>
      </w:pPr>
      <w:r w:rsidRPr="003D377F">
        <w:rPr>
          <w:color w:val="auto"/>
        </w:rPr>
        <w:t xml:space="preserve">The area is designated as one of the two future growth areas of the city, and the early designation of land for the school purpose provides certainty for the future development of adjacent land, as future growth of the school will not need to be accommodated beyond the title boundaries. </w:t>
      </w:r>
    </w:p>
    <w:p w:rsidR="00E401A9" w:rsidRPr="00F84C8A" w:rsidRDefault="00E401A9" w:rsidP="00F84C8A">
      <w:pPr>
        <w:pStyle w:val="Heading2"/>
        <w:spacing w:before="240" w:after="240"/>
        <w:jc w:val="left"/>
        <w:rPr>
          <w:rFonts w:cs="Arial"/>
          <w:sz w:val="20"/>
        </w:rPr>
      </w:pPr>
      <w:r w:rsidRPr="00F84C8A">
        <w:rPr>
          <w:rFonts w:cs="Arial"/>
          <w:sz w:val="20"/>
        </w:rPr>
        <w:t>Does the Amendment address relevant bushfire risk?</w:t>
      </w:r>
    </w:p>
    <w:p w:rsidR="0076486F" w:rsidRPr="0076486F" w:rsidRDefault="0076486F" w:rsidP="00836BA4">
      <w:pPr>
        <w:pStyle w:val="Bullet1"/>
        <w:numPr>
          <w:ilvl w:val="0"/>
          <w:numId w:val="0"/>
        </w:numPr>
        <w:rPr>
          <w:color w:val="auto"/>
        </w:rPr>
      </w:pPr>
      <w:r w:rsidRPr="0076486F">
        <w:rPr>
          <w:color w:val="auto"/>
        </w:rPr>
        <w:t xml:space="preserve">The land is not within the bushfire prone area nor is it subject to a Bushfire Management Overlay.  </w:t>
      </w:r>
    </w:p>
    <w:p w:rsidR="00E401A9" w:rsidRPr="00F84C8A" w:rsidRDefault="00E401A9" w:rsidP="00F84C8A">
      <w:pPr>
        <w:pStyle w:val="Heading2"/>
        <w:spacing w:before="240" w:after="240"/>
        <w:jc w:val="left"/>
        <w:rPr>
          <w:rFonts w:cs="Arial"/>
          <w:sz w:val="20"/>
        </w:rPr>
      </w:pPr>
      <w:r w:rsidRPr="00F84C8A">
        <w:rPr>
          <w:rFonts w:cs="Arial"/>
          <w:sz w:val="20"/>
        </w:rPr>
        <w:lastRenderedPageBreak/>
        <w:t>Does the Amendment comply with the requirements of any Minister’s Direction applicable to the amendment?</w:t>
      </w:r>
    </w:p>
    <w:p w:rsidR="0076486F" w:rsidRDefault="0076486F" w:rsidP="0076486F">
      <w:pPr>
        <w:pStyle w:val="Bullet1"/>
        <w:numPr>
          <w:ilvl w:val="0"/>
          <w:numId w:val="0"/>
        </w:numPr>
        <w:rPr>
          <w:color w:val="auto"/>
        </w:rPr>
      </w:pPr>
      <w:r w:rsidRPr="0076486F">
        <w:rPr>
          <w:color w:val="auto"/>
        </w:rPr>
        <w:t xml:space="preserve">The </w:t>
      </w:r>
      <w:r w:rsidR="004666CF" w:rsidRPr="0076486F">
        <w:rPr>
          <w:color w:val="auto"/>
        </w:rPr>
        <w:t xml:space="preserve">amendment </w:t>
      </w:r>
      <w:r w:rsidRPr="0076486F">
        <w:rPr>
          <w:color w:val="auto"/>
        </w:rPr>
        <w:t xml:space="preserve">is consistent </w:t>
      </w:r>
      <w:r w:rsidR="004666CF" w:rsidRPr="0076486F">
        <w:rPr>
          <w:color w:val="auto"/>
        </w:rPr>
        <w:t>with the requirements of the Ministerial Direction on the Form and Content of Planning Schemes (section 7(5) of the Act)</w:t>
      </w:r>
      <w:r w:rsidRPr="0076486F">
        <w:rPr>
          <w:color w:val="auto"/>
        </w:rPr>
        <w:t>.</w:t>
      </w:r>
    </w:p>
    <w:p w:rsidR="0076486F" w:rsidRDefault="0076486F" w:rsidP="0076486F">
      <w:pPr>
        <w:pStyle w:val="Bullet1"/>
        <w:numPr>
          <w:ilvl w:val="0"/>
          <w:numId w:val="0"/>
        </w:numPr>
      </w:pPr>
      <w:r w:rsidRPr="0076486F">
        <w:t>The amendment is also consistent with Ministerial Direction 11 Strategic Assessment of Amendments as the Explanatory Report includes all requirements to be met.</w:t>
      </w:r>
    </w:p>
    <w:p w:rsidR="0076486F" w:rsidRPr="0076486F" w:rsidRDefault="0076486F" w:rsidP="0076486F">
      <w:pPr>
        <w:pStyle w:val="Bullet1"/>
        <w:numPr>
          <w:ilvl w:val="0"/>
          <w:numId w:val="0"/>
        </w:numPr>
        <w:rPr>
          <w:color w:val="auto"/>
        </w:rPr>
      </w:pPr>
      <w:r w:rsidRPr="0076486F">
        <w:t xml:space="preserve">The amendment is also consistent with Ministerial Direction No. 15 </w:t>
      </w:r>
      <w:r w:rsidR="00114C61">
        <w:t>t</w:t>
      </w:r>
      <w:r w:rsidRPr="0076486F">
        <w:t>he Planning Scheme Amendment Process.</w:t>
      </w:r>
    </w:p>
    <w:p w:rsidR="00E401A9" w:rsidRPr="00F84C8A" w:rsidRDefault="00E401A9" w:rsidP="00F84C8A">
      <w:pPr>
        <w:pStyle w:val="Heading2"/>
        <w:spacing w:before="240" w:after="240"/>
        <w:jc w:val="left"/>
        <w:rPr>
          <w:rFonts w:cs="Arial"/>
          <w:sz w:val="20"/>
        </w:rPr>
      </w:pPr>
      <w:r w:rsidRPr="00F84C8A">
        <w:rPr>
          <w:rFonts w:cs="Arial"/>
          <w:sz w:val="20"/>
        </w:rPr>
        <w:t xml:space="preserve">How does the Amendment support or implement the </w:t>
      </w:r>
      <w:r w:rsidR="008B6DBB">
        <w:rPr>
          <w:rFonts w:cs="Arial"/>
          <w:sz w:val="20"/>
        </w:rPr>
        <w:t xml:space="preserve">State </w:t>
      </w:r>
      <w:r w:rsidRPr="00F84C8A">
        <w:rPr>
          <w:rFonts w:cs="Arial"/>
          <w:sz w:val="20"/>
        </w:rPr>
        <w:t>Planning Policy Framework and any adopted State policy?</w:t>
      </w:r>
    </w:p>
    <w:p w:rsidR="003D377F" w:rsidRDefault="003D377F" w:rsidP="00900429">
      <w:pPr>
        <w:jc w:val="left"/>
        <w:rPr>
          <w:rFonts w:ascii="Arial" w:hAnsi="Arial" w:cs="Arial"/>
          <w:sz w:val="20"/>
        </w:rPr>
      </w:pPr>
      <w:r w:rsidRPr="003D377F">
        <w:rPr>
          <w:rFonts w:ascii="Arial" w:hAnsi="Arial" w:cs="Arial"/>
          <w:sz w:val="20"/>
        </w:rPr>
        <w:t>The amendment is consistent with the intent of the State Planning Policy Framework (SPPF) and supports its implementation by:</w:t>
      </w:r>
    </w:p>
    <w:p w:rsidR="00900429" w:rsidRPr="00900429" w:rsidRDefault="00900429" w:rsidP="00900429">
      <w:pPr>
        <w:jc w:val="left"/>
        <w:rPr>
          <w:rFonts w:ascii="Arial" w:hAnsi="Arial" w:cs="Arial"/>
          <w:sz w:val="20"/>
        </w:rPr>
      </w:pPr>
    </w:p>
    <w:p w:rsidR="00B16028" w:rsidRDefault="003D377F" w:rsidP="00836BA4">
      <w:pPr>
        <w:pStyle w:val="Bullet1"/>
        <w:numPr>
          <w:ilvl w:val="0"/>
          <w:numId w:val="0"/>
        </w:numPr>
        <w:rPr>
          <w:color w:val="auto"/>
        </w:rPr>
      </w:pPr>
      <w:r w:rsidRPr="00900429">
        <w:rPr>
          <w:color w:val="auto"/>
        </w:rPr>
        <w:t>Clause 11.</w:t>
      </w:r>
      <w:r w:rsidR="00B16028">
        <w:rPr>
          <w:color w:val="auto"/>
        </w:rPr>
        <w:t>01-1R Settlement – Geelong G21</w:t>
      </w:r>
    </w:p>
    <w:p w:rsidR="00B16028" w:rsidRDefault="00B16028" w:rsidP="00836BA4">
      <w:pPr>
        <w:pStyle w:val="Bullet1"/>
        <w:numPr>
          <w:ilvl w:val="0"/>
          <w:numId w:val="0"/>
        </w:numPr>
        <w:rPr>
          <w:color w:val="auto"/>
        </w:rPr>
      </w:pPr>
      <w:r>
        <w:rPr>
          <w:color w:val="auto"/>
        </w:rPr>
        <w:t>Strategies</w:t>
      </w:r>
    </w:p>
    <w:p w:rsidR="00B16028" w:rsidRDefault="00B16028" w:rsidP="00836BA4">
      <w:pPr>
        <w:pStyle w:val="Bullet1"/>
        <w:numPr>
          <w:ilvl w:val="0"/>
          <w:numId w:val="0"/>
        </w:numPr>
        <w:rPr>
          <w:color w:val="auto"/>
        </w:rPr>
      </w:pPr>
      <w:r>
        <w:rPr>
          <w:color w:val="auto"/>
        </w:rPr>
        <w:t>Specifically to:  “Provide for long term growth options that build on existing infrastructure, including two further investigation areas north and west of Geelong.”</w:t>
      </w:r>
    </w:p>
    <w:p w:rsidR="00900429" w:rsidRDefault="00900429" w:rsidP="00836BA4">
      <w:pPr>
        <w:pStyle w:val="Bullet1"/>
        <w:numPr>
          <w:ilvl w:val="0"/>
          <w:numId w:val="0"/>
        </w:numPr>
        <w:rPr>
          <w:color w:val="auto"/>
        </w:rPr>
      </w:pPr>
      <w:r w:rsidRPr="00900429">
        <w:rPr>
          <w:color w:val="auto"/>
        </w:rPr>
        <w:t xml:space="preserve">The </w:t>
      </w:r>
      <w:r w:rsidR="00B16028">
        <w:rPr>
          <w:color w:val="auto"/>
        </w:rPr>
        <w:t>land to be re-zoned and the school are both located within the identified further investigation area to the west of Geelong.</w:t>
      </w:r>
      <w:r w:rsidR="00FE0043">
        <w:rPr>
          <w:color w:val="auto"/>
        </w:rPr>
        <w:t xml:space="preserve">  The </w:t>
      </w:r>
      <w:r w:rsidRPr="00900429">
        <w:rPr>
          <w:color w:val="auto"/>
        </w:rPr>
        <w:t xml:space="preserve">amendment </w:t>
      </w:r>
      <w:r>
        <w:rPr>
          <w:color w:val="auto"/>
        </w:rPr>
        <w:t>provides for future needs for the educational facility and makes better utilisation of land, enabling the school to expand immediately adjacent to the existing school, therefore utilising existing infrastructure including buildings, vehicle access and parking areas.  It ensures that the needs of the school are clearly identified such that future residential growth does not compromise the potential for the school to grow and accommodate the needs of the school community.</w:t>
      </w:r>
    </w:p>
    <w:p w:rsidR="00900429" w:rsidRDefault="00900429" w:rsidP="00836BA4">
      <w:pPr>
        <w:pStyle w:val="Bullet1"/>
        <w:numPr>
          <w:ilvl w:val="0"/>
          <w:numId w:val="0"/>
        </w:numPr>
        <w:rPr>
          <w:color w:val="auto"/>
        </w:rPr>
      </w:pPr>
      <w:r>
        <w:rPr>
          <w:color w:val="auto"/>
        </w:rPr>
        <w:t xml:space="preserve">Clause 11.09 Geelong </w:t>
      </w:r>
      <w:r w:rsidR="00B779E6">
        <w:rPr>
          <w:color w:val="auto"/>
        </w:rPr>
        <w:t>–</w:t>
      </w:r>
      <w:r>
        <w:rPr>
          <w:color w:val="auto"/>
        </w:rPr>
        <w:t xml:space="preserve"> </w:t>
      </w:r>
      <w:r w:rsidR="00B779E6">
        <w:rPr>
          <w:color w:val="auto"/>
        </w:rPr>
        <w:t xml:space="preserve">The amendment supports the objective to build and support diversity, knowledge and innovation </w:t>
      </w:r>
      <w:r w:rsidR="00361115">
        <w:rPr>
          <w:color w:val="auto"/>
        </w:rPr>
        <w:t>by supporting the future growth and expansion of Covenant College and protecting its future in this location.</w:t>
      </w:r>
    </w:p>
    <w:p w:rsidR="00361115" w:rsidRDefault="00361115" w:rsidP="00836BA4">
      <w:pPr>
        <w:pStyle w:val="Bullet1"/>
        <w:numPr>
          <w:ilvl w:val="0"/>
          <w:numId w:val="0"/>
        </w:numPr>
        <w:rPr>
          <w:color w:val="auto"/>
        </w:rPr>
      </w:pPr>
      <w:r>
        <w:rPr>
          <w:color w:val="auto"/>
        </w:rPr>
        <w:t xml:space="preserve">Clause 19.02 Community infrastructure – The amendment supports the policy by planning for long term growth in an area where future demand is likely and where existing facilities can be </w:t>
      </w:r>
      <w:r w:rsidR="00A85692">
        <w:rPr>
          <w:color w:val="auto"/>
        </w:rPr>
        <w:t xml:space="preserve">better </w:t>
      </w:r>
      <w:r>
        <w:rPr>
          <w:color w:val="auto"/>
        </w:rPr>
        <w:t xml:space="preserve">utilised. </w:t>
      </w:r>
    </w:p>
    <w:p w:rsidR="0069093B" w:rsidRPr="00900429" w:rsidRDefault="0069093B" w:rsidP="00836BA4">
      <w:pPr>
        <w:pStyle w:val="Bullet1"/>
        <w:numPr>
          <w:ilvl w:val="0"/>
          <w:numId w:val="0"/>
        </w:numPr>
        <w:rPr>
          <w:color w:val="auto"/>
        </w:rPr>
      </w:pPr>
      <w:r>
        <w:rPr>
          <w:color w:val="auto"/>
        </w:rPr>
        <w:t>Specifically 19.02-2S Education facilities, which includes a Strategy:  “Consider demographic trends, existing and future demand requirements and the integration of facilities into communities in planning for the location of education and early childhood facilities.”</w:t>
      </w:r>
    </w:p>
    <w:p w:rsidR="00E401A9" w:rsidRPr="00F84C8A" w:rsidRDefault="00E401A9" w:rsidP="00F84C8A">
      <w:pPr>
        <w:pStyle w:val="Heading2"/>
        <w:spacing w:before="240" w:after="240"/>
        <w:jc w:val="left"/>
        <w:rPr>
          <w:rFonts w:cs="Arial"/>
          <w:sz w:val="20"/>
        </w:rPr>
      </w:pPr>
      <w:r w:rsidRPr="00F84C8A">
        <w:rPr>
          <w:rFonts w:cs="Arial"/>
          <w:sz w:val="20"/>
        </w:rPr>
        <w:t>How does the Amendment support or implement the Local Planning Policy Framework, and specifically the Municipal Strategic Statement?</w:t>
      </w:r>
    </w:p>
    <w:p w:rsidR="00361115" w:rsidRDefault="00361115" w:rsidP="00361115">
      <w:pPr>
        <w:jc w:val="left"/>
        <w:rPr>
          <w:rFonts w:ascii="Arial" w:hAnsi="Arial" w:cs="Arial"/>
          <w:sz w:val="20"/>
        </w:rPr>
      </w:pPr>
      <w:r w:rsidRPr="003D377F">
        <w:rPr>
          <w:rFonts w:ascii="Arial" w:hAnsi="Arial" w:cs="Arial"/>
          <w:sz w:val="20"/>
        </w:rPr>
        <w:t xml:space="preserve">The amendment is consistent with the intent of the </w:t>
      </w:r>
      <w:r>
        <w:rPr>
          <w:rFonts w:ascii="Arial" w:hAnsi="Arial" w:cs="Arial"/>
          <w:sz w:val="20"/>
        </w:rPr>
        <w:t xml:space="preserve">Local </w:t>
      </w:r>
      <w:r w:rsidRPr="003D377F">
        <w:rPr>
          <w:rFonts w:ascii="Arial" w:hAnsi="Arial" w:cs="Arial"/>
          <w:sz w:val="20"/>
        </w:rPr>
        <w:t xml:space="preserve">Planning Policy Framework and supports its implementation </w:t>
      </w:r>
      <w:r w:rsidR="008B6DBB">
        <w:rPr>
          <w:rFonts w:ascii="Arial" w:hAnsi="Arial" w:cs="Arial"/>
          <w:sz w:val="20"/>
        </w:rPr>
        <w:t>in relation to the following policies</w:t>
      </w:r>
      <w:r w:rsidRPr="003D377F">
        <w:rPr>
          <w:rFonts w:ascii="Arial" w:hAnsi="Arial" w:cs="Arial"/>
          <w:sz w:val="20"/>
        </w:rPr>
        <w:t>:</w:t>
      </w:r>
    </w:p>
    <w:p w:rsidR="00361115" w:rsidRDefault="00361115" w:rsidP="00361115">
      <w:pPr>
        <w:jc w:val="left"/>
        <w:rPr>
          <w:rFonts w:ascii="Arial" w:hAnsi="Arial" w:cs="Arial"/>
          <w:sz w:val="20"/>
        </w:rPr>
      </w:pPr>
      <w:r>
        <w:rPr>
          <w:rFonts w:ascii="Arial" w:hAnsi="Arial" w:cs="Arial"/>
          <w:sz w:val="20"/>
        </w:rPr>
        <w:t>Clause 21.05-2 Waterways – The amendment documentation confirms that stormwater runoff can be effectively managed within the development sit</w:t>
      </w:r>
      <w:r w:rsidR="00CF010C">
        <w:rPr>
          <w:rFonts w:ascii="Arial" w:hAnsi="Arial" w:cs="Arial"/>
          <w:sz w:val="20"/>
        </w:rPr>
        <w:t>e</w:t>
      </w:r>
      <w:r>
        <w:rPr>
          <w:rFonts w:ascii="Arial" w:hAnsi="Arial" w:cs="Arial"/>
          <w:sz w:val="20"/>
        </w:rPr>
        <w:t xml:space="preserve"> to ensure no impact on adjoining landholders.</w:t>
      </w:r>
    </w:p>
    <w:p w:rsidR="00845893" w:rsidRDefault="00845893" w:rsidP="00361115">
      <w:pPr>
        <w:jc w:val="left"/>
        <w:rPr>
          <w:rFonts w:ascii="Arial" w:hAnsi="Arial" w:cs="Arial"/>
          <w:sz w:val="20"/>
        </w:rPr>
      </w:pPr>
      <w:r>
        <w:rPr>
          <w:rFonts w:ascii="Arial" w:hAnsi="Arial" w:cs="Arial"/>
          <w:sz w:val="20"/>
        </w:rPr>
        <w:t>Clause 21.07 Economic development and employment – The amendment supports the growth of an established and well recognised school in the local community without impacting the agricultural productivity of farming land given the small size of the rural parcel and its location within a defined future growth area of Geelong that brings with it likely residential development in the medium to long term.</w:t>
      </w:r>
    </w:p>
    <w:p w:rsidR="00E401A9" w:rsidRPr="00F84C8A" w:rsidRDefault="00E401A9" w:rsidP="00F84C8A">
      <w:pPr>
        <w:pStyle w:val="Heading2"/>
        <w:spacing w:before="240" w:after="240"/>
        <w:jc w:val="left"/>
        <w:rPr>
          <w:rFonts w:cs="Arial"/>
          <w:sz w:val="20"/>
        </w:rPr>
      </w:pPr>
      <w:r w:rsidRPr="00F84C8A">
        <w:rPr>
          <w:rFonts w:cs="Arial"/>
          <w:sz w:val="20"/>
        </w:rPr>
        <w:t>Does the Amendment make proper use of the Victoria Planning Provisions?</w:t>
      </w:r>
    </w:p>
    <w:p w:rsidR="0076486F" w:rsidRPr="00F84C8A" w:rsidRDefault="0076486F" w:rsidP="0076486F">
      <w:pPr>
        <w:pStyle w:val="Bullet1"/>
        <w:numPr>
          <w:ilvl w:val="0"/>
          <w:numId w:val="0"/>
        </w:numPr>
        <w:rPr>
          <w:color w:val="A6A6A6"/>
        </w:rPr>
      </w:pPr>
      <w:r w:rsidRPr="0076486F">
        <w:rPr>
          <w:color w:val="auto"/>
        </w:rPr>
        <w:lastRenderedPageBreak/>
        <w:t xml:space="preserve">The Amendment makes proper use of the Victorian Planning Provisions by rezoning the land to the Special Use Zone Schedule 15 which is considered to be the most appropriate planning tool to facilitate the orderly future development of a private education centre. </w:t>
      </w:r>
    </w:p>
    <w:p w:rsidR="00E401A9" w:rsidRPr="00F84C8A" w:rsidRDefault="00E401A9" w:rsidP="00F84C8A">
      <w:pPr>
        <w:pStyle w:val="Heading2"/>
        <w:spacing w:before="240" w:after="240"/>
        <w:jc w:val="left"/>
        <w:rPr>
          <w:rFonts w:cs="Arial"/>
          <w:sz w:val="20"/>
        </w:rPr>
      </w:pPr>
      <w:r w:rsidRPr="00F84C8A">
        <w:rPr>
          <w:rFonts w:cs="Arial"/>
          <w:sz w:val="20"/>
        </w:rPr>
        <w:t>How does the Amendment address the views of any relevant agency?</w:t>
      </w:r>
    </w:p>
    <w:p w:rsidR="0076486F" w:rsidRPr="0076486F" w:rsidRDefault="0076486F" w:rsidP="0076486F">
      <w:pPr>
        <w:pStyle w:val="Bullet1"/>
        <w:numPr>
          <w:ilvl w:val="0"/>
          <w:numId w:val="0"/>
        </w:numPr>
        <w:rPr>
          <w:color w:val="auto"/>
        </w:rPr>
      </w:pPr>
      <w:r w:rsidRPr="0076486F">
        <w:rPr>
          <w:color w:val="auto"/>
        </w:rPr>
        <w:t xml:space="preserve">The views of the relevant authorities will be sought through the certification process.  </w:t>
      </w:r>
    </w:p>
    <w:p w:rsidR="00E401A9" w:rsidRPr="00F84C8A" w:rsidRDefault="00E401A9" w:rsidP="00F84C8A">
      <w:pPr>
        <w:pStyle w:val="Heading2"/>
        <w:spacing w:before="240" w:after="240"/>
        <w:jc w:val="left"/>
        <w:rPr>
          <w:rFonts w:cs="Arial"/>
          <w:sz w:val="20"/>
        </w:rPr>
      </w:pPr>
      <w:r w:rsidRPr="00F84C8A">
        <w:rPr>
          <w:rFonts w:cs="Arial"/>
          <w:sz w:val="20"/>
        </w:rPr>
        <w:t>Does the Amendment address relevant requirements of the Transport Integration Act 2010?</w:t>
      </w:r>
    </w:p>
    <w:p w:rsidR="0076486F" w:rsidRPr="00231B2A" w:rsidRDefault="0076486F" w:rsidP="0076486F">
      <w:pPr>
        <w:rPr>
          <w:rFonts w:ascii="Arial" w:hAnsi="Arial" w:cs="Arial"/>
          <w:sz w:val="20"/>
        </w:rPr>
      </w:pPr>
      <w:r w:rsidRPr="00231B2A">
        <w:rPr>
          <w:rFonts w:ascii="Arial" w:hAnsi="Arial" w:cs="Arial"/>
          <w:sz w:val="20"/>
        </w:rPr>
        <w:t>There are no significant impacts on the transport system defined by the Transport Integration Act as a result of this amendment.</w:t>
      </w:r>
    </w:p>
    <w:p w:rsidR="00E401A9" w:rsidRPr="00F84C8A" w:rsidRDefault="00E401A9" w:rsidP="00F84C8A">
      <w:pPr>
        <w:pStyle w:val="Heading2"/>
        <w:spacing w:before="240" w:after="240"/>
        <w:jc w:val="left"/>
        <w:rPr>
          <w:rFonts w:cs="Arial"/>
          <w:sz w:val="20"/>
        </w:rPr>
      </w:pPr>
      <w:r w:rsidRPr="00F84C8A">
        <w:rPr>
          <w:rFonts w:cs="Arial"/>
          <w:sz w:val="20"/>
        </w:rPr>
        <w:t>Resource and administrative costs</w:t>
      </w:r>
    </w:p>
    <w:p w:rsidR="00E401A9" w:rsidRPr="00F84C8A" w:rsidRDefault="00E401A9" w:rsidP="00E401A9">
      <w:pPr>
        <w:pStyle w:val="Heading3"/>
        <w:jc w:val="left"/>
        <w:rPr>
          <w:rFonts w:ascii="Arial" w:hAnsi="Arial" w:cs="Arial"/>
          <w:sz w:val="20"/>
        </w:rPr>
      </w:pPr>
      <w:r w:rsidRPr="00F84C8A">
        <w:rPr>
          <w:rFonts w:ascii="Arial" w:hAnsi="Arial" w:cs="Arial"/>
          <w:sz w:val="20"/>
        </w:rPr>
        <w:t>What impact will the new planning provisions have on the resource and administrative costs of the responsible authority?</w:t>
      </w:r>
    </w:p>
    <w:p w:rsidR="0076486F" w:rsidRDefault="0076486F" w:rsidP="0076486F">
      <w:pPr>
        <w:pStyle w:val="Bullet1"/>
        <w:numPr>
          <w:ilvl w:val="0"/>
          <w:numId w:val="0"/>
        </w:numPr>
        <w:rPr>
          <w:color w:val="auto"/>
        </w:rPr>
      </w:pPr>
      <w:r w:rsidRPr="00231B2A">
        <w:rPr>
          <w:color w:val="auto"/>
        </w:rPr>
        <w:t>The amendment will have minimal impact on Council’s resource and administrative costs</w:t>
      </w:r>
      <w:r>
        <w:rPr>
          <w:color w:val="auto"/>
        </w:rPr>
        <w:t xml:space="preserve"> as a planning permit is required to construct a building or carry out works pursuant to the current and the proposed zones. </w:t>
      </w:r>
    </w:p>
    <w:p w:rsidR="00E401A9" w:rsidRPr="00F84C8A" w:rsidRDefault="00E401A9" w:rsidP="00F84C8A">
      <w:pPr>
        <w:pStyle w:val="Heading2"/>
        <w:spacing w:before="240" w:after="240"/>
        <w:jc w:val="left"/>
        <w:rPr>
          <w:rFonts w:cs="Arial"/>
          <w:sz w:val="20"/>
        </w:rPr>
      </w:pPr>
      <w:r w:rsidRPr="00F84C8A">
        <w:rPr>
          <w:rFonts w:cs="Arial"/>
          <w:sz w:val="20"/>
        </w:rPr>
        <w:t>Where you may inspect this Amendment</w:t>
      </w:r>
    </w:p>
    <w:p w:rsidR="00E401A9" w:rsidRPr="00F84C8A" w:rsidRDefault="00E401A9" w:rsidP="00E401A9">
      <w:pPr>
        <w:jc w:val="left"/>
        <w:rPr>
          <w:rFonts w:ascii="Arial" w:hAnsi="Arial" w:cs="Arial"/>
          <w:sz w:val="20"/>
        </w:rPr>
      </w:pPr>
      <w:r w:rsidRPr="00F84C8A">
        <w:rPr>
          <w:rFonts w:ascii="Arial" w:hAnsi="Arial" w:cs="Arial"/>
          <w:sz w:val="20"/>
        </w:rPr>
        <w:t>The Amendment is available for public inspection, free of charge, during office hours at the following places: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4"/>
      </w:tblGrid>
      <w:tr w:rsidR="00025502" w:rsidRPr="00025502" w:rsidTr="00541DD7">
        <w:tc>
          <w:tcPr>
            <w:tcW w:w="9242" w:type="dxa"/>
          </w:tcPr>
          <w:p w:rsidR="00025502" w:rsidRPr="00BB5FF7" w:rsidRDefault="00025502" w:rsidP="00B779E6">
            <w:pPr>
              <w:jc w:val="left"/>
              <w:rPr>
                <w:rFonts w:ascii="Arial" w:hAnsi="Arial" w:cs="Arial"/>
                <w:b/>
                <w:sz w:val="20"/>
              </w:rPr>
            </w:pPr>
            <w:r w:rsidRPr="00BB5FF7">
              <w:rPr>
                <w:rFonts w:ascii="Arial" w:hAnsi="Arial" w:cs="Arial"/>
                <w:b/>
                <w:sz w:val="20"/>
              </w:rPr>
              <w:t>Greater Geelong City Council</w:t>
            </w:r>
            <w:r w:rsidRPr="00BB5FF7">
              <w:rPr>
                <w:rFonts w:ascii="Arial" w:hAnsi="Arial" w:cs="Arial"/>
                <w:sz w:val="20"/>
              </w:rPr>
              <w:t>, Customer Service Centre, Ground Floor, 100 Brougham Street. GEELONG</w:t>
            </w:r>
            <w:r w:rsidRPr="00BB5FF7">
              <w:rPr>
                <w:rFonts w:ascii="Arial" w:hAnsi="Arial" w:cs="Arial"/>
                <w:b/>
                <w:sz w:val="20"/>
              </w:rPr>
              <w:t>– 8.00am to 5.00pm weekdays</w:t>
            </w:r>
          </w:p>
        </w:tc>
      </w:tr>
      <w:tr w:rsidR="00025502" w:rsidRPr="00025502" w:rsidTr="00541DD7">
        <w:tc>
          <w:tcPr>
            <w:tcW w:w="9242" w:type="dxa"/>
          </w:tcPr>
          <w:p w:rsidR="00025502" w:rsidRPr="00025502" w:rsidRDefault="00025502" w:rsidP="00025502">
            <w:pPr>
              <w:jc w:val="left"/>
              <w:rPr>
                <w:rFonts w:ascii="Arial" w:hAnsi="Arial" w:cs="Arial"/>
                <w:b/>
                <w:color w:val="A6A6A6"/>
                <w:sz w:val="20"/>
              </w:rPr>
            </w:pPr>
            <w:r w:rsidRPr="00BB5FF7">
              <w:rPr>
                <w:rFonts w:ascii="Arial" w:hAnsi="Arial" w:cs="Arial"/>
                <w:b/>
                <w:sz w:val="20"/>
              </w:rPr>
              <w:t xml:space="preserve">‘Amendments’ </w:t>
            </w:r>
            <w:r w:rsidRPr="00BB5FF7">
              <w:rPr>
                <w:rFonts w:ascii="Arial" w:hAnsi="Arial" w:cs="Arial"/>
                <w:sz w:val="20"/>
              </w:rPr>
              <w:t>section of the City’s website</w:t>
            </w:r>
            <w:r w:rsidRPr="00025502">
              <w:rPr>
                <w:rFonts w:ascii="Arial" w:hAnsi="Arial" w:cs="Arial"/>
                <w:color w:val="A6A6A6"/>
                <w:sz w:val="20"/>
              </w:rPr>
              <w:t xml:space="preserve"> </w:t>
            </w:r>
            <w:hyperlink r:id="rId9" w:history="1">
              <w:r w:rsidRPr="00025502">
                <w:rPr>
                  <w:rStyle w:val="Hyperlink"/>
                  <w:rFonts w:ascii="Arial" w:hAnsi="Arial" w:cs="Arial"/>
                  <w:sz w:val="20"/>
                </w:rPr>
                <w:t>www.geelongaustralia.com.au/amendments/</w:t>
              </w:r>
            </w:hyperlink>
          </w:p>
        </w:tc>
      </w:tr>
    </w:tbl>
    <w:p w:rsidR="00E401A9" w:rsidRPr="00F84C8A" w:rsidRDefault="00E401A9" w:rsidP="00E401A9">
      <w:pPr>
        <w:jc w:val="left"/>
        <w:rPr>
          <w:rFonts w:ascii="Arial" w:hAnsi="Arial" w:cs="Arial"/>
          <w:sz w:val="20"/>
        </w:rPr>
      </w:pPr>
      <w:r w:rsidRPr="00F84C8A">
        <w:rPr>
          <w:rFonts w:ascii="Arial" w:hAnsi="Arial" w:cs="Arial"/>
          <w:sz w:val="20"/>
        </w:rPr>
        <w:t xml:space="preserve">The Amendment can also be inspected free of charge at the Department of Environment, Land, Water and Planning website at  </w:t>
      </w:r>
      <w:hyperlink r:id="rId10" w:history="1">
        <w:r w:rsidRPr="00F84C8A">
          <w:rPr>
            <w:rStyle w:val="Hyperlink"/>
            <w:rFonts w:ascii="Arial" w:hAnsi="Arial" w:cs="Arial"/>
            <w:sz w:val="20"/>
            <w:lang w:val="en"/>
          </w:rPr>
          <w:t>www.delwp.vic.gov.au/public-inspection</w:t>
        </w:r>
        <w:r w:rsidRPr="00F84C8A">
          <w:rPr>
            <w:rStyle w:val="Hyperlink"/>
            <w:rFonts w:ascii="Arial" w:hAnsi="Arial" w:cs="Arial"/>
            <w:sz w:val="20"/>
          </w:rPr>
          <w:t>.</w:t>
        </w:r>
      </w:hyperlink>
    </w:p>
    <w:p w:rsidR="00E401A9" w:rsidRPr="00F84C8A" w:rsidRDefault="00E401A9" w:rsidP="00F84C8A">
      <w:pPr>
        <w:pStyle w:val="Heading2"/>
        <w:spacing w:before="240" w:after="240"/>
        <w:jc w:val="left"/>
        <w:rPr>
          <w:rFonts w:cs="Arial"/>
          <w:sz w:val="20"/>
        </w:rPr>
      </w:pPr>
      <w:r w:rsidRPr="00F84C8A">
        <w:rPr>
          <w:rFonts w:cs="Arial"/>
          <w:sz w:val="20"/>
        </w:rPr>
        <w:t xml:space="preserve">Submissions </w:t>
      </w:r>
    </w:p>
    <w:p w:rsidR="00E401A9" w:rsidRPr="00F84C8A" w:rsidRDefault="00E401A9" w:rsidP="00E401A9">
      <w:pPr>
        <w:jc w:val="left"/>
        <w:rPr>
          <w:rFonts w:ascii="Arial" w:hAnsi="Arial" w:cs="Arial"/>
          <w:sz w:val="20"/>
        </w:rPr>
      </w:pPr>
      <w:r w:rsidRPr="00F84C8A">
        <w:rPr>
          <w:rFonts w:ascii="Arial" w:hAnsi="Arial" w:cs="Arial"/>
          <w:sz w:val="20"/>
        </w:rPr>
        <w:t xml:space="preserve">Any person who may be affected by the Amendment [and/or planning permit] may make a submission to the planning authority.  Submissions about the Amendment and/or planning permit must be received </w:t>
      </w:r>
      <w:r w:rsidRPr="005E6DEA">
        <w:rPr>
          <w:rFonts w:ascii="Arial" w:hAnsi="Arial" w:cs="Arial"/>
          <w:sz w:val="20"/>
        </w:rPr>
        <w:t xml:space="preserve">by </w:t>
      </w:r>
      <w:r w:rsidR="005E6DEA" w:rsidRPr="00130DE5">
        <w:rPr>
          <w:rFonts w:ascii="Arial" w:hAnsi="Arial" w:cs="Arial"/>
          <w:b/>
          <w:sz w:val="20"/>
          <w:lang w:val="en-GB"/>
        </w:rPr>
        <w:t>Monday 19</w:t>
      </w:r>
      <w:r w:rsidR="005E6DEA" w:rsidRPr="00130DE5">
        <w:rPr>
          <w:rFonts w:ascii="Arial" w:hAnsi="Arial" w:cs="Arial"/>
          <w:b/>
          <w:sz w:val="20"/>
          <w:vertAlign w:val="superscript"/>
          <w:lang w:val="en-GB"/>
        </w:rPr>
        <w:t>th</w:t>
      </w:r>
      <w:r w:rsidR="005E6DEA" w:rsidRPr="00130DE5">
        <w:rPr>
          <w:rFonts w:ascii="Arial" w:hAnsi="Arial" w:cs="Arial"/>
          <w:b/>
          <w:sz w:val="20"/>
          <w:lang w:val="en-GB"/>
        </w:rPr>
        <w:t xml:space="preserve"> November, 2018</w:t>
      </w:r>
    </w:p>
    <w:p w:rsidR="00025502" w:rsidRDefault="00E401A9" w:rsidP="00025502">
      <w:pPr>
        <w:jc w:val="left"/>
        <w:rPr>
          <w:rFonts w:ascii="Arial" w:hAnsi="Arial" w:cs="Arial"/>
          <w:sz w:val="20"/>
        </w:rPr>
      </w:pPr>
      <w:r w:rsidRPr="00F84C8A">
        <w:rPr>
          <w:rFonts w:ascii="Arial" w:hAnsi="Arial" w:cs="Arial"/>
          <w:sz w:val="20"/>
        </w:rPr>
        <w:t xml:space="preserve">A submission must be sent to: </w:t>
      </w:r>
    </w:p>
    <w:p w:rsidR="00025502" w:rsidRPr="00025502" w:rsidRDefault="00025502" w:rsidP="00025502">
      <w:pPr>
        <w:jc w:val="left"/>
        <w:rPr>
          <w:rFonts w:ascii="Arial" w:hAnsi="Arial" w:cs="Arial"/>
          <w:sz w:val="20"/>
        </w:rPr>
      </w:pPr>
      <w:r w:rsidRPr="00025502">
        <w:rPr>
          <w:rFonts w:ascii="Arial" w:hAnsi="Arial" w:cs="Arial"/>
          <w:sz w:val="20"/>
        </w:rPr>
        <w:t xml:space="preserve">Strategic Implementation Unit </w:t>
      </w:r>
    </w:p>
    <w:p w:rsidR="00025502" w:rsidRPr="00025502" w:rsidRDefault="00025502" w:rsidP="00025502">
      <w:pPr>
        <w:jc w:val="left"/>
        <w:rPr>
          <w:rFonts w:ascii="Arial" w:hAnsi="Arial" w:cs="Arial"/>
          <w:sz w:val="20"/>
        </w:rPr>
      </w:pPr>
      <w:r w:rsidRPr="00025502">
        <w:rPr>
          <w:rFonts w:ascii="Arial" w:hAnsi="Arial" w:cs="Arial"/>
          <w:sz w:val="20"/>
        </w:rPr>
        <w:t>City of Greater Geelong</w:t>
      </w:r>
    </w:p>
    <w:p w:rsidR="00025502" w:rsidRPr="00025502" w:rsidRDefault="00025502" w:rsidP="00025502">
      <w:pPr>
        <w:jc w:val="left"/>
        <w:rPr>
          <w:rFonts w:ascii="Arial" w:hAnsi="Arial" w:cs="Arial"/>
          <w:sz w:val="20"/>
        </w:rPr>
      </w:pPr>
      <w:r w:rsidRPr="00025502">
        <w:rPr>
          <w:rFonts w:ascii="Arial" w:hAnsi="Arial" w:cs="Arial"/>
          <w:sz w:val="20"/>
        </w:rPr>
        <w:t>•</w:t>
      </w:r>
      <w:r w:rsidRPr="00025502">
        <w:rPr>
          <w:rFonts w:ascii="Arial" w:hAnsi="Arial" w:cs="Arial"/>
          <w:sz w:val="20"/>
        </w:rPr>
        <w:tab/>
        <w:t>either lodged online at: www.geelongaustalia.com.au/amendments/</w:t>
      </w:r>
    </w:p>
    <w:p w:rsidR="00025502" w:rsidRPr="00025502" w:rsidRDefault="00025502" w:rsidP="00025502">
      <w:pPr>
        <w:jc w:val="left"/>
        <w:rPr>
          <w:rFonts w:ascii="Arial" w:hAnsi="Arial" w:cs="Arial"/>
          <w:sz w:val="20"/>
        </w:rPr>
      </w:pPr>
      <w:r w:rsidRPr="00025502">
        <w:rPr>
          <w:rFonts w:ascii="Arial" w:hAnsi="Arial" w:cs="Arial"/>
          <w:sz w:val="20"/>
        </w:rPr>
        <w:t>•</w:t>
      </w:r>
      <w:r w:rsidRPr="00025502">
        <w:rPr>
          <w:rFonts w:ascii="Arial" w:hAnsi="Arial" w:cs="Arial"/>
          <w:sz w:val="20"/>
        </w:rPr>
        <w:tab/>
        <w:t>or by email to: strategicplanning@geelongcity.vic.gov.au</w:t>
      </w:r>
    </w:p>
    <w:p w:rsidR="00E401A9" w:rsidRPr="00F84C8A" w:rsidRDefault="00025502" w:rsidP="00025502">
      <w:pPr>
        <w:jc w:val="left"/>
        <w:rPr>
          <w:rFonts w:ascii="Arial" w:hAnsi="Arial" w:cs="Arial"/>
          <w:sz w:val="20"/>
        </w:rPr>
      </w:pPr>
      <w:r w:rsidRPr="00025502">
        <w:rPr>
          <w:rFonts w:ascii="Arial" w:hAnsi="Arial" w:cs="Arial"/>
          <w:sz w:val="20"/>
        </w:rPr>
        <w:t>•</w:t>
      </w:r>
      <w:r w:rsidRPr="00025502">
        <w:rPr>
          <w:rFonts w:ascii="Arial" w:hAnsi="Arial" w:cs="Arial"/>
          <w:sz w:val="20"/>
        </w:rPr>
        <w:tab/>
        <w:t>or by mail to: P O Box 104, GEELONG VIC 3220</w:t>
      </w:r>
      <w:r w:rsidRPr="00025502">
        <w:rPr>
          <w:rFonts w:ascii="Arial" w:hAnsi="Arial" w:cs="Arial"/>
          <w:color w:val="A6A6A6"/>
          <w:sz w:val="20"/>
          <w:lang w:val="en-GB"/>
        </w:rPr>
        <w:t xml:space="preserve"> </w:t>
      </w:r>
    </w:p>
    <w:p w:rsidR="00E401A9" w:rsidRPr="00F84C8A" w:rsidRDefault="00E401A9" w:rsidP="00F84C8A">
      <w:pPr>
        <w:pStyle w:val="Heading2"/>
        <w:spacing w:before="240" w:after="240"/>
        <w:jc w:val="left"/>
        <w:rPr>
          <w:rFonts w:cs="Arial"/>
          <w:sz w:val="20"/>
        </w:rPr>
      </w:pPr>
      <w:r w:rsidRPr="00F84C8A">
        <w:rPr>
          <w:rFonts w:cs="Arial"/>
          <w:sz w:val="20"/>
        </w:rPr>
        <w:t xml:space="preserve">Panel hearing dates </w:t>
      </w:r>
    </w:p>
    <w:p w:rsidR="00E401A9" w:rsidRPr="00F84C8A" w:rsidRDefault="00E401A9" w:rsidP="00E401A9">
      <w:pPr>
        <w:jc w:val="left"/>
        <w:rPr>
          <w:rFonts w:ascii="Arial" w:hAnsi="Arial" w:cs="Arial"/>
          <w:sz w:val="20"/>
        </w:rPr>
      </w:pPr>
      <w:r w:rsidRPr="00F84C8A">
        <w:rPr>
          <w:rFonts w:ascii="Arial" w:hAnsi="Arial" w:cs="Arial"/>
          <w:sz w:val="20"/>
        </w:rPr>
        <w:t>In accordance with clause 4(2) of Ministerial Direction No.15 the following panel hearing dates have been set for this amendment:</w:t>
      </w:r>
    </w:p>
    <w:p w:rsidR="00E401A9" w:rsidRPr="00F84C8A" w:rsidRDefault="00E401A9" w:rsidP="00E401A9">
      <w:pPr>
        <w:numPr>
          <w:ilvl w:val="0"/>
          <w:numId w:val="40"/>
        </w:numPr>
        <w:spacing w:after="120"/>
        <w:ind w:left="357" w:hanging="357"/>
        <w:jc w:val="left"/>
        <w:rPr>
          <w:rFonts w:ascii="Arial" w:hAnsi="Arial" w:cs="Arial"/>
          <w:sz w:val="20"/>
        </w:rPr>
      </w:pPr>
      <w:r w:rsidRPr="00F84C8A">
        <w:rPr>
          <w:rFonts w:ascii="Arial" w:hAnsi="Arial" w:cs="Arial"/>
          <w:sz w:val="20"/>
        </w:rPr>
        <w:t xml:space="preserve">directions hearing:  </w:t>
      </w:r>
      <w:r w:rsidR="005E6DEA" w:rsidRPr="00130DE5">
        <w:rPr>
          <w:rFonts w:ascii="Arial" w:hAnsi="Arial" w:cs="Arial"/>
          <w:b/>
          <w:sz w:val="20"/>
          <w:lang w:val="en-GB"/>
        </w:rPr>
        <w:t xml:space="preserve">Week Commencing </w:t>
      </w:r>
      <w:r w:rsidR="00130DE5" w:rsidRPr="00130DE5">
        <w:rPr>
          <w:rFonts w:ascii="Arial" w:hAnsi="Arial" w:cs="Arial"/>
          <w:b/>
          <w:sz w:val="20"/>
          <w:lang w:val="en-GB"/>
        </w:rPr>
        <w:t>17</w:t>
      </w:r>
      <w:r w:rsidR="00130DE5" w:rsidRPr="00130DE5">
        <w:rPr>
          <w:rFonts w:ascii="Arial" w:hAnsi="Arial" w:cs="Arial"/>
          <w:b/>
          <w:sz w:val="20"/>
          <w:vertAlign w:val="superscript"/>
          <w:lang w:val="en-GB"/>
        </w:rPr>
        <w:t>th</w:t>
      </w:r>
      <w:r w:rsidR="00130DE5" w:rsidRPr="00130DE5">
        <w:rPr>
          <w:rFonts w:ascii="Arial" w:hAnsi="Arial" w:cs="Arial"/>
          <w:b/>
          <w:sz w:val="20"/>
          <w:lang w:val="en-GB"/>
        </w:rPr>
        <w:t xml:space="preserve"> December</w:t>
      </w:r>
      <w:r w:rsidR="00130DE5">
        <w:rPr>
          <w:rFonts w:ascii="Arial" w:hAnsi="Arial" w:cs="Arial"/>
          <w:b/>
          <w:sz w:val="20"/>
          <w:lang w:val="en-GB"/>
        </w:rPr>
        <w:t xml:space="preserve"> 2018</w:t>
      </w:r>
    </w:p>
    <w:p w:rsidR="00E401A9" w:rsidRPr="00F84C8A" w:rsidRDefault="00E401A9" w:rsidP="00E401A9">
      <w:pPr>
        <w:numPr>
          <w:ilvl w:val="0"/>
          <w:numId w:val="40"/>
        </w:numPr>
        <w:spacing w:after="120"/>
        <w:ind w:left="357" w:hanging="357"/>
        <w:jc w:val="left"/>
        <w:rPr>
          <w:rFonts w:ascii="Arial" w:hAnsi="Arial" w:cs="Arial"/>
          <w:sz w:val="20"/>
        </w:rPr>
      </w:pPr>
      <w:r w:rsidRPr="00F84C8A">
        <w:rPr>
          <w:rFonts w:ascii="Arial" w:hAnsi="Arial" w:cs="Arial"/>
          <w:sz w:val="20"/>
        </w:rPr>
        <w:t xml:space="preserve">panel hearing: </w:t>
      </w:r>
      <w:r w:rsidRPr="00F84C8A">
        <w:rPr>
          <w:rFonts w:ascii="Arial" w:hAnsi="Arial" w:cs="Arial"/>
          <w:color w:val="FF0000"/>
          <w:sz w:val="20"/>
        </w:rPr>
        <w:t xml:space="preserve"> </w:t>
      </w:r>
      <w:r w:rsidR="00130DE5" w:rsidRPr="00130DE5">
        <w:rPr>
          <w:rFonts w:ascii="Arial" w:hAnsi="Arial" w:cs="Arial"/>
          <w:b/>
          <w:sz w:val="20"/>
          <w:lang w:val="en-GB"/>
        </w:rPr>
        <w:t xml:space="preserve">Week Commencing </w:t>
      </w:r>
      <w:r w:rsidRPr="00130DE5">
        <w:rPr>
          <w:rFonts w:ascii="Arial" w:hAnsi="Arial" w:cs="Arial"/>
          <w:b/>
          <w:sz w:val="20"/>
          <w:lang w:val="en-GB"/>
        </w:rPr>
        <w:t xml:space="preserve"> </w:t>
      </w:r>
      <w:r w:rsidR="00130DE5" w:rsidRPr="00130DE5">
        <w:rPr>
          <w:rFonts w:ascii="Arial" w:hAnsi="Arial" w:cs="Arial"/>
          <w:b/>
          <w:sz w:val="20"/>
          <w:lang w:val="en-GB"/>
        </w:rPr>
        <w:t>28</w:t>
      </w:r>
      <w:r w:rsidR="00130DE5" w:rsidRPr="00130DE5">
        <w:rPr>
          <w:rFonts w:ascii="Arial" w:hAnsi="Arial" w:cs="Arial"/>
          <w:b/>
          <w:sz w:val="20"/>
          <w:vertAlign w:val="superscript"/>
          <w:lang w:val="en-GB"/>
        </w:rPr>
        <w:t>th</w:t>
      </w:r>
      <w:r w:rsidR="00130DE5" w:rsidRPr="00130DE5">
        <w:rPr>
          <w:rFonts w:ascii="Arial" w:hAnsi="Arial" w:cs="Arial"/>
          <w:b/>
          <w:sz w:val="20"/>
          <w:lang w:val="en-GB"/>
        </w:rPr>
        <w:t xml:space="preserve"> January</w:t>
      </w:r>
      <w:r w:rsidR="00130DE5">
        <w:rPr>
          <w:rFonts w:ascii="Arial" w:hAnsi="Arial" w:cs="Arial"/>
          <w:b/>
          <w:sz w:val="20"/>
          <w:lang w:val="en-GB"/>
        </w:rPr>
        <w:t xml:space="preserve"> 2019</w:t>
      </w:r>
    </w:p>
    <w:p w:rsidR="001E53D0" w:rsidRPr="00F84C8A" w:rsidRDefault="001E53D0" w:rsidP="00494B9E">
      <w:pPr>
        <w:pStyle w:val="Heading2"/>
        <w:jc w:val="left"/>
        <w:rPr>
          <w:rFonts w:cs="Arial"/>
          <w:sz w:val="20"/>
        </w:rPr>
      </w:pPr>
    </w:p>
    <w:sectPr w:rsidR="001E53D0" w:rsidRPr="00F84C8A" w:rsidSect="00E85EC7">
      <w:type w:val="continuous"/>
      <w:pgSz w:w="11907" w:h="16840" w:code="9"/>
      <w:pgMar w:top="993" w:right="1423" w:bottom="851" w:left="1440" w:header="737" w:footer="851" w:gutter="0"/>
      <w:cols w:space="737"/>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1AA" w:rsidRDefault="003801AA">
      <w:r>
        <w:separator/>
      </w:r>
    </w:p>
  </w:endnote>
  <w:endnote w:type="continuationSeparator" w:id="0">
    <w:p w:rsidR="003801AA" w:rsidRDefault="0038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1AA" w:rsidRDefault="003801AA">
      <w:r>
        <w:separator/>
      </w:r>
    </w:p>
  </w:footnote>
  <w:footnote w:type="continuationSeparator" w:id="0">
    <w:p w:rsidR="003801AA" w:rsidRDefault="003801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6801"/>
    <w:multiLevelType w:val="multilevel"/>
    <w:tmpl w:val="621AF758"/>
    <w:lvl w:ilvl="0">
      <w:start w:val="1"/>
      <w:numFmt w:val="bullet"/>
      <w:lvlText w:val=""/>
      <w:lvlJc w:val="left"/>
      <w:pPr>
        <w:tabs>
          <w:tab w:val="num" w:pos="720"/>
        </w:tabs>
        <w:ind w:left="720" w:hanging="360"/>
      </w:pPr>
      <w:rPr>
        <w:rFonts w:ascii="Symbol" w:hAnsi="Symbol"/>
        <w:color w:val="000000"/>
      </w:rPr>
    </w:lvl>
    <w:lvl w:ilvl="1">
      <w:start w:val="1"/>
      <w:numFmt w:val="bullet"/>
      <w:pStyle w:val="Bullets2nd"/>
      <w:lvlText w:val=""/>
      <w:lvlJc w:val="left"/>
      <w:pPr>
        <w:tabs>
          <w:tab w:val="num" w:pos="1440"/>
        </w:tabs>
        <w:ind w:left="1440" w:hanging="360"/>
      </w:pPr>
      <w:rPr>
        <w:rFonts w:ascii="Symbol" w:hAnsi="Symbol" w:hint="default"/>
        <w:color w:val="000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025B2"/>
    <w:multiLevelType w:val="hybridMultilevel"/>
    <w:tmpl w:val="909085FC"/>
    <w:lvl w:ilvl="0" w:tplc="89BC67C6">
      <w:start w:val="1"/>
      <w:numFmt w:val="bullet"/>
      <w:pStyle w:val="Bullet1"/>
      <w:lvlText w:val=""/>
      <w:lvlJc w:val="left"/>
      <w:pPr>
        <w:ind w:left="720" w:hanging="360"/>
      </w:pPr>
      <w:rPr>
        <w:rFonts w:ascii="Symbol" w:hAnsi="Symbol" w:hint="default"/>
        <w:color w:val="A6A6A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F74110B"/>
    <w:multiLevelType w:val="hybridMultilevel"/>
    <w:tmpl w:val="01685AF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7C3E0F"/>
    <w:multiLevelType w:val="multilevel"/>
    <w:tmpl w:val="C16CF884"/>
    <w:lvl w:ilvl="0">
      <w:start w:val="1"/>
      <w:numFmt w:val="bullet"/>
      <w:lvlText w:val=""/>
      <w:lvlJc w:val="left"/>
      <w:pPr>
        <w:tabs>
          <w:tab w:val="num" w:pos="717"/>
        </w:tabs>
        <w:ind w:left="717"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C41885"/>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5" w15:restartNumberingAfterBreak="0">
    <w:nsid w:val="17D86982"/>
    <w:multiLevelType w:val="multilevel"/>
    <w:tmpl w:val="F7D8DBB4"/>
    <w:lvl w:ilvl="0">
      <w:start w:val="1"/>
      <w:numFmt w:val="bullet"/>
      <w:lvlText w:val=""/>
      <w:lvlJc w:val="left"/>
      <w:pPr>
        <w:tabs>
          <w:tab w:val="num" w:pos="340"/>
        </w:tabs>
        <w:ind w:left="340" w:hanging="34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B809EC"/>
    <w:multiLevelType w:val="hybridMultilevel"/>
    <w:tmpl w:val="BDE447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C23241"/>
    <w:multiLevelType w:val="multilevel"/>
    <w:tmpl w:val="2D7A12B6"/>
    <w:lvl w:ilvl="0">
      <w:start w:val="1"/>
      <w:numFmt w:val="bullet"/>
      <w:lvlText w:val=""/>
      <w:lvlJc w:val="left"/>
      <w:pPr>
        <w:tabs>
          <w:tab w:val="num" w:pos="1800"/>
        </w:tabs>
        <w:ind w:left="1800" w:hanging="360"/>
      </w:pPr>
      <w:rPr>
        <w:rFonts w:ascii="Symbol" w:hAnsi="Symbol" w:hint="default"/>
        <w:b w:val="0"/>
        <w:i w:val="0"/>
        <w:sz w:val="18"/>
        <w:szCs w:val="18"/>
      </w:rPr>
    </w:lvl>
    <w:lvl w:ilvl="1">
      <w:start w:val="1"/>
      <w:numFmt w:val="bullet"/>
      <w:lvlText w:val="o"/>
      <w:lvlJc w:val="left"/>
      <w:pPr>
        <w:tabs>
          <w:tab w:val="num" w:pos="2880"/>
        </w:tabs>
        <w:ind w:left="2880" w:hanging="360"/>
      </w:pPr>
      <w:rPr>
        <w:rFonts w:ascii="Courier New" w:hAnsi="Courier New" w:cs="Wingding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Wingdings"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Wingdings"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7680BCE"/>
    <w:multiLevelType w:val="hybridMultilevel"/>
    <w:tmpl w:val="0CEAD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6E2E7E"/>
    <w:multiLevelType w:val="singleLevel"/>
    <w:tmpl w:val="5DD401CA"/>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30E862CC"/>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1" w15:restartNumberingAfterBreak="0">
    <w:nsid w:val="328014FD"/>
    <w:multiLevelType w:val="hybridMultilevel"/>
    <w:tmpl w:val="C2C6A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6D1F4C"/>
    <w:multiLevelType w:val="hybridMultilevel"/>
    <w:tmpl w:val="DE02AC36"/>
    <w:lvl w:ilvl="0" w:tplc="FFFFFFFF">
      <w:start w:val="1"/>
      <w:numFmt w:val="bullet"/>
      <w:lvlText w:val=""/>
      <w:lvlJc w:val="left"/>
      <w:pPr>
        <w:tabs>
          <w:tab w:val="num" w:pos="1527"/>
        </w:tabs>
        <w:ind w:left="1527" w:hanging="360"/>
      </w:pPr>
      <w:rPr>
        <w:rFonts w:ascii="Wingdings" w:hAnsi="Wingdings"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B87F84"/>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4" w15:restartNumberingAfterBreak="0">
    <w:nsid w:val="554742D7"/>
    <w:multiLevelType w:val="hybridMultilevel"/>
    <w:tmpl w:val="0ED8B7F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15:restartNumberingAfterBreak="0">
    <w:nsid w:val="5A192ECD"/>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6" w15:restartNumberingAfterBreak="0">
    <w:nsid w:val="60A14C00"/>
    <w:multiLevelType w:val="hybridMultilevel"/>
    <w:tmpl w:val="1C069290"/>
    <w:lvl w:ilvl="0" w:tplc="C160F1F4">
      <w:start w:val="1"/>
      <w:numFmt w:val="bullet"/>
      <w:pStyle w:val="Heading3"/>
      <w:lvlText w:val=""/>
      <w:lvlJc w:val="left"/>
      <w:pPr>
        <w:tabs>
          <w:tab w:val="num" w:pos="284"/>
        </w:tabs>
        <w:ind w:left="284" w:hanging="284"/>
      </w:pPr>
      <w:rPr>
        <w:rFonts w:ascii="Symbol" w:hAnsi="Symbol" w:hint="default"/>
        <w:sz w:val="20"/>
      </w:rPr>
    </w:lvl>
    <w:lvl w:ilvl="1" w:tplc="E8AEF58C">
      <w:start w:val="1"/>
      <w:numFmt w:val="bullet"/>
      <w:pStyle w:val="List2"/>
      <w:lvlText w:val=""/>
      <w:lvlJc w:val="left"/>
      <w:pPr>
        <w:tabs>
          <w:tab w:val="num" w:pos="1440"/>
        </w:tabs>
        <w:ind w:left="1440" w:hanging="360"/>
      </w:pPr>
      <w:rPr>
        <w:rFonts w:ascii="Wingdings" w:hAnsi="Wingdings"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A624D4"/>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8" w15:restartNumberingAfterBreak="0">
    <w:nsid w:val="656523B6"/>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9" w15:restartNumberingAfterBreak="0">
    <w:nsid w:val="76B00085"/>
    <w:multiLevelType w:val="singleLevel"/>
    <w:tmpl w:val="789C8126"/>
    <w:lvl w:ilvl="0">
      <w:start w:val="1"/>
      <w:numFmt w:val="decimal"/>
      <w:lvlText w:val="%1."/>
      <w:lvlJc w:val="left"/>
      <w:pPr>
        <w:tabs>
          <w:tab w:val="num" w:pos="360"/>
        </w:tabs>
        <w:ind w:left="360" w:hanging="360"/>
      </w:pPr>
    </w:lvl>
  </w:abstractNum>
  <w:abstractNum w:abstractNumId="20" w15:restartNumberingAfterBreak="0">
    <w:nsid w:val="7731652B"/>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num w:numId="1">
    <w:abstractNumId w:val="7"/>
  </w:num>
  <w:num w:numId="2">
    <w:abstractNumId w:val="9"/>
  </w:num>
  <w:num w:numId="3">
    <w:abstractNumId w:val="17"/>
  </w:num>
  <w:num w:numId="4">
    <w:abstractNumId w:val="4"/>
  </w:num>
  <w:num w:numId="5">
    <w:abstractNumId w:val="15"/>
  </w:num>
  <w:num w:numId="6">
    <w:abstractNumId w:val="10"/>
  </w:num>
  <w:num w:numId="7">
    <w:abstractNumId w:val="20"/>
  </w:num>
  <w:num w:numId="8">
    <w:abstractNumId w:val="18"/>
  </w:num>
  <w:num w:numId="9">
    <w:abstractNumId w:val="13"/>
  </w:num>
  <w:num w:numId="10">
    <w:abstractNumId w:val="12"/>
  </w:num>
  <w:num w:numId="11">
    <w:abstractNumId w:val="19"/>
  </w:num>
  <w:num w:numId="12">
    <w:abstractNumId w:val="2"/>
  </w:num>
  <w:num w:numId="13">
    <w:abstractNumId w:val="19"/>
  </w:num>
  <w:num w:numId="14">
    <w:abstractNumId w:val="16"/>
  </w:num>
  <w:num w:numId="15">
    <w:abstractNumId w:val="3"/>
  </w:num>
  <w:num w:numId="16">
    <w:abstractNumId w:val="5"/>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4"/>
  </w:num>
  <w:num w:numId="40">
    <w:abstractNumId w:val="6"/>
  </w:num>
  <w:num w:numId="41">
    <w:abstractNumId w:val="8"/>
  </w:num>
  <w:num w:numId="42">
    <w:abstractNumId w:val="16"/>
  </w:num>
  <w:num w:numId="43">
    <w:abstractNumId w:val="1"/>
  </w:num>
  <w:num w:numId="44">
    <w:abstractNumId w:val="0"/>
  </w:num>
  <w:num w:numId="45">
    <w:abstractNumId w:val="1"/>
  </w:num>
  <w:num w:numId="46">
    <w:abstractNumId w:val="1"/>
  </w:num>
  <w:num w:numId="47">
    <w:abstractNumId w:val="1"/>
  </w:num>
  <w:num w:numId="48">
    <w:abstractNumId w:val="1"/>
  </w:num>
  <w:num w:numId="49">
    <w:abstractNumId w:val="1"/>
  </w:num>
  <w:num w:numId="50">
    <w:abstractNumId w:val="1"/>
  </w:num>
  <w:num w:numId="51">
    <w:abstractNumId w:val="1"/>
  </w:num>
  <w:num w:numId="52">
    <w:abstractNumId w:val="1"/>
  </w:num>
  <w:num w:numId="53">
    <w:abstractNumId w:val="1"/>
  </w:num>
  <w:num w:numId="54">
    <w:abstractNumId w:val="1"/>
  </w:num>
  <w:num w:numId="55">
    <w:abstractNumId w:val="1"/>
  </w:num>
  <w:num w:numId="56">
    <w:abstractNumId w:val="1"/>
  </w:num>
  <w:num w:numId="57">
    <w:abstractNumId w:val="1"/>
  </w:num>
  <w:num w:numId="58">
    <w:abstractNumId w:val="1"/>
  </w:num>
  <w:num w:numId="59">
    <w:abstractNumId w:val="1"/>
  </w:num>
  <w:num w:numId="60">
    <w:abstractNumId w:val="1"/>
  </w:num>
  <w:num w:numId="61">
    <w:abstractNumId w:val="1"/>
  </w:num>
  <w:num w:numId="62">
    <w:abstractNumId w:val="1"/>
  </w:num>
  <w:num w:numId="63">
    <w:abstractNumId w:val="11"/>
  </w:num>
  <w:num w:numId="64">
    <w:abstractNumId w:val="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15"/>
    <w:rsid w:val="00007693"/>
    <w:rsid w:val="00020327"/>
    <w:rsid w:val="00023C95"/>
    <w:rsid w:val="00025502"/>
    <w:rsid w:val="00035AEB"/>
    <w:rsid w:val="00051CF3"/>
    <w:rsid w:val="00055F40"/>
    <w:rsid w:val="00063365"/>
    <w:rsid w:val="00064A2F"/>
    <w:rsid w:val="000704D9"/>
    <w:rsid w:val="00073608"/>
    <w:rsid w:val="00081824"/>
    <w:rsid w:val="000856CA"/>
    <w:rsid w:val="00095995"/>
    <w:rsid w:val="000A66E7"/>
    <w:rsid w:val="000C430C"/>
    <w:rsid w:val="000C4CD6"/>
    <w:rsid w:val="000E3414"/>
    <w:rsid w:val="00104029"/>
    <w:rsid w:val="001068D8"/>
    <w:rsid w:val="00111E10"/>
    <w:rsid w:val="00114C61"/>
    <w:rsid w:val="00130DE5"/>
    <w:rsid w:val="00133270"/>
    <w:rsid w:val="00142B0A"/>
    <w:rsid w:val="001438D7"/>
    <w:rsid w:val="0014525E"/>
    <w:rsid w:val="0016213E"/>
    <w:rsid w:val="0016256A"/>
    <w:rsid w:val="00165FF9"/>
    <w:rsid w:val="0017548E"/>
    <w:rsid w:val="001821CD"/>
    <w:rsid w:val="001A21C9"/>
    <w:rsid w:val="001B06DB"/>
    <w:rsid w:val="001C782E"/>
    <w:rsid w:val="001D5521"/>
    <w:rsid w:val="001E53D0"/>
    <w:rsid w:val="001F1FC1"/>
    <w:rsid w:val="00205478"/>
    <w:rsid w:val="00214220"/>
    <w:rsid w:val="00217E7B"/>
    <w:rsid w:val="00222D0E"/>
    <w:rsid w:val="00261580"/>
    <w:rsid w:val="00261ED3"/>
    <w:rsid w:val="00276641"/>
    <w:rsid w:val="002822CF"/>
    <w:rsid w:val="0028296D"/>
    <w:rsid w:val="002A2C96"/>
    <w:rsid w:val="002B3EB1"/>
    <w:rsid w:val="002C196C"/>
    <w:rsid w:val="002D1F07"/>
    <w:rsid w:val="002E4A8F"/>
    <w:rsid w:val="003001FD"/>
    <w:rsid w:val="00301495"/>
    <w:rsid w:val="00304325"/>
    <w:rsid w:val="0030757B"/>
    <w:rsid w:val="0032627D"/>
    <w:rsid w:val="00337D32"/>
    <w:rsid w:val="00346AC4"/>
    <w:rsid w:val="00354750"/>
    <w:rsid w:val="00361115"/>
    <w:rsid w:val="003801AA"/>
    <w:rsid w:val="00385176"/>
    <w:rsid w:val="00385E61"/>
    <w:rsid w:val="003A25B7"/>
    <w:rsid w:val="003B6F98"/>
    <w:rsid w:val="003C28E0"/>
    <w:rsid w:val="003D3452"/>
    <w:rsid w:val="003D377F"/>
    <w:rsid w:val="003F13D4"/>
    <w:rsid w:val="00400530"/>
    <w:rsid w:val="0040268F"/>
    <w:rsid w:val="00406711"/>
    <w:rsid w:val="004202FB"/>
    <w:rsid w:val="00420A5B"/>
    <w:rsid w:val="00431FE1"/>
    <w:rsid w:val="00434CFE"/>
    <w:rsid w:val="00437138"/>
    <w:rsid w:val="004666CF"/>
    <w:rsid w:val="0047628B"/>
    <w:rsid w:val="00482654"/>
    <w:rsid w:val="004937F8"/>
    <w:rsid w:val="00493840"/>
    <w:rsid w:val="00494B9E"/>
    <w:rsid w:val="0049725E"/>
    <w:rsid w:val="004A651A"/>
    <w:rsid w:val="004D2140"/>
    <w:rsid w:val="004F2A9F"/>
    <w:rsid w:val="004F56D4"/>
    <w:rsid w:val="005005EA"/>
    <w:rsid w:val="0050406A"/>
    <w:rsid w:val="005244B9"/>
    <w:rsid w:val="00530BC1"/>
    <w:rsid w:val="00533F57"/>
    <w:rsid w:val="00542081"/>
    <w:rsid w:val="0054274C"/>
    <w:rsid w:val="00543625"/>
    <w:rsid w:val="00543994"/>
    <w:rsid w:val="00544C31"/>
    <w:rsid w:val="005512C1"/>
    <w:rsid w:val="00564A3B"/>
    <w:rsid w:val="00572416"/>
    <w:rsid w:val="00572C76"/>
    <w:rsid w:val="005801EE"/>
    <w:rsid w:val="00594DFD"/>
    <w:rsid w:val="005B0099"/>
    <w:rsid w:val="005B4379"/>
    <w:rsid w:val="005C12D1"/>
    <w:rsid w:val="005C3387"/>
    <w:rsid w:val="005C7405"/>
    <w:rsid w:val="005D26C8"/>
    <w:rsid w:val="005D5D08"/>
    <w:rsid w:val="005E6DEA"/>
    <w:rsid w:val="005F24B5"/>
    <w:rsid w:val="006109DA"/>
    <w:rsid w:val="00617074"/>
    <w:rsid w:val="0063708B"/>
    <w:rsid w:val="00646305"/>
    <w:rsid w:val="00647B8F"/>
    <w:rsid w:val="00662D4D"/>
    <w:rsid w:val="0067446B"/>
    <w:rsid w:val="00680189"/>
    <w:rsid w:val="006805BC"/>
    <w:rsid w:val="00684895"/>
    <w:rsid w:val="00686C31"/>
    <w:rsid w:val="0069093B"/>
    <w:rsid w:val="006932D8"/>
    <w:rsid w:val="00694464"/>
    <w:rsid w:val="006C3B6C"/>
    <w:rsid w:val="006D3E93"/>
    <w:rsid w:val="006D63C2"/>
    <w:rsid w:val="006D740D"/>
    <w:rsid w:val="006E3361"/>
    <w:rsid w:val="006E75C1"/>
    <w:rsid w:val="00711237"/>
    <w:rsid w:val="0072782F"/>
    <w:rsid w:val="00743778"/>
    <w:rsid w:val="007458F4"/>
    <w:rsid w:val="0076486F"/>
    <w:rsid w:val="00785053"/>
    <w:rsid w:val="007A0E5D"/>
    <w:rsid w:val="007A4DF1"/>
    <w:rsid w:val="007B140F"/>
    <w:rsid w:val="007C1C7C"/>
    <w:rsid w:val="007C31E9"/>
    <w:rsid w:val="007D670B"/>
    <w:rsid w:val="008122AB"/>
    <w:rsid w:val="00814A45"/>
    <w:rsid w:val="00821867"/>
    <w:rsid w:val="00822295"/>
    <w:rsid w:val="00823BB7"/>
    <w:rsid w:val="008310E5"/>
    <w:rsid w:val="00831227"/>
    <w:rsid w:val="00836BA4"/>
    <w:rsid w:val="00840CA5"/>
    <w:rsid w:val="00845893"/>
    <w:rsid w:val="00851EEF"/>
    <w:rsid w:val="00855A78"/>
    <w:rsid w:val="00867C8E"/>
    <w:rsid w:val="0087020F"/>
    <w:rsid w:val="00876BCF"/>
    <w:rsid w:val="0088336B"/>
    <w:rsid w:val="008A1D1B"/>
    <w:rsid w:val="008B2FB6"/>
    <w:rsid w:val="008B6DBB"/>
    <w:rsid w:val="008B7741"/>
    <w:rsid w:val="008C4DB0"/>
    <w:rsid w:val="008C7699"/>
    <w:rsid w:val="008E5673"/>
    <w:rsid w:val="008F7396"/>
    <w:rsid w:val="008F7745"/>
    <w:rsid w:val="00900429"/>
    <w:rsid w:val="009079FA"/>
    <w:rsid w:val="00907AC2"/>
    <w:rsid w:val="00924A0E"/>
    <w:rsid w:val="009274C0"/>
    <w:rsid w:val="00935CDE"/>
    <w:rsid w:val="00944926"/>
    <w:rsid w:val="009461BA"/>
    <w:rsid w:val="00961DA7"/>
    <w:rsid w:val="00993F1A"/>
    <w:rsid w:val="00996878"/>
    <w:rsid w:val="009A2D3F"/>
    <w:rsid w:val="009D08AF"/>
    <w:rsid w:val="009D251A"/>
    <w:rsid w:val="009D6F11"/>
    <w:rsid w:val="009D705C"/>
    <w:rsid w:val="009F2E4C"/>
    <w:rsid w:val="00A009DB"/>
    <w:rsid w:val="00A05982"/>
    <w:rsid w:val="00A06807"/>
    <w:rsid w:val="00A068E6"/>
    <w:rsid w:val="00A11194"/>
    <w:rsid w:val="00A27817"/>
    <w:rsid w:val="00A52D75"/>
    <w:rsid w:val="00A5730B"/>
    <w:rsid w:val="00A642C3"/>
    <w:rsid w:val="00A7587E"/>
    <w:rsid w:val="00A81656"/>
    <w:rsid w:val="00A852C0"/>
    <w:rsid w:val="00A85692"/>
    <w:rsid w:val="00AA593E"/>
    <w:rsid w:val="00AB3BAE"/>
    <w:rsid w:val="00AB4F37"/>
    <w:rsid w:val="00AB7ECC"/>
    <w:rsid w:val="00AC1043"/>
    <w:rsid w:val="00AC418E"/>
    <w:rsid w:val="00AD1558"/>
    <w:rsid w:val="00AD32D4"/>
    <w:rsid w:val="00AD4423"/>
    <w:rsid w:val="00AD7560"/>
    <w:rsid w:val="00AE19F5"/>
    <w:rsid w:val="00B13591"/>
    <w:rsid w:val="00B13B0A"/>
    <w:rsid w:val="00B153F1"/>
    <w:rsid w:val="00B16028"/>
    <w:rsid w:val="00B53E86"/>
    <w:rsid w:val="00B54B64"/>
    <w:rsid w:val="00B60940"/>
    <w:rsid w:val="00B6428E"/>
    <w:rsid w:val="00B732D5"/>
    <w:rsid w:val="00B7336A"/>
    <w:rsid w:val="00B74D9F"/>
    <w:rsid w:val="00B75180"/>
    <w:rsid w:val="00B779E6"/>
    <w:rsid w:val="00B92DAC"/>
    <w:rsid w:val="00BB1CA4"/>
    <w:rsid w:val="00BB588F"/>
    <w:rsid w:val="00BB5FF7"/>
    <w:rsid w:val="00BB669E"/>
    <w:rsid w:val="00BC17A0"/>
    <w:rsid w:val="00BC596D"/>
    <w:rsid w:val="00BC5E27"/>
    <w:rsid w:val="00BE15BA"/>
    <w:rsid w:val="00BE302E"/>
    <w:rsid w:val="00BE3A87"/>
    <w:rsid w:val="00BE6FD3"/>
    <w:rsid w:val="00BF70B3"/>
    <w:rsid w:val="00C0606D"/>
    <w:rsid w:val="00C10F3F"/>
    <w:rsid w:val="00C457D9"/>
    <w:rsid w:val="00C537D1"/>
    <w:rsid w:val="00C613C5"/>
    <w:rsid w:val="00C77483"/>
    <w:rsid w:val="00C93B2C"/>
    <w:rsid w:val="00CC60C3"/>
    <w:rsid w:val="00CD5C7E"/>
    <w:rsid w:val="00CD64B8"/>
    <w:rsid w:val="00CE3185"/>
    <w:rsid w:val="00CE4372"/>
    <w:rsid w:val="00CF010C"/>
    <w:rsid w:val="00D2003D"/>
    <w:rsid w:val="00D26ECE"/>
    <w:rsid w:val="00D2739C"/>
    <w:rsid w:val="00D33BC2"/>
    <w:rsid w:val="00D3738F"/>
    <w:rsid w:val="00DA0679"/>
    <w:rsid w:val="00DB6524"/>
    <w:rsid w:val="00DC5939"/>
    <w:rsid w:val="00DD563A"/>
    <w:rsid w:val="00DE1A80"/>
    <w:rsid w:val="00DE5C1C"/>
    <w:rsid w:val="00E07AF5"/>
    <w:rsid w:val="00E127C1"/>
    <w:rsid w:val="00E206FB"/>
    <w:rsid w:val="00E37292"/>
    <w:rsid w:val="00E401A9"/>
    <w:rsid w:val="00E41963"/>
    <w:rsid w:val="00E61D20"/>
    <w:rsid w:val="00E670BD"/>
    <w:rsid w:val="00E744E0"/>
    <w:rsid w:val="00E85EC7"/>
    <w:rsid w:val="00EC0F90"/>
    <w:rsid w:val="00ED3674"/>
    <w:rsid w:val="00ED49CF"/>
    <w:rsid w:val="00EE21EB"/>
    <w:rsid w:val="00EE38C4"/>
    <w:rsid w:val="00F16AED"/>
    <w:rsid w:val="00F27102"/>
    <w:rsid w:val="00F7264E"/>
    <w:rsid w:val="00F84C8A"/>
    <w:rsid w:val="00F92B15"/>
    <w:rsid w:val="00F97299"/>
    <w:rsid w:val="00FB78ED"/>
    <w:rsid w:val="00FC1717"/>
    <w:rsid w:val="00FC2777"/>
    <w:rsid w:val="00FC3844"/>
    <w:rsid w:val="00FC62CF"/>
    <w:rsid w:val="00FD28E4"/>
    <w:rsid w:val="00FE0043"/>
    <w:rsid w:val="00FE3326"/>
    <w:rsid w:val="00FE71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A3B"/>
    <w:pPr>
      <w:spacing w:before="120"/>
      <w:jc w:val="both"/>
    </w:pPr>
    <w:rPr>
      <w:rFonts w:ascii="Times" w:hAnsi="Times"/>
      <w:sz w:val="24"/>
    </w:rPr>
  </w:style>
  <w:style w:type="paragraph" w:styleId="Heading1">
    <w:name w:val="heading 1"/>
    <w:basedOn w:val="Normal"/>
    <w:qFormat/>
    <w:rsid w:val="00684895"/>
    <w:pPr>
      <w:keepNext/>
      <w:keepLines/>
      <w:spacing w:before="240"/>
      <w:jc w:val="center"/>
      <w:outlineLvl w:val="0"/>
    </w:pPr>
    <w:rPr>
      <w:rFonts w:ascii="Arial" w:hAnsi="Arial"/>
      <w:b/>
      <w:bCs/>
      <w:caps/>
    </w:rPr>
  </w:style>
  <w:style w:type="paragraph" w:styleId="Heading2">
    <w:name w:val="heading 2"/>
    <w:basedOn w:val="Normal"/>
    <w:qFormat/>
    <w:rsid w:val="00684895"/>
    <w:pPr>
      <w:spacing w:before="360"/>
      <w:outlineLvl w:val="1"/>
    </w:pPr>
    <w:rPr>
      <w:rFonts w:ascii="Arial" w:hAnsi="Arial"/>
      <w:b/>
      <w:bCs/>
    </w:rPr>
  </w:style>
  <w:style w:type="paragraph" w:styleId="Heading3">
    <w:name w:val="heading 3"/>
    <w:basedOn w:val="Normal"/>
    <w:qFormat/>
    <w:rsid w:val="004937F8"/>
    <w:pPr>
      <w:numPr>
        <w:numId w:val="14"/>
      </w:numPr>
      <w:spacing w:before="240"/>
      <w:outlineLvl w:val="2"/>
    </w:pPr>
    <w:rPr>
      <w:rFonts w:ascii="Times New Roman" w:hAnsi="Times New Roman"/>
      <w:b/>
    </w:rPr>
  </w:style>
  <w:style w:type="paragraph" w:styleId="Heading4">
    <w:name w:val="heading 4"/>
    <w:basedOn w:val="Normal"/>
    <w:next w:val="Normal"/>
    <w:link w:val="Heading4Char"/>
    <w:semiHidden/>
    <w:unhideWhenUsed/>
    <w:qFormat/>
    <w:rsid w:val="004666C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F13D4"/>
    <w:rPr>
      <w:sz w:val="16"/>
    </w:rPr>
  </w:style>
  <w:style w:type="paragraph" w:customStyle="1" w:styleId="ActTitle">
    <w:name w:val="Act Title"/>
    <w:basedOn w:val="Normal"/>
    <w:rsid w:val="004937F8"/>
    <w:pPr>
      <w:jc w:val="center"/>
    </w:pPr>
    <w:rPr>
      <w:rFonts w:ascii="Arial" w:hAnsi="Arial"/>
      <w:i/>
      <w:iCs/>
    </w:rPr>
  </w:style>
  <w:style w:type="paragraph" w:styleId="BalloonText">
    <w:name w:val="Balloon Text"/>
    <w:basedOn w:val="Normal"/>
    <w:semiHidden/>
    <w:rsid w:val="00B732D5"/>
    <w:rPr>
      <w:rFonts w:ascii="Tahoma" w:hAnsi="Tahoma" w:cs="Tahoma"/>
      <w:sz w:val="16"/>
      <w:szCs w:val="16"/>
    </w:rPr>
  </w:style>
  <w:style w:type="character" w:styleId="CommentReference">
    <w:name w:val="annotation reference"/>
    <w:semiHidden/>
    <w:rsid w:val="00104029"/>
    <w:rPr>
      <w:sz w:val="16"/>
      <w:szCs w:val="16"/>
    </w:rPr>
  </w:style>
  <w:style w:type="paragraph" w:styleId="CommentText">
    <w:name w:val="annotation text"/>
    <w:basedOn w:val="Normal"/>
    <w:semiHidden/>
    <w:rsid w:val="00104029"/>
  </w:style>
  <w:style w:type="paragraph" w:styleId="CommentSubject">
    <w:name w:val="annotation subject"/>
    <w:basedOn w:val="CommentText"/>
    <w:next w:val="CommentText"/>
    <w:semiHidden/>
    <w:rsid w:val="00104029"/>
    <w:rPr>
      <w:b/>
      <w:bCs/>
    </w:rPr>
  </w:style>
  <w:style w:type="paragraph" w:customStyle="1" w:styleId="Instructions">
    <w:name w:val="Instructions"/>
    <w:basedOn w:val="Normal"/>
    <w:link w:val="InstructionsChar"/>
    <w:rsid w:val="00020327"/>
    <w:rPr>
      <w:rFonts w:ascii="Arial" w:hAnsi="Arial" w:cs="Arial"/>
      <w:i/>
      <w:color w:val="0000FF"/>
      <w:sz w:val="20"/>
    </w:rPr>
  </w:style>
  <w:style w:type="character" w:customStyle="1" w:styleId="InstructionsChar">
    <w:name w:val="Instructions Char"/>
    <w:link w:val="Instructions"/>
    <w:rsid w:val="00020327"/>
    <w:rPr>
      <w:rFonts w:ascii="Arial" w:hAnsi="Arial" w:cs="Arial"/>
      <w:i/>
      <w:color w:val="0000FF"/>
      <w:lang w:val="en-AU" w:eastAsia="en-AU" w:bidi="ar-SA"/>
    </w:rPr>
  </w:style>
  <w:style w:type="paragraph" w:customStyle="1" w:styleId="StrategicAssessmentText">
    <w:name w:val="Strategic Assessment Text"/>
    <w:basedOn w:val="Normal"/>
    <w:rsid w:val="008A1D1B"/>
    <w:pPr>
      <w:ind w:left="284"/>
    </w:pPr>
  </w:style>
  <w:style w:type="paragraph" w:styleId="Header">
    <w:name w:val="header"/>
    <w:basedOn w:val="Normal"/>
    <w:rsid w:val="00FE71B0"/>
    <w:pPr>
      <w:tabs>
        <w:tab w:val="center" w:pos="4153"/>
        <w:tab w:val="right" w:pos="8306"/>
      </w:tabs>
    </w:pPr>
  </w:style>
  <w:style w:type="character" w:styleId="Hyperlink">
    <w:name w:val="Hyperlink"/>
    <w:rsid w:val="00FE71B0"/>
    <w:rPr>
      <w:color w:val="0000FF"/>
      <w:u w:val="single"/>
    </w:rPr>
  </w:style>
  <w:style w:type="paragraph" w:styleId="List2">
    <w:name w:val="List 2"/>
    <w:basedOn w:val="Normal"/>
    <w:rsid w:val="00823BB7"/>
    <w:pPr>
      <w:numPr>
        <w:ilvl w:val="1"/>
        <w:numId w:val="14"/>
      </w:numPr>
    </w:pPr>
  </w:style>
  <w:style w:type="character" w:styleId="FollowedHyperlink">
    <w:name w:val="FollowedHyperlink"/>
    <w:rsid w:val="00035AEB"/>
    <w:rPr>
      <w:color w:val="800080"/>
      <w:u w:val="single"/>
    </w:rPr>
  </w:style>
  <w:style w:type="paragraph" w:customStyle="1" w:styleId="Tablelabel">
    <w:name w:val="Table label"/>
    <w:basedOn w:val="Normal"/>
    <w:rsid w:val="00E401A9"/>
    <w:pPr>
      <w:spacing w:after="80"/>
      <w:ind w:left="113"/>
      <w:jc w:val="left"/>
    </w:pPr>
    <w:rPr>
      <w:rFonts w:ascii="Arial" w:hAnsi="Arial"/>
      <w:b/>
      <w:color w:val="FFFFFF"/>
      <w:sz w:val="18"/>
    </w:rPr>
  </w:style>
  <w:style w:type="paragraph" w:customStyle="1" w:styleId="Tabletext">
    <w:name w:val="Table text"/>
    <w:rsid w:val="00E401A9"/>
    <w:pPr>
      <w:spacing w:before="60" w:after="60"/>
      <w:jc w:val="both"/>
    </w:pPr>
    <w:rPr>
      <w:rFonts w:ascii="Arial" w:hAnsi="Arial"/>
      <w:sz w:val="18"/>
    </w:rPr>
  </w:style>
  <w:style w:type="paragraph" w:customStyle="1" w:styleId="Bullet1">
    <w:name w:val="Bullet 1"/>
    <w:basedOn w:val="Normal"/>
    <w:uiPriority w:val="99"/>
    <w:rsid w:val="004666CF"/>
    <w:pPr>
      <w:numPr>
        <w:numId w:val="43"/>
      </w:numPr>
      <w:suppressAutoHyphens/>
      <w:autoSpaceDE w:val="0"/>
      <w:autoSpaceDN w:val="0"/>
      <w:adjustRightInd w:val="0"/>
      <w:spacing w:before="0" w:after="200"/>
      <w:jc w:val="left"/>
    </w:pPr>
    <w:rPr>
      <w:rFonts w:ascii="Arial" w:hAnsi="Arial" w:cs="Arial"/>
      <w:color w:val="000000"/>
      <w:sz w:val="20"/>
      <w:lang w:val="en-GB"/>
    </w:rPr>
  </w:style>
  <w:style w:type="character" w:customStyle="1" w:styleId="bodytextbold">
    <w:name w:val="body text bold"/>
    <w:uiPriority w:val="99"/>
    <w:rsid w:val="004666CF"/>
    <w:rPr>
      <w:b/>
      <w:bCs/>
    </w:rPr>
  </w:style>
  <w:style w:type="character" w:customStyle="1" w:styleId="Heading4Char">
    <w:name w:val="Heading 4 Char"/>
    <w:link w:val="Heading4"/>
    <w:semiHidden/>
    <w:rsid w:val="004666CF"/>
    <w:rPr>
      <w:rFonts w:ascii="Calibri" w:eastAsia="Times New Roman" w:hAnsi="Calibri" w:cs="Times New Roman"/>
      <w:b/>
      <w:bCs/>
      <w:sz w:val="28"/>
      <w:szCs w:val="28"/>
    </w:rPr>
  </w:style>
  <w:style w:type="paragraph" w:customStyle="1" w:styleId="Bullets2nd">
    <w:name w:val="Bullets 2nd"/>
    <w:basedOn w:val="Normal"/>
    <w:rsid w:val="004666CF"/>
    <w:pPr>
      <w:numPr>
        <w:ilvl w:val="1"/>
        <w:numId w:val="44"/>
      </w:numPr>
      <w:spacing w:before="0" w:after="200"/>
      <w:ind w:left="567" w:hanging="283"/>
      <w:jc w:val="left"/>
    </w:pPr>
    <w:rPr>
      <w:rFonts w:ascii="Arial" w:hAnsi="Arial"/>
      <w:sz w:val="20"/>
      <w:szCs w:val="24"/>
    </w:rPr>
  </w:style>
  <w:style w:type="paragraph" w:customStyle="1" w:styleId="Style1">
    <w:name w:val="Style1"/>
    <w:basedOn w:val="Heading2"/>
    <w:autoRedefine/>
    <w:qFormat/>
    <w:rsid w:val="00564A3B"/>
    <w:pPr>
      <w:spacing w:before="240" w:after="240"/>
      <w:jc w:val="left"/>
    </w:pPr>
    <w:rPr>
      <w:rFonts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95829">
      <w:bodyDiv w:val="1"/>
      <w:marLeft w:val="0"/>
      <w:marRight w:val="0"/>
      <w:marTop w:val="0"/>
      <w:marBottom w:val="0"/>
      <w:divBdr>
        <w:top w:val="none" w:sz="0" w:space="0" w:color="auto"/>
        <w:left w:val="none" w:sz="0" w:space="0" w:color="auto"/>
        <w:bottom w:val="none" w:sz="0" w:space="0" w:color="auto"/>
        <w:right w:val="none" w:sz="0" w:space="0" w:color="auto"/>
      </w:divBdr>
    </w:div>
    <w:div w:id="336008694">
      <w:bodyDiv w:val="1"/>
      <w:marLeft w:val="0"/>
      <w:marRight w:val="0"/>
      <w:marTop w:val="0"/>
      <w:marBottom w:val="0"/>
      <w:divBdr>
        <w:top w:val="none" w:sz="0" w:space="0" w:color="auto"/>
        <w:left w:val="none" w:sz="0" w:space="0" w:color="auto"/>
        <w:bottom w:val="none" w:sz="0" w:space="0" w:color="auto"/>
        <w:right w:val="none" w:sz="0" w:space="0" w:color="auto"/>
      </w:divBdr>
    </w:div>
    <w:div w:id="351492123">
      <w:bodyDiv w:val="1"/>
      <w:marLeft w:val="0"/>
      <w:marRight w:val="0"/>
      <w:marTop w:val="0"/>
      <w:marBottom w:val="0"/>
      <w:divBdr>
        <w:top w:val="none" w:sz="0" w:space="0" w:color="auto"/>
        <w:left w:val="none" w:sz="0" w:space="0" w:color="auto"/>
        <w:bottom w:val="none" w:sz="0" w:space="0" w:color="auto"/>
        <w:right w:val="none" w:sz="0" w:space="0" w:color="auto"/>
      </w:divBdr>
    </w:div>
    <w:div w:id="996032145">
      <w:bodyDiv w:val="1"/>
      <w:marLeft w:val="0"/>
      <w:marRight w:val="0"/>
      <w:marTop w:val="0"/>
      <w:marBottom w:val="0"/>
      <w:divBdr>
        <w:top w:val="none" w:sz="0" w:space="0" w:color="auto"/>
        <w:left w:val="none" w:sz="0" w:space="0" w:color="auto"/>
        <w:bottom w:val="none" w:sz="0" w:space="0" w:color="auto"/>
        <w:right w:val="none" w:sz="0" w:space="0" w:color="auto"/>
      </w:divBdr>
    </w:div>
    <w:div w:id="1032147454">
      <w:bodyDiv w:val="1"/>
      <w:marLeft w:val="0"/>
      <w:marRight w:val="0"/>
      <w:marTop w:val="0"/>
      <w:marBottom w:val="0"/>
      <w:divBdr>
        <w:top w:val="none" w:sz="0" w:space="0" w:color="auto"/>
        <w:left w:val="none" w:sz="0" w:space="0" w:color="auto"/>
        <w:bottom w:val="none" w:sz="0" w:space="0" w:color="auto"/>
        <w:right w:val="none" w:sz="0" w:space="0" w:color="auto"/>
      </w:divBdr>
    </w:div>
    <w:div w:id="1102145214">
      <w:bodyDiv w:val="1"/>
      <w:marLeft w:val="0"/>
      <w:marRight w:val="0"/>
      <w:marTop w:val="0"/>
      <w:marBottom w:val="0"/>
      <w:divBdr>
        <w:top w:val="none" w:sz="0" w:space="0" w:color="auto"/>
        <w:left w:val="none" w:sz="0" w:space="0" w:color="auto"/>
        <w:bottom w:val="none" w:sz="0" w:space="0" w:color="auto"/>
        <w:right w:val="none" w:sz="0" w:space="0" w:color="auto"/>
      </w:divBdr>
    </w:div>
    <w:div w:id="1317764459">
      <w:bodyDiv w:val="1"/>
      <w:marLeft w:val="0"/>
      <w:marRight w:val="0"/>
      <w:marTop w:val="0"/>
      <w:marBottom w:val="0"/>
      <w:divBdr>
        <w:top w:val="none" w:sz="0" w:space="0" w:color="auto"/>
        <w:left w:val="none" w:sz="0" w:space="0" w:color="auto"/>
        <w:bottom w:val="none" w:sz="0" w:space="0" w:color="auto"/>
        <w:right w:val="none" w:sz="0" w:space="0" w:color="auto"/>
      </w:divBdr>
    </w:div>
    <w:div w:id="1651401544">
      <w:bodyDiv w:val="1"/>
      <w:marLeft w:val="0"/>
      <w:marRight w:val="0"/>
      <w:marTop w:val="0"/>
      <w:marBottom w:val="0"/>
      <w:divBdr>
        <w:top w:val="none" w:sz="0" w:space="0" w:color="auto"/>
        <w:left w:val="none" w:sz="0" w:space="0" w:color="auto"/>
        <w:bottom w:val="none" w:sz="0" w:space="0" w:color="auto"/>
        <w:right w:val="none" w:sz="0" w:space="0" w:color="auto"/>
      </w:divBdr>
    </w:div>
    <w:div w:id="1673289960">
      <w:bodyDiv w:val="1"/>
      <w:marLeft w:val="0"/>
      <w:marRight w:val="0"/>
      <w:marTop w:val="0"/>
      <w:marBottom w:val="0"/>
      <w:divBdr>
        <w:top w:val="none" w:sz="0" w:space="0" w:color="auto"/>
        <w:left w:val="none" w:sz="0" w:space="0" w:color="auto"/>
        <w:bottom w:val="none" w:sz="0" w:space="0" w:color="auto"/>
        <w:right w:val="none" w:sz="0" w:space="0" w:color="auto"/>
      </w:divBdr>
    </w:div>
    <w:div w:id="198816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tpli.vic.gov.au/planning/planning-schemes/changing-the-planning-scheme/planning-documents-on-exhibition" TargetMode="External"/><Relationship Id="rId4" Type="http://schemas.openxmlformats.org/officeDocument/2006/relationships/settings" Target="settings.xml"/><Relationship Id="rId9" Type="http://schemas.openxmlformats.org/officeDocument/2006/relationships/hyperlink" Target="http://www.geelongaustralia.com.au/amend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1CF85-CCE6-44A9-BBC9-C992952C0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ACC72289.dotm</Template>
  <TotalTime>0</TotalTime>
  <Pages>4</Pages>
  <Words>1607</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10793</CharactersWithSpaces>
  <SharedDoc>false</SharedDoc>
  <HLinks>
    <vt:vector size="18" baseType="variant">
      <vt:variant>
        <vt:i4>2490428</vt:i4>
      </vt:variant>
      <vt:variant>
        <vt:i4>6</vt:i4>
      </vt:variant>
      <vt:variant>
        <vt:i4>0</vt:i4>
      </vt:variant>
      <vt:variant>
        <vt:i4>5</vt:i4>
      </vt:variant>
      <vt:variant>
        <vt:lpwstr>http://www.dtpli.vic.gov.au/planning/planning-schemes/changing-the-planning-scheme/planning-documents-on-exhibition</vt:lpwstr>
      </vt:variant>
      <vt:variant>
        <vt:lpwstr/>
      </vt:variant>
      <vt:variant>
        <vt:i4>7209001</vt:i4>
      </vt:variant>
      <vt:variant>
        <vt:i4>3</vt:i4>
      </vt:variant>
      <vt:variant>
        <vt:i4>0</vt:i4>
      </vt:variant>
      <vt:variant>
        <vt:i4>5</vt:i4>
      </vt:variant>
      <vt:variant>
        <vt:lpwstr>https://www.planning.vic.gov.au/__data/assets/pdf_file/0023/12992/PPN46-Strategic-Assessment-Guidelines_June-2015.pdf</vt:lpwstr>
      </vt:variant>
      <vt:variant>
        <vt:lpwstr/>
      </vt:variant>
      <vt:variant>
        <vt:i4>6291519</vt:i4>
      </vt:variant>
      <vt:variant>
        <vt:i4>0</vt:i4>
      </vt:variant>
      <vt:variant>
        <vt:i4>0</vt:i4>
      </vt:variant>
      <vt:variant>
        <vt:i4>5</vt:i4>
      </vt:variant>
      <vt:variant>
        <vt:lpwstr>https://www.planning.vic.gov.au/planning-schemes/amending-a-planning-scheme/amendment-templates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2018-09-26T02:01:00Z</dcterms:created>
  <dcterms:modified xsi:type="dcterms:W3CDTF">2018-10-05T01:04:00Z</dcterms:modified>
</cp:coreProperties>
</file>